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27EC5" w14:textId="54891BDE" w:rsidR="00A941F5" w:rsidRDefault="00A941F5" w:rsidP="00A941F5">
      <w:pPr>
        <w:tabs>
          <w:tab w:val="left" w:pos="567"/>
          <w:tab w:val="left" w:pos="993"/>
          <w:tab w:val="left" w:pos="1418"/>
          <w:tab w:val="left" w:pos="1843"/>
        </w:tabs>
        <w:jc w:val="both"/>
        <w:rPr>
          <w:lang w:val="es-ES_tradnl"/>
        </w:rPr>
      </w:pPr>
      <w:r>
        <w:rPr>
          <w:noProof/>
        </w:rPr>
        <w:drawing>
          <wp:inline distT="0" distB="0" distL="0" distR="0" wp14:anchorId="2AFEFF06" wp14:editId="62C3B49C">
            <wp:extent cx="5400040" cy="269240"/>
            <wp:effectExtent l="0" t="0" r="0" b="0"/>
            <wp:docPr id="18636613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342E20F7" w14:textId="77777777" w:rsidR="00A10C56" w:rsidRDefault="00A10C56" w:rsidP="00A941F5">
      <w:pPr>
        <w:tabs>
          <w:tab w:val="left" w:pos="567"/>
          <w:tab w:val="left" w:pos="993"/>
          <w:tab w:val="left" w:pos="1418"/>
          <w:tab w:val="left" w:pos="1843"/>
        </w:tabs>
        <w:jc w:val="both"/>
        <w:rPr>
          <w:lang w:val="es-ES_tradnl"/>
        </w:rPr>
      </w:pPr>
    </w:p>
    <w:p w14:paraId="645FE11E" w14:textId="77777777" w:rsidR="00A10C56" w:rsidRPr="0020765B" w:rsidRDefault="00A10C56" w:rsidP="00A10C56">
      <w:pPr>
        <w:pStyle w:val="Ttulo1"/>
        <w:jc w:val="center"/>
      </w:pPr>
      <w:bookmarkStart w:id="0" w:name="_Hlk212733308"/>
      <w:r>
        <w:t>ANEXO 3</w:t>
      </w:r>
    </w:p>
    <w:p w14:paraId="002928F1" w14:textId="77777777" w:rsidR="00A10C56" w:rsidRPr="00775AA5" w:rsidRDefault="00A10C56" w:rsidP="00A10C56">
      <w:pPr>
        <w:pStyle w:val="Ttulo1"/>
      </w:pPr>
      <w:r w:rsidRPr="00775AA5">
        <w:t>DECLARACIÓN DE AUSENCIA DE CONFLICTO DE INTERESES (DACI)</w:t>
      </w:r>
    </w:p>
    <w:p w14:paraId="46145235" w14:textId="77777777" w:rsidR="00A10C56" w:rsidRPr="002C3F31" w:rsidRDefault="00A10C56" w:rsidP="00A10C56">
      <w:pPr>
        <w:rPr>
          <w:rFonts w:cs="Arial"/>
          <w:szCs w:val="22"/>
        </w:rPr>
      </w:pPr>
    </w:p>
    <w:p w14:paraId="14A29EFD" w14:textId="77777777" w:rsidR="00A10C56" w:rsidRPr="00E5214F" w:rsidRDefault="00A10C56" w:rsidP="00A10C56">
      <w:pPr>
        <w:widowControl w:val="0"/>
        <w:suppressAutoHyphens w:val="0"/>
        <w:ind w:left="113" w:right="1226"/>
        <w:jc w:val="both"/>
        <w:rPr>
          <w:rFonts w:eastAsia="Calibri"/>
        </w:rPr>
      </w:pPr>
      <w:r w:rsidRPr="002C3F31">
        <w:rPr>
          <w:rFonts w:ascii="Arial" w:hAnsi="Arial" w:cs="Arial"/>
          <w:sz w:val="22"/>
          <w:szCs w:val="22"/>
        </w:rPr>
        <w:t xml:space="preserve">Expediente: </w:t>
      </w:r>
      <w:r w:rsidRPr="007E4C85">
        <w:rPr>
          <w:rFonts w:eastAsia="Arial"/>
          <w:b/>
          <w:bCs/>
          <w:color w:val="000000"/>
          <w:lang w:eastAsia="es-ES"/>
        </w:rPr>
        <w:t xml:space="preserve"> </w:t>
      </w:r>
      <w:r>
        <w:rPr>
          <w:rFonts w:eastAsia="Arial"/>
          <w:b/>
          <w:bCs/>
          <w:color w:val="000000"/>
          <w:lang w:eastAsia="es-ES"/>
        </w:rPr>
        <w:t xml:space="preserve">CONTRATO DE SUMINISTRO DE MURALES DE FACHADA Y CARTELERIA DE COMUNICACIÓN Y DINAMIZACION DEL PROYECTO DE EMBELLECIMIENTO Y DINAMIZACION EN TORNO A LA ESTACION DEL TREN IRATI EN LIÉDENA. PSTD </w:t>
      </w:r>
      <w:r>
        <w:rPr>
          <w:rFonts w:eastAsia="Arial"/>
          <w:b/>
          <w:bCs/>
          <w:color w:val="000000"/>
          <w:spacing w:val="-1"/>
          <w:lang w:eastAsia="es-ES"/>
        </w:rPr>
        <w:t xml:space="preserve">en el marco del </w:t>
      </w:r>
      <w:r w:rsidRPr="00E5214F">
        <w:rPr>
          <w:rFonts w:eastAsia="Calibri"/>
          <w:b/>
          <w:bCs/>
          <w:lang w:eastAsia="es-ES"/>
        </w:rPr>
        <w:t xml:space="preserve">«Plan de Recuperación, Transformación y Resiliencia - Financiado por la Unión </w:t>
      </w:r>
      <w:r>
        <w:rPr>
          <w:rFonts w:eastAsia="Calibri"/>
          <w:b/>
          <w:bCs/>
          <w:lang w:eastAsia="es-ES"/>
        </w:rPr>
        <w:t>E</w:t>
      </w:r>
      <w:r w:rsidRPr="00E5214F">
        <w:rPr>
          <w:rFonts w:eastAsia="Calibri"/>
          <w:b/>
          <w:bCs/>
          <w:lang w:eastAsia="es-ES"/>
        </w:rPr>
        <w:t xml:space="preserve">uropea – Next </w:t>
      </w:r>
      <w:proofErr w:type="spellStart"/>
      <w:r w:rsidRPr="00E5214F">
        <w:rPr>
          <w:rFonts w:eastAsia="Calibri"/>
          <w:b/>
          <w:bCs/>
          <w:lang w:eastAsia="es-ES"/>
        </w:rPr>
        <w:t>Generation</w:t>
      </w:r>
      <w:proofErr w:type="spellEnd"/>
      <w:r w:rsidRPr="00E5214F">
        <w:rPr>
          <w:rFonts w:eastAsia="Calibri"/>
          <w:b/>
          <w:bCs/>
          <w:lang w:eastAsia="es-ES"/>
        </w:rPr>
        <w:t xml:space="preserve"> EU».</w:t>
      </w:r>
    </w:p>
    <w:bookmarkEnd w:id="0"/>
    <w:p w14:paraId="3DBA08B5" w14:textId="77777777" w:rsidR="00A10C56" w:rsidRPr="002C3F31" w:rsidRDefault="00A10C56" w:rsidP="00A10C56">
      <w:pPr>
        <w:widowControl w:val="0"/>
        <w:suppressAutoHyphens w:val="0"/>
        <w:ind w:left="113" w:right="1226"/>
        <w:jc w:val="both"/>
        <w:rPr>
          <w:rFonts w:ascii="Arial" w:hAnsi="Arial" w:cs="Arial"/>
          <w:sz w:val="22"/>
          <w:szCs w:val="22"/>
        </w:rPr>
      </w:pPr>
    </w:p>
    <w:p w14:paraId="24ECD575" w14:textId="77777777" w:rsidR="00A10C56" w:rsidRPr="002C3F31" w:rsidRDefault="00A10C56" w:rsidP="00A10C56">
      <w:pPr>
        <w:pStyle w:val="Default"/>
        <w:jc w:val="both"/>
        <w:rPr>
          <w:rFonts w:ascii="Arial" w:hAnsi="Arial" w:cs="Arial"/>
          <w:sz w:val="22"/>
          <w:szCs w:val="22"/>
        </w:rPr>
      </w:pPr>
    </w:p>
    <w:p w14:paraId="2CC5AAD8" w14:textId="77777777" w:rsidR="00A10C56" w:rsidRPr="002C3F31" w:rsidRDefault="00A10C56" w:rsidP="00A10C56">
      <w:pPr>
        <w:pStyle w:val="Default"/>
        <w:jc w:val="both"/>
        <w:rPr>
          <w:rFonts w:ascii="Arial" w:hAnsi="Arial" w:cs="Arial"/>
          <w:b/>
          <w:bCs/>
          <w:sz w:val="22"/>
          <w:szCs w:val="22"/>
        </w:rPr>
      </w:pPr>
      <w:r w:rsidRPr="002C3F31">
        <w:rPr>
          <w:rFonts w:ascii="Arial" w:hAnsi="Arial" w:cs="Arial"/>
          <w:sz w:val="22"/>
          <w:szCs w:val="22"/>
        </w:rPr>
        <w:t xml:space="preserve">Al objeto de garantizar la imparcialidad en el procedimiento arriba referenciado, la persona abajo firmante, como participante en el proceso de preparación y tramitación del expediente, </w:t>
      </w:r>
      <w:r w:rsidRPr="002C3F31">
        <w:rPr>
          <w:rFonts w:ascii="Arial" w:hAnsi="Arial" w:cs="Arial"/>
          <w:bCs/>
          <w:sz w:val="22"/>
          <w:szCs w:val="22"/>
        </w:rPr>
        <w:t>DECLARA</w:t>
      </w:r>
      <w:r w:rsidRPr="002C3F31">
        <w:rPr>
          <w:rFonts w:ascii="Arial" w:hAnsi="Arial" w:cs="Arial"/>
          <w:b/>
          <w:bCs/>
          <w:sz w:val="22"/>
          <w:szCs w:val="22"/>
        </w:rPr>
        <w:t xml:space="preserve">: </w:t>
      </w:r>
    </w:p>
    <w:p w14:paraId="3637E2EE" w14:textId="77777777" w:rsidR="00A10C56" w:rsidRPr="002C3F31" w:rsidRDefault="00A10C56" w:rsidP="00A10C56">
      <w:pPr>
        <w:pStyle w:val="Default"/>
        <w:jc w:val="both"/>
        <w:rPr>
          <w:rFonts w:ascii="Arial" w:hAnsi="Arial" w:cs="Arial"/>
          <w:sz w:val="22"/>
          <w:szCs w:val="22"/>
        </w:rPr>
      </w:pPr>
    </w:p>
    <w:p w14:paraId="1909A2B9" w14:textId="77777777" w:rsidR="00A10C56" w:rsidRPr="002C3F31" w:rsidRDefault="00A10C56" w:rsidP="00A10C56">
      <w:pPr>
        <w:pStyle w:val="Default"/>
        <w:jc w:val="both"/>
        <w:rPr>
          <w:rFonts w:ascii="Arial" w:hAnsi="Arial" w:cs="Arial"/>
          <w:sz w:val="22"/>
          <w:szCs w:val="22"/>
        </w:rPr>
      </w:pPr>
    </w:p>
    <w:p w14:paraId="21B45A04" w14:textId="77777777" w:rsidR="00A10C56" w:rsidRPr="002C3F31" w:rsidRDefault="00A10C56" w:rsidP="00A10C56">
      <w:pPr>
        <w:pStyle w:val="Default"/>
        <w:jc w:val="both"/>
        <w:rPr>
          <w:rFonts w:ascii="Arial" w:hAnsi="Arial" w:cs="Arial"/>
          <w:sz w:val="22"/>
          <w:szCs w:val="22"/>
        </w:rPr>
      </w:pPr>
      <w:r w:rsidRPr="002C3F31">
        <w:rPr>
          <w:rFonts w:ascii="Arial" w:hAnsi="Arial" w:cs="Arial"/>
          <w:b/>
          <w:bCs/>
          <w:sz w:val="22"/>
          <w:szCs w:val="22"/>
        </w:rPr>
        <w:t xml:space="preserve">PRIMERO: </w:t>
      </w:r>
      <w:r w:rsidRPr="002C3F31">
        <w:rPr>
          <w:rFonts w:ascii="Arial" w:hAnsi="Arial" w:cs="Arial"/>
          <w:sz w:val="22"/>
          <w:szCs w:val="22"/>
        </w:rPr>
        <w:t xml:space="preserve">Estar informada de lo siguiente: </w:t>
      </w:r>
    </w:p>
    <w:p w14:paraId="1EEE17E2" w14:textId="77777777" w:rsidR="00A10C56" w:rsidRPr="002C3F31" w:rsidRDefault="00A10C56" w:rsidP="00A10C56">
      <w:pPr>
        <w:pStyle w:val="Default"/>
        <w:jc w:val="both"/>
        <w:rPr>
          <w:rFonts w:ascii="Arial" w:hAnsi="Arial" w:cs="Arial"/>
          <w:sz w:val="22"/>
          <w:szCs w:val="22"/>
        </w:rPr>
      </w:pPr>
    </w:p>
    <w:p w14:paraId="2F16F712" w14:textId="77777777" w:rsidR="00A10C56" w:rsidRDefault="00A10C56" w:rsidP="00A10C56">
      <w:pPr>
        <w:pStyle w:val="Default"/>
        <w:ind w:left="426" w:hanging="426"/>
        <w:jc w:val="both"/>
        <w:rPr>
          <w:rFonts w:ascii="Arial" w:hAnsi="Arial" w:cs="Arial"/>
          <w:sz w:val="22"/>
          <w:szCs w:val="22"/>
        </w:rPr>
      </w:pPr>
      <w:r w:rsidRPr="002C3F31">
        <w:rPr>
          <w:rFonts w:ascii="Arial" w:hAnsi="Arial" w:cs="Arial"/>
          <w:sz w:val="22"/>
          <w:szCs w:val="22"/>
        </w:rPr>
        <w:t>1.</w:t>
      </w:r>
      <w:r w:rsidRPr="002C3F31">
        <w:rPr>
          <w:rFonts w:ascii="Arial" w:hAnsi="Arial" w:cs="Arial"/>
          <w:sz w:val="22"/>
          <w:szCs w:val="22"/>
        </w:rPr>
        <w:t> </w:t>
      </w:r>
      <w:r w:rsidRPr="002C3F31">
        <w:rPr>
          <w:rFonts w:ascii="Arial" w:hAnsi="Arial" w:cs="Arial"/>
          <w:sz w:val="22"/>
          <w:szCs w:val="22"/>
        </w:rPr>
        <w:t xml:space="preserve">Que el artículo 61.3 «Conflicto de intereses», del Reglamento (UE, </w:t>
      </w:r>
      <w:proofErr w:type="spellStart"/>
      <w:r w:rsidRPr="002C3F31">
        <w:rPr>
          <w:rFonts w:ascii="Arial" w:hAnsi="Arial" w:cs="Arial"/>
          <w:sz w:val="22"/>
          <w:szCs w:val="22"/>
        </w:rPr>
        <w:t>Euratom</w:t>
      </w:r>
      <w:proofErr w:type="spellEnd"/>
      <w:r w:rsidRPr="002C3F31">
        <w:rPr>
          <w:rFonts w:ascii="Arial" w:hAnsi="Arial" w:cs="Arial"/>
          <w:sz w:val="22"/>
          <w:szCs w:val="22"/>
        </w:rPr>
        <w:t>) 2018/1046 del Parlamento Europeo y del Consejo, de 18 de julio (Reglamento financiero de la UE) establece que «</w:t>
      </w:r>
      <w:r w:rsidRPr="002C3F31">
        <w:rPr>
          <w:rFonts w:ascii="Arial" w:hAnsi="Arial" w:cs="Arial"/>
          <w:i/>
          <w:sz w:val="22"/>
          <w:szCs w:val="22"/>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2C3F31">
        <w:rPr>
          <w:rFonts w:ascii="Arial" w:hAnsi="Arial" w:cs="Arial"/>
          <w:sz w:val="22"/>
          <w:szCs w:val="22"/>
        </w:rPr>
        <w:t xml:space="preserve">». </w:t>
      </w:r>
    </w:p>
    <w:p w14:paraId="1F112956" w14:textId="77777777" w:rsidR="00A10C56" w:rsidRDefault="00A10C56" w:rsidP="00A10C56">
      <w:pPr>
        <w:pStyle w:val="Default"/>
        <w:jc w:val="both"/>
        <w:rPr>
          <w:rFonts w:ascii="Arial" w:hAnsi="Arial" w:cs="Arial"/>
          <w:sz w:val="22"/>
          <w:szCs w:val="22"/>
        </w:rPr>
      </w:pPr>
    </w:p>
    <w:p w14:paraId="706B79C4" w14:textId="77777777" w:rsidR="00A10C56" w:rsidRDefault="00A10C56" w:rsidP="00A10C56">
      <w:pPr>
        <w:pStyle w:val="Default"/>
        <w:ind w:left="426" w:hanging="426"/>
        <w:jc w:val="both"/>
        <w:rPr>
          <w:rFonts w:ascii="Arial" w:hAnsi="Arial" w:cs="Arial"/>
          <w:sz w:val="22"/>
          <w:szCs w:val="22"/>
        </w:rPr>
      </w:pPr>
      <w:r w:rsidRPr="002C3F31">
        <w:rPr>
          <w:rFonts w:ascii="Arial" w:hAnsi="Arial" w:cs="Arial"/>
          <w:sz w:val="22"/>
          <w:szCs w:val="22"/>
        </w:rPr>
        <w:t>2.</w:t>
      </w:r>
      <w:r w:rsidRPr="002C3F31">
        <w:rPr>
          <w:rFonts w:ascii="Arial" w:hAnsi="Arial" w:cs="Arial"/>
          <w:sz w:val="22"/>
          <w:szCs w:val="22"/>
        </w:rPr>
        <w:t> </w:t>
      </w:r>
      <w:r w:rsidRPr="002C3F31">
        <w:rPr>
          <w:rFonts w:ascii="Arial" w:hAnsi="Arial" w:cs="Arial"/>
          <w:sz w:val="22"/>
          <w:szCs w:val="22"/>
        </w:rPr>
        <w:t>Que el artículo 64 «Lucha contra la corrupción y prevención de los conflictos de intereses» de la Ley 9/2017, de 8 de noviembre, de Contratos del Sector Público, por la que se trasponen al ordenamiento jurídico español las Directivas del Parlamento Europeo y del Consejo 2014/23/UE y 2014/24/UE, de 26 de febrero de 2014, define el conflicto de interés como «</w:t>
      </w:r>
      <w:r w:rsidRPr="002C3F31">
        <w:rPr>
          <w:rFonts w:ascii="Arial" w:hAnsi="Arial" w:cs="Arial"/>
          <w:i/>
          <w:sz w:val="22"/>
          <w:szCs w:val="22"/>
        </w:rPr>
        <w:t>cualquier situación en la que el personal al servicio del órgano de contratación, que además participe en el desarrollo del procedimiento de licitación o pueda influir en el resultado del mismo, tenga directa o indirectamente un interés financiero, económico o personal que pudiera parecer que compromete su imparcialidad e independencia en el contexto del procedimiento de licitación</w:t>
      </w:r>
      <w:r w:rsidRPr="002C3F31">
        <w:rPr>
          <w:rFonts w:ascii="Arial" w:hAnsi="Arial" w:cs="Arial"/>
          <w:sz w:val="22"/>
          <w:szCs w:val="22"/>
        </w:rPr>
        <w:t>».</w:t>
      </w:r>
    </w:p>
    <w:p w14:paraId="662B56E0" w14:textId="77777777" w:rsidR="00A10C56" w:rsidRDefault="00A10C56" w:rsidP="00A10C56">
      <w:pPr>
        <w:pStyle w:val="Default"/>
        <w:ind w:left="426" w:hanging="426"/>
        <w:jc w:val="both"/>
        <w:rPr>
          <w:rFonts w:ascii="Arial" w:hAnsi="Arial" w:cs="Arial"/>
          <w:sz w:val="22"/>
          <w:szCs w:val="22"/>
        </w:rPr>
      </w:pPr>
    </w:p>
    <w:p w14:paraId="27B0C730" w14:textId="77777777" w:rsidR="00A10C56" w:rsidRPr="006C2B13" w:rsidRDefault="00A10C56" w:rsidP="00A10C56">
      <w:pPr>
        <w:pStyle w:val="Default"/>
        <w:ind w:left="426" w:hanging="426"/>
        <w:jc w:val="both"/>
        <w:rPr>
          <w:rFonts w:ascii="Arial" w:hAnsi="Arial" w:cs="Arial"/>
          <w:i/>
          <w:sz w:val="22"/>
          <w:szCs w:val="22"/>
        </w:rPr>
      </w:pPr>
      <w:r>
        <w:rPr>
          <w:rFonts w:ascii="Arial" w:hAnsi="Arial" w:cs="Arial"/>
          <w:sz w:val="22"/>
          <w:szCs w:val="22"/>
        </w:rPr>
        <w:tab/>
      </w:r>
      <w:r w:rsidRPr="00BF5198">
        <w:rPr>
          <w:rFonts w:ascii="Arial" w:hAnsi="Arial" w:cs="Arial"/>
          <w:sz w:val="22"/>
          <w:szCs w:val="22"/>
        </w:rPr>
        <w:t xml:space="preserve">Igualmente, el artículo 52 de la Ley Foral 2/2018, de 13 de abril, de Contratos Públicos, establece que existe una situación de conflicto de intereses </w:t>
      </w:r>
      <w:r w:rsidRPr="00BF5198">
        <w:rPr>
          <w:rFonts w:ascii="Arial" w:hAnsi="Arial" w:cs="Arial"/>
          <w:i/>
          <w:sz w:val="22"/>
          <w:szCs w:val="22"/>
        </w:rPr>
        <w:t>«cuando el personal del poder adjudicador, o de un proveedor de servicios de contratación que actúe en su nombre, que participe en el desarrollo del procedimiento de contratación o pueda influir en su resultado tenga, directa o indirectamente, un interés financiero, económico o personal que pudiera parecer que compromete su imparcialidad e independencia en el contexto del procedimiento de contratación».</w:t>
      </w:r>
    </w:p>
    <w:p w14:paraId="43D640EC" w14:textId="41D55DCF" w:rsidR="00A10C56" w:rsidRDefault="00A10C56" w:rsidP="00A10C56">
      <w:pPr>
        <w:pStyle w:val="Default"/>
        <w:jc w:val="both"/>
        <w:rPr>
          <w:rFonts w:ascii="Arial" w:hAnsi="Arial" w:cs="Arial"/>
          <w:sz w:val="22"/>
          <w:szCs w:val="22"/>
        </w:rPr>
      </w:pPr>
      <w:r>
        <w:rPr>
          <w:noProof/>
        </w:rPr>
        <w:lastRenderedPageBreak/>
        <w:drawing>
          <wp:inline distT="0" distB="0" distL="0" distR="0" wp14:anchorId="317CA75D" wp14:editId="7535434F">
            <wp:extent cx="5400040" cy="269240"/>
            <wp:effectExtent l="0" t="0" r="0" b="0"/>
            <wp:docPr id="761766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661312" name="Imagen 186366131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00040" cy="269240"/>
                    </a:xfrm>
                    <a:prstGeom prst="rect">
                      <a:avLst/>
                    </a:prstGeom>
                  </pic:spPr>
                </pic:pic>
              </a:graphicData>
            </a:graphic>
          </wp:inline>
        </w:drawing>
      </w:r>
    </w:p>
    <w:p w14:paraId="7A641B86" w14:textId="77777777" w:rsidR="00A10C56" w:rsidRPr="002C3F31" w:rsidRDefault="00A10C56" w:rsidP="00A10C56">
      <w:pPr>
        <w:pStyle w:val="Default"/>
        <w:jc w:val="both"/>
        <w:rPr>
          <w:rFonts w:ascii="Arial" w:hAnsi="Arial" w:cs="Arial"/>
          <w:sz w:val="22"/>
          <w:szCs w:val="22"/>
        </w:rPr>
      </w:pPr>
    </w:p>
    <w:p w14:paraId="0D857853" w14:textId="77777777" w:rsidR="00A10C56" w:rsidRDefault="00A10C56" w:rsidP="00A10C56">
      <w:pPr>
        <w:pStyle w:val="Default"/>
        <w:ind w:left="426" w:hanging="426"/>
        <w:jc w:val="both"/>
        <w:rPr>
          <w:rFonts w:ascii="Arial" w:hAnsi="Arial" w:cs="Arial"/>
          <w:sz w:val="22"/>
          <w:szCs w:val="22"/>
        </w:rPr>
      </w:pPr>
      <w:r w:rsidRPr="002C3F31">
        <w:rPr>
          <w:rFonts w:ascii="Arial" w:hAnsi="Arial" w:cs="Arial"/>
          <w:sz w:val="22"/>
          <w:szCs w:val="22"/>
        </w:rPr>
        <w:t>3.</w:t>
      </w:r>
      <w:r w:rsidRPr="002C3F31">
        <w:rPr>
          <w:rFonts w:ascii="Arial" w:hAnsi="Arial" w:cs="Arial"/>
          <w:sz w:val="22"/>
          <w:szCs w:val="22"/>
        </w:rPr>
        <w:t> </w:t>
      </w:r>
      <w:r w:rsidRPr="002C3F31">
        <w:rPr>
          <w:rFonts w:ascii="Arial" w:hAnsi="Arial" w:cs="Arial"/>
          <w:sz w:val="22"/>
          <w:szCs w:val="22"/>
        </w:rPr>
        <w:t>Que el apartado 3 de la Disposición Adicional centésima décima segunda de la Ley 31/2022, de 23 de diciembre, de Presupuestos Generales del Estado para 2023, establece que «</w:t>
      </w:r>
      <w:r w:rsidRPr="002C3F31">
        <w:rPr>
          <w:rFonts w:ascii="Arial" w:hAnsi="Arial" w:cs="Arial"/>
          <w:i/>
          <w:sz w:val="22"/>
          <w:szCs w:val="22"/>
        </w:rPr>
        <w:t>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r w:rsidRPr="002C3F31">
        <w:rPr>
          <w:rFonts w:ascii="Arial" w:hAnsi="Arial" w:cs="Arial"/>
          <w:sz w:val="22"/>
          <w:szCs w:val="22"/>
        </w:rPr>
        <w:t xml:space="preserve">». </w:t>
      </w:r>
    </w:p>
    <w:p w14:paraId="5465D2C8" w14:textId="77777777" w:rsidR="00A10C56" w:rsidRDefault="00A10C56" w:rsidP="00A10C56">
      <w:pPr>
        <w:pStyle w:val="Default"/>
        <w:jc w:val="both"/>
        <w:rPr>
          <w:rFonts w:ascii="Arial" w:hAnsi="Arial" w:cs="Arial"/>
          <w:sz w:val="22"/>
          <w:szCs w:val="22"/>
        </w:rPr>
      </w:pPr>
    </w:p>
    <w:p w14:paraId="61541932" w14:textId="77777777" w:rsidR="00A10C56" w:rsidRDefault="00A10C56" w:rsidP="00A10C56">
      <w:pPr>
        <w:pStyle w:val="Default"/>
        <w:ind w:left="426" w:hanging="426"/>
        <w:jc w:val="both"/>
        <w:rPr>
          <w:rFonts w:ascii="Arial" w:hAnsi="Arial" w:cs="Arial"/>
          <w:sz w:val="22"/>
          <w:szCs w:val="22"/>
        </w:rPr>
      </w:pPr>
      <w:r w:rsidRPr="002C3F31">
        <w:rPr>
          <w:rFonts w:ascii="Arial" w:hAnsi="Arial" w:cs="Arial"/>
          <w:sz w:val="22"/>
          <w:szCs w:val="22"/>
        </w:rPr>
        <w:t>4.</w:t>
      </w:r>
      <w:r w:rsidRPr="002C3F31">
        <w:rPr>
          <w:rFonts w:ascii="Arial" w:hAnsi="Arial" w:cs="Arial"/>
          <w:sz w:val="22"/>
          <w:szCs w:val="22"/>
        </w:rPr>
        <w:t> </w:t>
      </w:r>
      <w:r w:rsidRPr="002C3F31">
        <w:rPr>
          <w:rFonts w:ascii="Arial" w:hAnsi="Arial" w:cs="Arial"/>
          <w:sz w:val="22"/>
          <w:szCs w:val="22"/>
        </w:rPr>
        <w:t>Que el apartado 4 de la citada disposición adicional centésima décima segunda establece que:</w:t>
      </w:r>
    </w:p>
    <w:p w14:paraId="72578B7F" w14:textId="77777777" w:rsidR="00A10C56" w:rsidRDefault="00A10C56" w:rsidP="00A10C56">
      <w:pPr>
        <w:pStyle w:val="Default"/>
        <w:jc w:val="both"/>
        <w:rPr>
          <w:rFonts w:ascii="Arial" w:hAnsi="Arial" w:cs="Arial"/>
          <w:sz w:val="22"/>
          <w:szCs w:val="22"/>
        </w:rPr>
      </w:pPr>
    </w:p>
    <w:p w14:paraId="238F7C67" w14:textId="77777777" w:rsidR="00A10C56" w:rsidRPr="002C3F31" w:rsidRDefault="00A10C56" w:rsidP="00A10C56">
      <w:pPr>
        <w:pStyle w:val="Default"/>
        <w:ind w:left="709" w:hanging="283"/>
        <w:jc w:val="both"/>
        <w:rPr>
          <w:rFonts w:ascii="Arial" w:hAnsi="Arial" w:cs="Arial"/>
          <w:sz w:val="22"/>
          <w:szCs w:val="22"/>
        </w:rPr>
      </w:pPr>
      <w:r w:rsidRPr="002C3F31">
        <w:rPr>
          <w:rFonts w:ascii="Arial" w:hAnsi="Arial" w:cs="Arial"/>
          <w:sz w:val="22"/>
          <w:szCs w:val="22"/>
        </w:rPr>
        <w:t>–</w:t>
      </w:r>
      <w:r w:rsidRPr="002C3F31">
        <w:rPr>
          <w:rFonts w:ascii="Arial" w:hAnsi="Arial" w:cs="Arial"/>
          <w:sz w:val="22"/>
          <w:szCs w:val="22"/>
        </w:rPr>
        <w:t> </w:t>
      </w:r>
      <w:r w:rsidRPr="002C3F31">
        <w:rPr>
          <w:rFonts w:ascii="Arial" w:hAnsi="Arial" w:cs="Arial"/>
          <w:sz w:val="22"/>
          <w:szCs w:val="22"/>
        </w:rPr>
        <w:t>«</w:t>
      </w:r>
      <w:r w:rsidRPr="002C3F31">
        <w:rPr>
          <w:rFonts w:ascii="Arial" w:hAnsi="Arial" w:cs="Arial"/>
          <w:i/>
          <w:sz w:val="22"/>
          <w:szCs w:val="22"/>
        </w:rPr>
        <w:t>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r w:rsidRPr="002C3F31">
        <w:rPr>
          <w:rFonts w:ascii="Arial" w:hAnsi="Arial" w:cs="Arial"/>
          <w:sz w:val="22"/>
          <w:szCs w:val="22"/>
        </w:rPr>
        <w:t>».</w:t>
      </w:r>
    </w:p>
    <w:p w14:paraId="52A4393C" w14:textId="77777777" w:rsidR="00A10C56" w:rsidRPr="002C3F31" w:rsidRDefault="00A10C56" w:rsidP="00A10C56">
      <w:pPr>
        <w:pStyle w:val="Default"/>
        <w:ind w:left="709" w:hanging="283"/>
        <w:jc w:val="both"/>
        <w:rPr>
          <w:rFonts w:ascii="Arial" w:hAnsi="Arial" w:cs="Arial"/>
          <w:sz w:val="22"/>
          <w:szCs w:val="22"/>
        </w:rPr>
      </w:pPr>
    </w:p>
    <w:p w14:paraId="01348705" w14:textId="77777777" w:rsidR="00A10C56" w:rsidRDefault="00A10C56" w:rsidP="00A10C56">
      <w:pPr>
        <w:pStyle w:val="Default"/>
        <w:ind w:left="709" w:hanging="283"/>
        <w:jc w:val="both"/>
        <w:rPr>
          <w:rFonts w:ascii="Arial" w:hAnsi="Arial" w:cs="Arial"/>
          <w:sz w:val="22"/>
          <w:szCs w:val="22"/>
        </w:rPr>
      </w:pPr>
      <w:r w:rsidRPr="002C3F31">
        <w:rPr>
          <w:rFonts w:ascii="Arial" w:hAnsi="Arial" w:cs="Arial"/>
          <w:sz w:val="22"/>
          <w:szCs w:val="22"/>
        </w:rPr>
        <w:t>–</w:t>
      </w:r>
      <w:r w:rsidRPr="002C3F31">
        <w:rPr>
          <w:rFonts w:ascii="Arial" w:hAnsi="Arial" w:cs="Arial"/>
          <w:sz w:val="22"/>
          <w:szCs w:val="22"/>
        </w:rPr>
        <w:t> </w:t>
      </w:r>
      <w:r w:rsidRPr="002C3F31">
        <w:rPr>
          <w:rFonts w:ascii="Arial" w:hAnsi="Arial" w:cs="Arial"/>
          <w:sz w:val="22"/>
          <w:szCs w:val="22"/>
        </w:rPr>
        <w:t>«</w:t>
      </w:r>
      <w:r w:rsidRPr="002C3F31">
        <w:rPr>
          <w:rFonts w:ascii="Arial" w:hAnsi="Arial" w:cs="Arial"/>
          <w:i/>
          <w:sz w:val="22"/>
          <w:szCs w:val="22"/>
        </w:rPr>
        <w:t>Para la identificación de las relaciones o vinculaciones la herramienta contendrá, entre otros, los datos de titularidad real de las personas jurídicas a las que se refiere el artículo 22.</w:t>
      </w:r>
      <w:proofErr w:type="gramStart"/>
      <w:r w:rsidRPr="002C3F31">
        <w:rPr>
          <w:rFonts w:ascii="Arial" w:hAnsi="Arial" w:cs="Arial"/>
          <w:i/>
          <w:sz w:val="22"/>
          <w:szCs w:val="22"/>
        </w:rPr>
        <w:t>2.d).</w:t>
      </w:r>
      <w:proofErr w:type="spellStart"/>
      <w:r w:rsidRPr="002C3F31">
        <w:rPr>
          <w:rFonts w:ascii="Arial" w:hAnsi="Arial" w:cs="Arial"/>
          <w:i/>
          <w:sz w:val="22"/>
          <w:szCs w:val="22"/>
        </w:rPr>
        <w:t>iii</w:t>
      </w:r>
      <w:proofErr w:type="spellEnd"/>
      <w:proofErr w:type="gramEnd"/>
      <w:r w:rsidRPr="002C3F31">
        <w:rPr>
          <w:rFonts w:ascii="Arial" w:hAnsi="Arial" w:cs="Arial"/>
          <w:i/>
          <w:sz w:val="22"/>
          <w:szCs w:val="22"/>
        </w:rPr>
        <w:t>) del Reglamento (UE) 241/2021, de 12 febrero, obrantes en las bases de datos de la Agencia Estatal de Administración Tributaria y los obtenidos a través de los convenios suscritos con los Colegios de Notarios y Registradores</w:t>
      </w:r>
      <w:r w:rsidRPr="002C3F31">
        <w:rPr>
          <w:rFonts w:ascii="Arial" w:hAnsi="Arial" w:cs="Arial"/>
          <w:sz w:val="22"/>
          <w:szCs w:val="22"/>
        </w:rPr>
        <w:t xml:space="preserve">». </w:t>
      </w:r>
    </w:p>
    <w:p w14:paraId="572C8496" w14:textId="77777777" w:rsidR="00A10C56" w:rsidRDefault="00A10C56" w:rsidP="00A10C56">
      <w:pPr>
        <w:pStyle w:val="Default"/>
        <w:jc w:val="both"/>
        <w:rPr>
          <w:rFonts w:ascii="Arial" w:hAnsi="Arial" w:cs="Arial"/>
          <w:sz w:val="22"/>
          <w:szCs w:val="22"/>
        </w:rPr>
      </w:pPr>
    </w:p>
    <w:p w14:paraId="61E74A0E" w14:textId="77777777" w:rsidR="00A10C56" w:rsidRDefault="00A10C56" w:rsidP="00A10C56">
      <w:pPr>
        <w:pStyle w:val="Default"/>
        <w:jc w:val="both"/>
        <w:rPr>
          <w:rFonts w:ascii="Arial" w:hAnsi="Arial" w:cs="Arial"/>
          <w:sz w:val="22"/>
          <w:szCs w:val="22"/>
        </w:rPr>
      </w:pPr>
      <w:r w:rsidRPr="002C3F31">
        <w:rPr>
          <w:rFonts w:ascii="Arial" w:hAnsi="Arial" w:cs="Arial"/>
          <w:b/>
          <w:sz w:val="22"/>
          <w:szCs w:val="22"/>
        </w:rPr>
        <w:t>SEGUNDO</w:t>
      </w:r>
      <w:r w:rsidRPr="002C3F31">
        <w:rPr>
          <w:rFonts w:ascii="Arial" w:hAnsi="Arial" w:cs="Arial"/>
          <w:sz w:val="22"/>
          <w:szCs w:val="22"/>
        </w:rPr>
        <w:t>. Que, en el momento de la firma de esta declaración y a la luz de la información obrante en su poder, no se encuentra incurs</w:t>
      </w:r>
      <w:r>
        <w:rPr>
          <w:rFonts w:ascii="Arial" w:hAnsi="Arial" w:cs="Arial"/>
          <w:sz w:val="22"/>
          <w:szCs w:val="22"/>
        </w:rPr>
        <w:t>a</w:t>
      </w:r>
      <w:r w:rsidRPr="002C3F31">
        <w:rPr>
          <w:rFonts w:ascii="Arial" w:hAnsi="Arial" w:cs="Arial"/>
          <w:sz w:val="22"/>
          <w:szCs w:val="22"/>
        </w:rPr>
        <w:t xml:space="preserve"> en ninguna situación que pueda calificarse de conflicto de interés, en los términos previstos en el apartado cuatro de la disposición adicional centésima décima segunda, que pueda afectar al procedimiento de licitación/concesión de subvenciones. </w:t>
      </w:r>
    </w:p>
    <w:p w14:paraId="0110DF0B" w14:textId="77777777" w:rsidR="00A10C56" w:rsidRDefault="00A10C56" w:rsidP="00A10C56">
      <w:pPr>
        <w:pStyle w:val="Default"/>
        <w:jc w:val="both"/>
        <w:rPr>
          <w:rFonts w:ascii="Arial" w:hAnsi="Arial" w:cs="Arial"/>
          <w:sz w:val="22"/>
          <w:szCs w:val="22"/>
        </w:rPr>
      </w:pPr>
    </w:p>
    <w:p w14:paraId="7F49684F" w14:textId="77777777" w:rsidR="00A10C56" w:rsidRPr="002C3F31" w:rsidRDefault="00A10C56" w:rsidP="00A10C56">
      <w:pPr>
        <w:pStyle w:val="Default"/>
        <w:jc w:val="both"/>
        <w:rPr>
          <w:rFonts w:ascii="Arial" w:hAnsi="Arial" w:cs="Arial"/>
          <w:sz w:val="22"/>
          <w:szCs w:val="22"/>
        </w:rPr>
      </w:pPr>
      <w:r w:rsidRPr="002C3F31">
        <w:rPr>
          <w:rFonts w:ascii="Arial" w:hAnsi="Arial" w:cs="Arial"/>
          <w:b/>
          <w:sz w:val="22"/>
          <w:szCs w:val="22"/>
        </w:rPr>
        <w:t>TERCERO</w:t>
      </w:r>
      <w:r>
        <w:rPr>
          <w:rFonts w:ascii="Arial" w:hAnsi="Arial" w:cs="Arial"/>
          <w:sz w:val="22"/>
          <w:szCs w:val="22"/>
        </w:rPr>
        <w:t>. Que se compromete</w:t>
      </w:r>
      <w:r w:rsidRPr="002C3F31">
        <w:rPr>
          <w:rFonts w:ascii="Arial" w:hAnsi="Arial" w:cs="Arial"/>
          <w:sz w:val="22"/>
          <w:szCs w:val="22"/>
        </w:rPr>
        <w:t xml:space="preserve"> a poner en conocimiento del órgano de contratación/comisión de evaluación, sin dilación, cualquier situación de conflicto de interés que pudiera conocer y producirse en cualquier momento del procedimiento en curso.</w:t>
      </w:r>
    </w:p>
    <w:p w14:paraId="3E338B32" w14:textId="77777777" w:rsidR="00A10C56" w:rsidRPr="002C3F31" w:rsidRDefault="00A10C56" w:rsidP="00A10C56">
      <w:pPr>
        <w:pStyle w:val="Default"/>
        <w:jc w:val="both"/>
        <w:rPr>
          <w:rFonts w:ascii="Arial" w:hAnsi="Arial" w:cs="Arial"/>
          <w:sz w:val="22"/>
          <w:szCs w:val="22"/>
        </w:rPr>
      </w:pPr>
    </w:p>
    <w:p w14:paraId="5A6FE324" w14:textId="77777777" w:rsidR="00A10C56" w:rsidRPr="002C3F31" w:rsidRDefault="00A10C56" w:rsidP="00A10C56">
      <w:pPr>
        <w:pStyle w:val="Default"/>
        <w:jc w:val="both"/>
        <w:rPr>
          <w:rFonts w:ascii="Arial" w:hAnsi="Arial" w:cs="Arial"/>
          <w:sz w:val="22"/>
          <w:szCs w:val="22"/>
        </w:rPr>
      </w:pPr>
      <w:r w:rsidRPr="002C3F31">
        <w:rPr>
          <w:rFonts w:ascii="Arial" w:hAnsi="Arial" w:cs="Arial"/>
          <w:b/>
          <w:sz w:val="22"/>
          <w:szCs w:val="22"/>
        </w:rPr>
        <w:t>CUARTO</w:t>
      </w:r>
      <w:r w:rsidRPr="002C3F31">
        <w:rPr>
          <w:rFonts w:ascii="Arial" w:hAnsi="Arial" w:cs="Arial"/>
          <w:sz w:val="22"/>
          <w:szCs w:val="22"/>
        </w:rPr>
        <w:t>. Que conoce que una declaración de ausencia de conflicto de interés que se demuestre que sea falsa, acarreará las consecuencias disciplinarias/administrativas/judiciales que establezca la normativa de aplicación.</w:t>
      </w:r>
    </w:p>
    <w:p w14:paraId="1169BE16" w14:textId="77777777" w:rsidR="00A10C56" w:rsidRPr="002C3F31" w:rsidRDefault="00A10C56" w:rsidP="00A10C56">
      <w:pPr>
        <w:pStyle w:val="Default"/>
        <w:jc w:val="both"/>
        <w:rPr>
          <w:rFonts w:ascii="Arial" w:hAnsi="Arial" w:cs="Arial"/>
          <w:sz w:val="22"/>
          <w:szCs w:val="22"/>
        </w:rPr>
      </w:pPr>
    </w:p>
    <w:p w14:paraId="20AE1BF3" w14:textId="77777777" w:rsidR="00A10C56" w:rsidRPr="002C3F31" w:rsidRDefault="00A10C56" w:rsidP="00A10C56">
      <w:pPr>
        <w:rPr>
          <w:rFonts w:cs="Arial"/>
          <w:szCs w:val="22"/>
        </w:rPr>
      </w:pPr>
      <w:r>
        <w:rPr>
          <w:rFonts w:cs="Arial"/>
          <w:szCs w:val="22"/>
        </w:rPr>
        <w:t>Lugar</w:t>
      </w:r>
      <w:r w:rsidRPr="002C3F31">
        <w:rPr>
          <w:rFonts w:cs="Arial"/>
          <w:szCs w:val="22"/>
        </w:rPr>
        <w:t xml:space="preserve">, </w:t>
      </w:r>
      <w:r w:rsidRPr="00045998">
        <w:rPr>
          <w:rFonts w:cs="Arial"/>
          <w:szCs w:val="22"/>
          <w:highlight w:val="lightGray"/>
        </w:rPr>
        <w:t>fecha</w:t>
      </w:r>
      <w:r w:rsidRPr="002C3F31">
        <w:rPr>
          <w:rFonts w:cs="Arial"/>
          <w:szCs w:val="22"/>
        </w:rPr>
        <w:t>.</w:t>
      </w:r>
    </w:p>
    <w:p w14:paraId="5272F778" w14:textId="77777777" w:rsidR="00A10C56" w:rsidRPr="002C3F31" w:rsidRDefault="00A10C56" w:rsidP="00A10C56">
      <w:pPr>
        <w:rPr>
          <w:rFonts w:cs="Arial"/>
          <w:szCs w:val="22"/>
        </w:rPr>
      </w:pPr>
    </w:p>
    <w:p w14:paraId="1F8C874B" w14:textId="77777777" w:rsidR="00A10C56" w:rsidRPr="00045998" w:rsidRDefault="00A10C56" w:rsidP="00A10C56">
      <w:pPr>
        <w:jc w:val="center"/>
        <w:rPr>
          <w:rFonts w:cs="Arial"/>
          <w:szCs w:val="22"/>
          <w:highlight w:val="lightGray"/>
        </w:rPr>
      </w:pPr>
      <w:r w:rsidRPr="00045998">
        <w:rPr>
          <w:rFonts w:cs="Arial"/>
          <w:szCs w:val="22"/>
          <w:highlight w:val="lightGray"/>
        </w:rPr>
        <w:t>(Nombre, apellidos y cargo de quien firma)</w:t>
      </w:r>
    </w:p>
    <w:p w14:paraId="6D2F13C5" w14:textId="77777777" w:rsidR="00A10C56" w:rsidRDefault="00A10C56" w:rsidP="00A10C56">
      <w:pPr>
        <w:rPr>
          <w:b/>
          <w:lang w:val="es-ES_tradnl"/>
        </w:rPr>
      </w:pPr>
    </w:p>
    <w:p w14:paraId="5F46D297" w14:textId="77777777" w:rsidR="00A10C56" w:rsidRDefault="00A10C56" w:rsidP="00A10C56">
      <w:pPr>
        <w:rPr>
          <w:b/>
          <w:lang w:val="es-ES_tradnl"/>
        </w:rPr>
      </w:pPr>
    </w:p>
    <w:p w14:paraId="3B09CD9D" w14:textId="77777777" w:rsidR="00A10C56" w:rsidRDefault="00A10C56" w:rsidP="00A10C56">
      <w:pPr>
        <w:rPr>
          <w:b/>
          <w:lang w:val="es-ES_tradnl"/>
        </w:rPr>
      </w:pPr>
    </w:p>
    <w:p w14:paraId="1B836A84" w14:textId="0221C2F3" w:rsidR="00A941F5" w:rsidRPr="00A10C56" w:rsidRDefault="00A10C56" w:rsidP="00A10C56">
      <w:pPr>
        <w:pStyle w:val="Ttulo1"/>
        <w:jc w:val="both"/>
        <w:rPr>
          <w:rFonts w:eastAsia="PMingLiU"/>
          <w:bCs/>
          <w:color w:val="auto"/>
          <w:sz w:val="18"/>
          <w:szCs w:val="18"/>
          <w:lang w:eastAsia="en-US"/>
        </w:rPr>
      </w:pPr>
      <w:r w:rsidRPr="00A10C56">
        <w:rPr>
          <w:rFonts w:eastAsia="PMingLiU"/>
          <w:bCs/>
          <w:color w:val="auto"/>
          <w:sz w:val="18"/>
          <w:szCs w:val="18"/>
          <w:lang w:eastAsia="en-US"/>
        </w:rPr>
        <w:t>Protección de datos.– En cumplimiento de lo establecido en la Ley Orgánica 3/2018, de 5 de diciembre, de Protección de Datos Personales y garantía de los derechos digitales, se le informa que los datos de carácter personal facilitados en el presente impreso, se utilizarán exclusivamente para el ejercicio de las competencias municipales en el presente procedimiento y serán incorporados a los ficheros que conforman la base de datos de este Ayuntamiento de Liédena, ante el que podrá ejercitar los derechos de acceso, rectificación, cancelación y oposición dirigiéndose al Registro General</w:t>
      </w:r>
    </w:p>
    <w:sectPr w:rsidR="00A941F5" w:rsidRPr="00A10C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PHFE A+ 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714504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1F5"/>
    <w:rsid w:val="000534A3"/>
    <w:rsid w:val="00576AAE"/>
    <w:rsid w:val="008C16D8"/>
    <w:rsid w:val="009A0483"/>
    <w:rsid w:val="00A10C56"/>
    <w:rsid w:val="00A941F5"/>
    <w:rsid w:val="00B558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78FC6"/>
  <w15:chartTrackingRefBased/>
  <w15:docId w15:val="{95CAB470-5926-4D83-BBAB-29E04D7B4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41F5"/>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Ttulo1">
    <w:name w:val="heading 1"/>
    <w:basedOn w:val="Normal"/>
    <w:next w:val="Normal"/>
    <w:link w:val="Ttulo1Car"/>
    <w:qFormat/>
    <w:rsid w:val="00A941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941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941F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941F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941F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941F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41F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41F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41F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941F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941F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941F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941F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941F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941F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41F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41F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41F5"/>
    <w:rPr>
      <w:rFonts w:eastAsiaTheme="majorEastAsia" w:cstheme="majorBidi"/>
      <w:color w:val="272727" w:themeColor="text1" w:themeTint="D8"/>
    </w:rPr>
  </w:style>
  <w:style w:type="paragraph" w:styleId="Ttulo">
    <w:name w:val="Title"/>
    <w:basedOn w:val="Normal"/>
    <w:next w:val="Normal"/>
    <w:link w:val="TtuloCar"/>
    <w:uiPriority w:val="10"/>
    <w:qFormat/>
    <w:rsid w:val="00A941F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41F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41F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41F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41F5"/>
    <w:pPr>
      <w:spacing w:before="160"/>
      <w:jc w:val="center"/>
    </w:pPr>
    <w:rPr>
      <w:i/>
      <w:iCs/>
      <w:color w:val="404040" w:themeColor="text1" w:themeTint="BF"/>
    </w:rPr>
  </w:style>
  <w:style w:type="character" w:customStyle="1" w:styleId="CitaCar">
    <w:name w:val="Cita Car"/>
    <w:basedOn w:val="Fuentedeprrafopredeter"/>
    <w:link w:val="Cita"/>
    <w:uiPriority w:val="29"/>
    <w:rsid w:val="00A941F5"/>
    <w:rPr>
      <w:i/>
      <w:iCs/>
      <w:color w:val="404040" w:themeColor="text1" w:themeTint="BF"/>
    </w:rPr>
  </w:style>
  <w:style w:type="paragraph" w:styleId="Prrafodelista">
    <w:name w:val="List Paragraph"/>
    <w:basedOn w:val="Normal"/>
    <w:uiPriority w:val="34"/>
    <w:qFormat/>
    <w:rsid w:val="00A941F5"/>
    <w:pPr>
      <w:ind w:left="720"/>
      <w:contextualSpacing/>
    </w:pPr>
  </w:style>
  <w:style w:type="character" w:styleId="nfasisintenso">
    <w:name w:val="Intense Emphasis"/>
    <w:basedOn w:val="Fuentedeprrafopredeter"/>
    <w:uiPriority w:val="21"/>
    <w:qFormat/>
    <w:rsid w:val="00A941F5"/>
    <w:rPr>
      <w:i/>
      <w:iCs/>
      <w:color w:val="2F5496" w:themeColor="accent1" w:themeShade="BF"/>
    </w:rPr>
  </w:style>
  <w:style w:type="paragraph" w:styleId="Citadestacada">
    <w:name w:val="Intense Quote"/>
    <w:basedOn w:val="Normal"/>
    <w:next w:val="Normal"/>
    <w:link w:val="CitadestacadaCar"/>
    <w:uiPriority w:val="30"/>
    <w:qFormat/>
    <w:rsid w:val="00A941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941F5"/>
    <w:rPr>
      <w:i/>
      <w:iCs/>
      <w:color w:val="2F5496" w:themeColor="accent1" w:themeShade="BF"/>
    </w:rPr>
  </w:style>
  <w:style w:type="character" w:styleId="Referenciaintensa">
    <w:name w:val="Intense Reference"/>
    <w:basedOn w:val="Fuentedeprrafopredeter"/>
    <w:uiPriority w:val="32"/>
    <w:qFormat/>
    <w:rsid w:val="00A941F5"/>
    <w:rPr>
      <w:b/>
      <w:bCs/>
      <w:smallCaps/>
      <w:color w:val="2F5496" w:themeColor="accent1" w:themeShade="BF"/>
      <w:spacing w:val="5"/>
    </w:rPr>
  </w:style>
  <w:style w:type="paragraph" w:customStyle="1" w:styleId="Default">
    <w:name w:val="Default"/>
    <w:rsid w:val="00A10C56"/>
    <w:pPr>
      <w:widowControl w:val="0"/>
      <w:suppressAutoHyphens/>
      <w:autoSpaceDE w:val="0"/>
      <w:spacing w:after="0" w:line="240" w:lineRule="auto"/>
    </w:pPr>
    <w:rPr>
      <w:rFonts w:ascii="GPHFE A+ Arial MT" w:eastAsia="Times New Roman" w:hAnsi="GPHFE A+ Arial MT" w:cs="GPHFE A+ Arial MT"/>
      <w:color w:val="000000"/>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822</Words>
  <Characters>4527</Characters>
  <Application>Microsoft Office Word</Application>
  <DocSecurity>0</DocSecurity>
  <Lines>37</Lines>
  <Paragraphs>10</Paragraphs>
  <ScaleCrop>false</ScaleCrop>
  <Company/>
  <LinksUpToDate>false</LinksUpToDate>
  <CharactersWithSpaces>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2025-10-30T15:16:00Z</dcterms:created>
  <dcterms:modified xsi:type="dcterms:W3CDTF">2025-10-30T15:16:00Z</dcterms:modified>
</cp:coreProperties>
</file>