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3C0" w:rsidRPr="009774CC" w:rsidRDefault="005C63C0" w:rsidP="00AE2FE6">
      <w:pPr>
        <w:pBdr>
          <w:bottom w:val="single" w:sz="4" w:space="1" w:color="auto"/>
        </w:pBdr>
        <w:rPr>
          <w:rFonts w:asciiTheme="minorHAnsi" w:hAnsiTheme="minorHAnsi" w:cstheme="minorHAnsi"/>
        </w:rPr>
      </w:pPr>
      <w:r w:rsidRPr="009774CC">
        <w:rPr>
          <w:rFonts w:asciiTheme="minorHAnsi" w:hAnsiTheme="minorHAnsi" w:cstheme="minorHAnsi"/>
        </w:rPr>
        <w:t xml:space="preserve">PREGUNTA </w:t>
      </w:r>
      <w:r w:rsidR="00727858" w:rsidRPr="009774CC">
        <w:rPr>
          <w:rFonts w:asciiTheme="minorHAnsi" w:hAnsiTheme="minorHAnsi" w:cstheme="minorHAnsi"/>
        </w:rPr>
        <w:t>1:</w:t>
      </w:r>
    </w:p>
    <w:p w:rsidR="005C63C0" w:rsidRPr="009774CC" w:rsidRDefault="005C63C0" w:rsidP="00262542">
      <w:pPr>
        <w:rPr>
          <w:rFonts w:asciiTheme="minorHAnsi" w:hAnsiTheme="minorHAnsi" w:cstheme="minorHAnsi"/>
        </w:rPr>
      </w:pPr>
    </w:p>
    <w:p w:rsidR="00262542" w:rsidRPr="009774CC" w:rsidRDefault="00262542" w:rsidP="00262542">
      <w:pPr>
        <w:rPr>
          <w:rFonts w:asciiTheme="minorHAnsi" w:hAnsiTheme="minorHAnsi" w:cstheme="minorHAnsi"/>
        </w:rPr>
      </w:pPr>
      <w:r w:rsidRPr="009774CC">
        <w:rPr>
          <w:rFonts w:asciiTheme="minorHAnsi" w:hAnsiTheme="minorHAnsi" w:cstheme="minorHAnsi"/>
        </w:rPr>
        <w:t xml:space="preserve">Respecto a las nuevas ratios, lo que veo principalmente es que ya no estáis distinguiendo entre precios módulo, si no que habéis estipulado un precio único, independientemente de las condiciones del personal. </w:t>
      </w:r>
    </w:p>
    <w:p w:rsidR="008E2A31" w:rsidRPr="009774CC" w:rsidRDefault="008E2A31" w:rsidP="00262542">
      <w:pPr>
        <w:rPr>
          <w:rFonts w:asciiTheme="minorHAnsi" w:hAnsiTheme="minorHAnsi" w:cstheme="minorHAnsi"/>
        </w:rPr>
      </w:pPr>
    </w:p>
    <w:p w:rsidR="00262542" w:rsidRPr="009774CC" w:rsidRDefault="00262542" w:rsidP="00262542">
      <w:pPr>
        <w:rPr>
          <w:rFonts w:asciiTheme="minorHAnsi" w:hAnsiTheme="minorHAnsi" w:cstheme="minorHAnsi"/>
        </w:rPr>
      </w:pPr>
      <w:r w:rsidRPr="009774CC">
        <w:rPr>
          <w:rFonts w:asciiTheme="minorHAnsi" w:hAnsiTheme="minorHAnsi" w:cstheme="minorHAnsi"/>
        </w:rPr>
        <w:t>En relación al tema de las ratios,</w:t>
      </w:r>
    </w:p>
    <w:p w:rsidR="00262542" w:rsidRPr="009774CC" w:rsidRDefault="00262542" w:rsidP="00262542">
      <w:pPr>
        <w:rPr>
          <w:rFonts w:asciiTheme="minorHAnsi" w:hAnsiTheme="minorHAnsi" w:cstheme="minorHAnsi"/>
        </w:rPr>
      </w:pPr>
    </w:p>
    <w:p w:rsidR="00262542" w:rsidRPr="009774CC" w:rsidRDefault="00262542" w:rsidP="00262542">
      <w:pPr>
        <w:pStyle w:val="Prrafodelista"/>
        <w:numPr>
          <w:ilvl w:val="0"/>
          <w:numId w:val="1"/>
        </w:numPr>
        <w:rPr>
          <w:rFonts w:asciiTheme="minorHAnsi" w:hAnsiTheme="minorHAnsi" w:cstheme="minorHAnsi"/>
        </w:rPr>
      </w:pPr>
      <w:r w:rsidRPr="009774CC">
        <w:rPr>
          <w:rFonts w:asciiTheme="minorHAnsi" w:hAnsiTheme="minorHAnsi" w:cstheme="minorHAnsi"/>
        </w:rPr>
        <w:t>¿Es correcto que la ratio hora vaya bajando anualmente? No comprendo a qué corresponde esa bajada anual.</w:t>
      </w:r>
    </w:p>
    <w:p w:rsidR="00727858" w:rsidRPr="009774CC" w:rsidRDefault="00116BF1" w:rsidP="00727858">
      <w:pPr>
        <w:ind w:left="708"/>
        <w:rPr>
          <w:rFonts w:asciiTheme="minorHAnsi" w:hAnsiTheme="minorHAnsi" w:cstheme="minorHAnsi"/>
          <w:color w:val="548DD4" w:themeColor="text2" w:themeTint="99"/>
        </w:rPr>
      </w:pPr>
      <w:r>
        <w:rPr>
          <w:rFonts w:asciiTheme="minorHAnsi" w:hAnsiTheme="minorHAnsi" w:cstheme="minorHAnsi"/>
          <w:color w:val="548DD4" w:themeColor="text2" w:themeTint="99"/>
        </w:rPr>
        <w:t>Entendiendo que es un centro de día, e</w:t>
      </w:r>
      <w:r w:rsidR="00727858" w:rsidRPr="009774CC">
        <w:rPr>
          <w:rFonts w:asciiTheme="minorHAnsi" w:hAnsiTheme="minorHAnsi" w:cstheme="minorHAnsi"/>
          <w:color w:val="548DD4" w:themeColor="text2" w:themeTint="99"/>
        </w:rPr>
        <w:t>s correcto, porque, se ha tomado una jornada para cada 5 usuarios, es decir, un 20% de jornada. Con el nuevo convenio, al disminuir la jornada</w:t>
      </w:r>
      <w:r>
        <w:rPr>
          <w:rFonts w:asciiTheme="minorHAnsi" w:hAnsiTheme="minorHAnsi" w:cstheme="minorHAnsi"/>
          <w:color w:val="548DD4" w:themeColor="text2" w:themeTint="99"/>
        </w:rPr>
        <w:t xml:space="preserve"> cada año</w:t>
      </w:r>
      <w:r w:rsidR="00727858" w:rsidRPr="009774CC">
        <w:rPr>
          <w:rFonts w:asciiTheme="minorHAnsi" w:hAnsiTheme="minorHAnsi" w:cstheme="minorHAnsi"/>
          <w:color w:val="548DD4" w:themeColor="text2" w:themeTint="99"/>
        </w:rPr>
        <w:t>, disminuye la ratio.</w:t>
      </w:r>
    </w:p>
    <w:p w:rsidR="00727858" w:rsidRPr="009774CC" w:rsidRDefault="00727858" w:rsidP="00727858">
      <w:pPr>
        <w:rPr>
          <w:rFonts w:asciiTheme="minorHAnsi" w:hAnsiTheme="minorHAnsi" w:cstheme="minorHAnsi"/>
          <w:color w:val="548DD4" w:themeColor="text2" w:themeTint="99"/>
        </w:rPr>
      </w:pPr>
    </w:p>
    <w:p w:rsidR="00262542" w:rsidRPr="009774CC" w:rsidRDefault="00262542" w:rsidP="00262542">
      <w:pPr>
        <w:pStyle w:val="Prrafodelista"/>
        <w:numPr>
          <w:ilvl w:val="0"/>
          <w:numId w:val="1"/>
        </w:numPr>
        <w:rPr>
          <w:rFonts w:asciiTheme="minorHAnsi" w:hAnsiTheme="minorHAnsi" w:cstheme="minorHAnsi"/>
        </w:rPr>
      </w:pPr>
      <w:r w:rsidRPr="009774CC">
        <w:rPr>
          <w:rFonts w:asciiTheme="minorHAnsi" w:hAnsiTheme="minorHAnsi" w:cstheme="minorHAnsi"/>
        </w:rPr>
        <w:t xml:space="preserve">En el anexo XII para CD, no me cuadra el cálculo que hace la tabla </w:t>
      </w:r>
      <w:proofErr w:type="spellStart"/>
      <w:r w:rsidRPr="009774CC">
        <w:rPr>
          <w:rFonts w:asciiTheme="minorHAnsi" w:hAnsiTheme="minorHAnsi" w:cstheme="minorHAnsi"/>
        </w:rPr>
        <w:t>excel</w:t>
      </w:r>
      <w:proofErr w:type="spellEnd"/>
      <w:r w:rsidRPr="009774CC">
        <w:rPr>
          <w:rFonts w:asciiTheme="minorHAnsi" w:hAnsiTheme="minorHAnsi" w:cstheme="minorHAnsi"/>
        </w:rPr>
        <w:t xml:space="preserve">. Si para cada persona usuaria son 344 horas anuales de personal cuidador, nosotros para 16 jornadas completas, tendríamos que tener, al mes, 475,86 horas de cuidador. La tabla me está calculando que la exigencia serían 690,76 horas. ¿Es un </w:t>
      </w:r>
      <w:r w:rsidR="00222859" w:rsidRPr="009774CC">
        <w:rPr>
          <w:rFonts w:asciiTheme="minorHAnsi" w:hAnsiTheme="minorHAnsi" w:cstheme="minorHAnsi"/>
        </w:rPr>
        <w:t>error?</w:t>
      </w:r>
    </w:p>
    <w:p w:rsidR="009774CC" w:rsidRPr="009774CC" w:rsidRDefault="009774CC" w:rsidP="009774CC">
      <w:pPr>
        <w:rPr>
          <w:rFonts w:asciiTheme="minorHAnsi" w:hAnsiTheme="minorHAnsi" w:cstheme="minorHAnsi"/>
        </w:rPr>
      </w:pPr>
    </w:p>
    <w:p w:rsidR="009774CC" w:rsidRPr="009774CC" w:rsidRDefault="009774CC" w:rsidP="009774CC">
      <w:pPr>
        <w:rPr>
          <w:rFonts w:asciiTheme="minorHAnsi" w:hAnsiTheme="minorHAnsi" w:cstheme="minorHAnsi"/>
        </w:rPr>
      </w:pPr>
    </w:p>
    <w:p w:rsidR="00727858" w:rsidRPr="009774CC" w:rsidRDefault="009774CC" w:rsidP="009774CC">
      <w:pPr>
        <w:ind w:firstLine="708"/>
        <w:rPr>
          <w:rFonts w:asciiTheme="minorHAnsi" w:hAnsiTheme="minorHAnsi" w:cstheme="minorHAnsi"/>
          <w:color w:val="548DD4" w:themeColor="text2" w:themeTint="99"/>
        </w:rPr>
      </w:pPr>
      <w:r w:rsidRPr="009774CC">
        <w:rPr>
          <w:rFonts w:asciiTheme="minorHAnsi" w:hAnsiTheme="minorHAnsi" w:cstheme="minorHAnsi"/>
          <w:color w:val="548DD4" w:themeColor="text2" w:themeTint="99"/>
        </w:rPr>
        <w:t>Vamos a modificar el anexo para calcular por días de apertura, no por días naturales</w:t>
      </w:r>
    </w:p>
    <w:p w:rsidR="00262542" w:rsidRPr="009774CC" w:rsidRDefault="00262542" w:rsidP="00262542">
      <w:pPr>
        <w:rPr>
          <w:rFonts w:asciiTheme="minorHAnsi" w:hAnsiTheme="minorHAnsi" w:cstheme="minorHAnsi"/>
        </w:rPr>
      </w:pPr>
    </w:p>
    <w:p w:rsidR="009774CC" w:rsidRPr="009774CC" w:rsidRDefault="00262542" w:rsidP="00262542">
      <w:pPr>
        <w:rPr>
          <w:rFonts w:asciiTheme="minorHAnsi" w:hAnsiTheme="minorHAnsi" w:cstheme="minorHAnsi"/>
          <w:color w:val="548DD4" w:themeColor="text2" w:themeTint="99"/>
        </w:rPr>
      </w:pPr>
      <w:r w:rsidRPr="009774CC">
        <w:rPr>
          <w:rFonts w:asciiTheme="minorHAnsi" w:hAnsiTheme="minorHAnsi" w:cstheme="minorHAnsi"/>
        </w:rPr>
        <w:t>Por otro lado, para el cálculo de la ratio, ¿tengo que contar a todas las personas? ¿o solo a las personas con dependencia reconocida</w:t>
      </w:r>
      <w:r w:rsidRPr="009774CC">
        <w:rPr>
          <w:rFonts w:asciiTheme="minorHAnsi" w:hAnsiTheme="minorHAnsi" w:cstheme="minorHAnsi"/>
          <w:color w:val="548DD4" w:themeColor="text2" w:themeTint="99"/>
        </w:rPr>
        <w:t>?</w:t>
      </w:r>
      <w:r w:rsidR="009774CC" w:rsidRPr="009774CC">
        <w:rPr>
          <w:rFonts w:asciiTheme="minorHAnsi" w:hAnsiTheme="minorHAnsi" w:cstheme="minorHAnsi"/>
          <w:color w:val="548DD4" w:themeColor="text2" w:themeTint="99"/>
        </w:rPr>
        <w:t xml:space="preserve"> </w:t>
      </w:r>
    </w:p>
    <w:p w:rsidR="009774CC" w:rsidRPr="009774CC" w:rsidRDefault="009774CC" w:rsidP="00262542">
      <w:pPr>
        <w:rPr>
          <w:rFonts w:asciiTheme="minorHAnsi" w:hAnsiTheme="minorHAnsi" w:cstheme="minorHAnsi"/>
          <w:color w:val="548DD4" w:themeColor="text2" w:themeTint="99"/>
        </w:rPr>
      </w:pPr>
    </w:p>
    <w:p w:rsidR="00262542" w:rsidRPr="009774CC" w:rsidRDefault="009774CC" w:rsidP="00262542">
      <w:pPr>
        <w:rPr>
          <w:rFonts w:asciiTheme="minorHAnsi" w:hAnsiTheme="minorHAnsi" w:cstheme="minorHAnsi"/>
          <w:color w:val="548DD4" w:themeColor="text2" w:themeTint="99"/>
        </w:rPr>
      </w:pPr>
      <w:r w:rsidRPr="009774CC">
        <w:rPr>
          <w:rFonts w:asciiTheme="minorHAnsi" w:hAnsiTheme="minorHAnsi" w:cstheme="minorHAnsi"/>
          <w:color w:val="548DD4" w:themeColor="text2" w:themeTint="99"/>
        </w:rPr>
        <w:t>A todas las personas que estén utilizando una plaza de centro de día, ya sea a jornada completa,</w:t>
      </w:r>
      <w:r w:rsidR="00116BF1">
        <w:rPr>
          <w:rFonts w:asciiTheme="minorHAnsi" w:hAnsiTheme="minorHAnsi" w:cstheme="minorHAnsi"/>
          <w:color w:val="548DD4" w:themeColor="text2" w:themeTint="99"/>
        </w:rPr>
        <w:t xml:space="preserve"> o jornada parcial</w:t>
      </w:r>
      <w:r w:rsidRPr="009774CC">
        <w:rPr>
          <w:rFonts w:asciiTheme="minorHAnsi" w:hAnsiTheme="minorHAnsi" w:cstheme="minorHAnsi"/>
          <w:color w:val="548DD4" w:themeColor="text2" w:themeTint="99"/>
        </w:rPr>
        <w:t xml:space="preserve"> tipo A o tipo B.</w:t>
      </w:r>
    </w:p>
    <w:p w:rsidR="00262542" w:rsidRPr="009774CC" w:rsidRDefault="00262542" w:rsidP="00262542">
      <w:pPr>
        <w:rPr>
          <w:rFonts w:asciiTheme="minorHAnsi" w:hAnsiTheme="minorHAnsi" w:cstheme="minorHAnsi"/>
        </w:rPr>
      </w:pPr>
    </w:p>
    <w:p w:rsidR="001B3154" w:rsidRPr="009774CC" w:rsidRDefault="001B3154" w:rsidP="00262542">
      <w:pPr>
        <w:rPr>
          <w:rFonts w:asciiTheme="minorHAnsi" w:hAnsiTheme="minorHAnsi" w:cstheme="minorHAnsi"/>
        </w:rPr>
      </w:pPr>
    </w:p>
    <w:p w:rsidR="001B3154" w:rsidRPr="009774CC" w:rsidRDefault="001B3154" w:rsidP="00AE2FE6">
      <w:pPr>
        <w:pBdr>
          <w:bottom w:val="single" w:sz="4" w:space="1" w:color="auto"/>
        </w:pBdr>
        <w:rPr>
          <w:rFonts w:asciiTheme="minorHAnsi" w:hAnsiTheme="minorHAnsi" w:cstheme="minorHAnsi"/>
        </w:rPr>
      </w:pPr>
      <w:r w:rsidRPr="009774CC">
        <w:rPr>
          <w:rFonts w:asciiTheme="minorHAnsi" w:hAnsiTheme="minorHAnsi" w:cstheme="minorHAnsi"/>
        </w:rPr>
        <w:t>PREGUNTA</w:t>
      </w:r>
      <w:r w:rsidR="00AE2FE6" w:rsidRPr="009774CC">
        <w:rPr>
          <w:rFonts w:asciiTheme="minorHAnsi" w:hAnsiTheme="minorHAnsi" w:cstheme="minorHAnsi"/>
        </w:rPr>
        <w:t xml:space="preserve"> 2:</w:t>
      </w:r>
    </w:p>
    <w:p w:rsidR="001B3154" w:rsidRPr="009774CC" w:rsidRDefault="001B3154" w:rsidP="00262542">
      <w:pPr>
        <w:rPr>
          <w:rFonts w:asciiTheme="minorHAnsi" w:hAnsiTheme="minorHAnsi" w:cstheme="minorHAnsi"/>
        </w:rPr>
      </w:pPr>
    </w:p>
    <w:p w:rsidR="001B3154" w:rsidRPr="009774CC" w:rsidRDefault="001B3154" w:rsidP="001B3154">
      <w:pPr>
        <w:rPr>
          <w:rFonts w:asciiTheme="minorHAnsi" w:hAnsiTheme="minorHAnsi" w:cstheme="minorHAnsi"/>
        </w:rPr>
      </w:pPr>
      <w:r w:rsidRPr="009774CC">
        <w:rPr>
          <w:rFonts w:asciiTheme="minorHAnsi" w:hAnsiTheme="minorHAnsi" w:cstheme="minorHAnsi"/>
        </w:rPr>
        <w:t xml:space="preserve"> A la vista de los pliegos, nos gustaría consultarles en el caso de residencias que actualmente tengan plazas concertadas y decidan ofrecer un número menor o ninguna, ¿cómo sería el proceso de traslado de personas residentes temporalmente? </w:t>
      </w:r>
    </w:p>
    <w:p w:rsidR="001B3154" w:rsidRPr="009774CC" w:rsidRDefault="001B3154" w:rsidP="001B3154">
      <w:pPr>
        <w:rPr>
          <w:rFonts w:asciiTheme="minorHAnsi" w:hAnsiTheme="minorHAnsi" w:cstheme="minorHAnsi"/>
        </w:rPr>
      </w:pPr>
      <w:r w:rsidRPr="009774CC">
        <w:rPr>
          <w:rFonts w:asciiTheme="minorHAnsi" w:hAnsiTheme="minorHAnsi" w:cstheme="minorHAnsi"/>
        </w:rPr>
        <w:t> </w:t>
      </w:r>
    </w:p>
    <w:p w:rsidR="001B3154" w:rsidRPr="009774CC" w:rsidRDefault="001B3154" w:rsidP="001B3154">
      <w:pPr>
        <w:rPr>
          <w:rFonts w:asciiTheme="minorHAnsi" w:hAnsiTheme="minorHAnsi" w:cstheme="minorHAnsi"/>
        </w:rPr>
      </w:pPr>
      <w:r w:rsidRPr="009774CC">
        <w:rPr>
          <w:rFonts w:asciiTheme="minorHAnsi" w:hAnsiTheme="minorHAnsi" w:cstheme="minorHAnsi"/>
        </w:rPr>
        <w:t xml:space="preserve">Asimismo, durante el periodo de transición de esas plazas, ¿se deben aplicar </w:t>
      </w:r>
      <w:r w:rsidR="00C35DDA" w:rsidRPr="009774CC">
        <w:rPr>
          <w:rFonts w:asciiTheme="minorHAnsi" w:hAnsiTheme="minorHAnsi" w:cstheme="minorHAnsi"/>
        </w:rPr>
        <w:t>las mismas ratios</w:t>
      </w:r>
      <w:r w:rsidRPr="009774CC">
        <w:rPr>
          <w:rFonts w:asciiTheme="minorHAnsi" w:hAnsiTheme="minorHAnsi" w:cstheme="minorHAnsi"/>
        </w:rPr>
        <w:t xml:space="preserve"> exigidos por </w:t>
      </w:r>
      <w:r w:rsidR="009774CC" w:rsidRPr="009774CC">
        <w:rPr>
          <w:rFonts w:asciiTheme="minorHAnsi" w:hAnsiTheme="minorHAnsi" w:cstheme="minorHAnsi"/>
        </w:rPr>
        <w:t>pliegos,</w:t>
      </w:r>
      <w:r w:rsidRPr="009774CC">
        <w:rPr>
          <w:rFonts w:asciiTheme="minorHAnsi" w:hAnsiTheme="minorHAnsi" w:cstheme="minorHAnsi"/>
        </w:rPr>
        <w:t xml:space="preserve"> aunque no se forme parte de este contrato de 2026?</w:t>
      </w:r>
    </w:p>
    <w:p w:rsidR="000221F0" w:rsidRDefault="000221F0" w:rsidP="001B3154">
      <w:pPr>
        <w:rPr>
          <w:rFonts w:asciiTheme="minorHAnsi" w:hAnsiTheme="minorHAnsi" w:cstheme="minorHAnsi"/>
        </w:rPr>
      </w:pPr>
    </w:p>
    <w:p w:rsidR="001B3154" w:rsidRPr="009774CC" w:rsidRDefault="000221F0" w:rsidP="000221F0">
      <w:pPr>
        <w:pStyle w:val="Prrafodelista"/>
        <w:numPr>
          <w:ilvl w:val="0"/>
          <w:numId w:val="5"/>
        </w:numPr>
        <w:jc w:val="both"/>
        <w:rPr>
          <w:rFonts w:asciiTheme="minorHAnsi" w:hAnsiTheme="minorHAnsi" w:cstheme="minorHAnsi"/>
          <w:color w:val="548DD4" w:themeColor="text2" w:themeTint="99"/>
        </w:rPr>
      </w:pPr>
      <w:r w:rsidRPr="009774CC">
        <w:rPr>
          <w:rFonts w:asciiTheme="minorHAnsi" w:hAnsiTheme="minorHAnsi" w:cstheme="minorHAnsi"/>
          <w:color w:val="548DD4" w:themeColor="text2" w:themeTint="99"/>
        </w:rPr>
        <w:t xml:space="preserve">En el caso de </w:t>
      </w:r>
      <w:r w:rsidRPr="009774CC">
        <w:rPr>
          <w:rFonts w:asciiTheme="minorHAnsi" w:hAnsiTheme="minorHAnsi" w:cstheme="minorHAnsi"/>
          <w:b/>
          <w:color w:val="548DD4" w:themeColor="text2" w:themeTint="99"/>
        </w:rPr>
        <w:t xml:space="preserve">NO </w:t>
      </w:r>
      <w:r w:rsidRPr="000221F0">
        <w:rPr>
          <w:rFonts w:asciiTheme="minorHAnsi" w:hAnsiTheme="minorHAnsi" w:cstheme="minorHAnsi"/>
          <w:b/>
          <w:color w:val="548DD4" w:themeColor="text2" w:themeTint="99"/>
        </w:rPr>
        <w:t>presentar oferta</w:t>
      </w:r>
      <w:r>
        <w:rPr>
          <w:rFonts w:asciiTheme="minorHAnsi" w:hAnsiTheme="minorHAnsi" w:cstheme="minorHAnsi"/>
          <w:color w:val="548DD4" w:themeColor="text2" w:themeTint="99"/>
        </w:rPr>
        <w:t>, se aplica</w:t>
      </w:r>
      <w:r w:rsidR="001B3154" w:rsidRPr="009774CC">
        <w:rPr>
          <w:rFonts w:asciiTheme="minorHAnsi" w:hAnsiTheme="minorHAnsi" w:cstheme="minorHAnsi"/>
          <w:color w:val="548DD4" w:themeColor="text2" w:themeTint="99"/>
        </w:rPr>
        <w:t xml:space="preserve"> el punto 6 del Pliego regulador en vigor</w:t>
      </w:r>
      <w:r w:rsidR="009774CC">
        <w:rPr>
          <w:rFonts w:asciiTheme="minorHAnsi" w:hAnsiTheme="minorHAnsi" w:cstheme="minorHAnsi"/>
          <w:color w:val="548DD4" w:themeColor="text2" w:themeTint="99"/>
        </w:rPr>
        <w:t xml:space="preserve"> (2022)</w:t>
      </w:r>
      <w:r w:rsidR="001B3154" w:rsidRPr="009774CC">
        <w:rPr>
          <w:rFonts w:asciiTheme="minorHAnsi" w:hAnsiTheme="minorHAnsi" w:cstheme="minorHAnsi"/>
          <w:color w:val="548DD4" w:themeColor="text2" w:themeTint="99"/>
        </w:rPr>
        <w:t xml:space="preserve"> </w:t>
      </w:r>
      <w:r w:rsidR="009774CC" w:rsidRPr="009774CC">
        <w:rPr>
          <w:rFonts w:asciiTheme="minorHAnsi" w:hAnsiTheme="minorHAnsi" w:cstheme="minorHAnsi"/>
          <w:color w:val="548DD4" w:themeColor="text2" w:themeTint="99"/>
        </w:rPr>
        <w:t>establece:</w:t>
      </w:r>
    </w:p>
    <w:p w:rsidR="001B3154" w:rsidRPr="009774CC" w:rsidRDefault="001B3154" w:rsidP="00AE2FE6">
      <w:pPr>
        <w:jc w:val="both"/>
        <w:rPr>
          <w:rFonts w:asciiTheme="minorHAnsi" w:hAnsiTheme="minorHAnsi" w:cstheme="minorHAnsi"/>
          <w:color w:val="548DD4" w:themeColor="text2" w:themeTint="99"/>
        </w:rPr>
      </w:pPr>
    </w:p>
    <w:p w:rsidR="001B3154" w:rsidRPr="000221F0" w:rsidRDefault="001B3154" w:rsidP="000221F0">
      <w:pPr>
        <w:ind w:left="708"/>
        <w:jc w:val="both"/>
        <w:rPr>
          <w:rFonts w:asciiTheme="minorHAnsi" w:hAnsiTheme="minorHAnsi" w:cstheme="minorHAnsi"/>
          <w:i/>
          <w:color w:val="548DD4" w:themeColor="text2" w:themeTint="99"/>
        </w:rPr>
      </w:pPr>
      <w:r w:rsidRPr="009774CC">
        <w:rPr>
          <w:rFonts w:asciiTheme="minorHAnsi" w:hAnsiTheme="minorHAnsi" w:cstheme="minorHAnsi"/>
          <w:color w:val="548DD4" w:themeColor="text2" w:themeTint="99"/>
        </w:rPr>
        <w:t xml:space="preserve"> </w:t>
      </w:r>
      <w:r w:rsidR="009774CC" w:rsidRPr="000221F0">
        <w:rPr>
          <w:rFonts w:asciiTheme="minorHAnsi" w:hAnsiTheme="minorHAnsi" w:cstheme="minorHAnsi"/>
          <w:i/>
          <w:color w:val="548DD4" w:themeColor="text2" w:themeTint="99"/>
        </w:rPr>
        <w:t>“finalizada</w:t>
      </w:r>
      <w:r w:rsidRPr="000221F0">
        <w:rPr>
          <w:rFonts w:asciiTheme="minorHAnsi" w:hAnsiTheme="minorHAnsi" w:cstheme="minorHAnsi"/>
          <w:i/>
          <w:color w:val="548DD4" w:themeColor="text2" w:themeTint="99"/>
        </w:rPr>
        <w:t xml:space="preserve"> la vigencia del Open House, y con el fin de garantizar la continuidad de la prestación del servicio de las plazas efectivamente ocupadas, los contratos derivados del mismo mantendrán su vigencia respecto a las plazas ocupadas en los mismos términos y condiciones hasta que se formalice el siguiente procedimiento de admisión o selección de entidades.</w:t>
      </w:r>
    </w:p>
    <w:p w:rsidR="009774CC" w:rsidRPr="000221F0" w:rsidRDefault="009774CC" w:rsidP="000221F0">
      <w:pPr>
        <w:ind w:left="708"/>
        <w:jc w:val="both"/>
        <w:rPr>
          <w:rFonts w:asciiTheme="minorHAnsi" w:hAnsiTheme="minorHAnsi" w:cstheme="minorHAnsi"/>
          <w:i/>
          <w:color w:val="548DD4" w:themeColor="text2" w:themeTint="99"/>
        </w:rPr>
      </w:pPr>
    </w:p>
    <w:p w:rsidR="001B3154" w:rsidRPr="009774CC" w:rsidRDefault="001B3154" w:rsidP="000221F0">
      <w:pPr>
        <w:ind w:left="708"/>
        <w:jc w:val="both"/>
        <w:rPr>
          <w:rFonts w:asciiTheme="minorHAnsi" w:hAnsiTheme="minorHAnsi" w:cstheme="minorHAnsi"/>
          <w:color w:val="548DD4" w:themeColor="text2" w:themeTint="99"/>
        </w:rPr>
      </w:pPr>
      <w:r w:rsidRPr="000221F0">
        <w:rPr>
          <w:rFonts w:asciiTheme="minorHAnsi" w:hAnsiTheme="minorHAnsi" w:cstheme="minorHAnsi"/>
          <w:i/>
          <w:color w:val="548DD4" w:themeColor="text2" w:themeTint="99"/>
        </w:rPr>
        <w:t>En consecuencia, las entidades contratistas de las plazas contrata</w:t>
      </w:r>
      <w:r w:rsidR="00116BF1" w:rsidRPr="000221F0">
        <w:rPr>
          <w:rFonts w:asciiTheme="minorHAnsi" w:hAnsiTheme="minorHAnsi" w:cstheme="minorHAnsi"/>
          <w:i/>
          <w:color w:val="548DD4" w:themeColor="text2" w:themeTint="99"/>
        </w:rPr>
        <w:t>da</w:t>
      </w:r>
      <w:r w:rsidRPr="000221F0">
        <w:rPr>
          <w:rFonts w:asciiTheme="minorHAnsi" w:hAnsiTheme="minorHAnsi" w:cstheme="minorHAnsi"/>
          <w:i/>
          <w:color w:val="548DD4" w:themeColor="text2" w:themeTint="99"/>
        </w:rPr>
        <w:t xml:space="preserve">s estarán obligadas a seguir prestando el servicio contratado hasta que, tras la tramitación del oportuno expediente, se adjudique la gestión de dichas plazas. En este caso, el contratista tendrá </w:t>
      </w:r>
      <w:r w:rsidRPr="000221F0">
        <w:rPr>
          <w:rFonts w:asciiTheme="minorHAnsi" w:hAnsiTheme="minorHAnsi" w:cstheme="minorHAnsi"/>
          <w:i/>
          <w:color w:val="548DD4" w:themeColor="text2" w:themeTint="99"/>
        </w:rPr>
        <w:lastRenderedPageBreak/>
        <w:t>derecho al abono de las plazas a los precios establecidos en el sistema de contratación Open House hasta su terminación definitiva”</w:t>
      </w:r>
    </w:p>
    <w:p w:rsidR="00C35DDA" w:rsidRPr="009774CC" w:rsidRDefault="00C35DDA" w:rsidP="000221F0">
      <w:pPr>
        <w:ind w:left="708"/>
        <w:jc w:val="both"/>
        <w:rPr>
          <w:rFonts w:asciiTheme="minorHAnsi" w:hAnsiTheme="minorHAnsi" w:cstheme="minorHAnsi"/>
        </w:rPr>
      </w:pPr>
    </w:p>
    <w:p w:rsidR="00C35DDA" w:rsidRPr="009774CC" w:rsidRDefault="000221F0" w:rsidP="000221F0">
      <w:pPr>
        <w:ind w:left="708"/>
        <w:jc w:val="both"/>
        <w:rPr>
          <w:rFonts w:asciiTheme="minorHAnsi" w:hAnsiTheme="minorHAnsi" w:cstheme="minorHAnsi"/>
          <w:color w:val="548DD4" w:themeColor="text2" w:themeTint="99"/>
        </w:rPr>
      </w:pPr>
      <w:r>
        <w:rPr>
          <w:rFonts w:asciiTheme="minorHAnsi" w:hAnsiTheme="minorHAnsi" w:cstheme="minorHAnsi"/>
          <w:color w:val="548DD4" w:themeColor="text2" w:themeTint="99"/>
        </w:rPr>
        <w:t>Por tanto, u</w:t>
      </w:r>
      <w:r w:rsidR="00C35DDA" w:rsidRPr="009774CC">
        <w:rPr>
          <w:rFonts w:asciiTheme="minorHAnsi" w:hAnsiTheme="minorHAnsi" w:cstheme="minorHAnsi"/>
          <w:color w:val="548DD4" w:themeColor="text2" w:themeTint="99"/>
        </w:rPr>
        <w:t xml:space="preserve">na vez entre el  vigor el nuevo open House, los centros que no formen parte del </w:t>
      </w:r>
      <w:r w:rsidR="009774CC">
        <w:rPr>
          <w:rFonts w:asciiTheme="minorHAnsi" w:hAnsiTheme="minorHAnsi" w:cstheme="minorHAnsi"/>
          <w:color w:val="548DD4" w:themeColor="text2" w:themeTint="99"/>
        </w:rPr>
        <w:t xml:space="preserve">nuevo </w:t>
      </w:r>
      <w:r w:rsidR="00C35DDA" w:rsidRPr="009774CC">
        <w:rPr>
          <w:rFonts w:asciiTheme="minorHAnsi" w:hAnsiTheme="minorHAnsi" w:cstheme="minorHAnsi"/>
          <w:color w:val="548DD4" w:themeColor="text2" w:themeTint="99"/>
        </w:rPr>
        <w:t>sistema quedarán sujetos a lo establecido en el Decreto foral 92/2020 de 2 de diciembre, por el que se regula el funcionamiento de los servicios residenciales, de día y ambulatorios de las áreas de mayores, discapacidad, trastorno mental, atención a menores e inclusión social, del sistema de servicios sociales de la comunidad foral de navarra, y el régimen de autorizaciones, comunicaciones previas y homologaciones.</w:t>
      </w:r>
    </w:p>
    <w:p w:rsidR="00C35DDA" w:rsidRPr="009774CC" w:rsidRDefault="00C35DDA" w:rsidP="000221F0">
      <w:pPr>
        <w:ind w:left="708"/>
        <w:jc w:val="both"/>
        <w:rPr>
          <w:rFonts w:asciiTheme="minorHAnsi" w:hAnsiTheme="minorHAnsi" w:cstheme="minorHAnsi"/>
          <w:color w:val="548DD4" w:themeColor="text2" w:themeTint="99"/>
        </w:rPr>
      </w:pPr>
    </w:p>
    <w:p w:rsidR="00C35DDA" w:rsidRPr="009774CC" w:rsidRDefault="00C35DDA" w:rsidP="000221F0">
      <w:pPr>
        <w:ind w:left="708"/>
        <w:jc w:val="both"/>
        <w:rPr>
          <w:rFonts w:asciiTheme="minorHAnsi" w:hAnsiTheme="minorHAnsi" w:cstheme="minorHAnsi"/>
        </w:rPr>
      </w:pPr>
      <w:r w:rsidRPr="009774CC">
        <w:rPr>
          <w:rFonts w:asciiTheme="minorHAnsi" w:hAnsiTheme="minorHAnsi" w:cstheme="minorHAnsi"/>
          <w:color w:val="548DD4" w:themeColor="text2" w:themeTint="99"/>
        </w:rPr>
        <w:t>A las personas que ocupen plaza concertada se les ofertará la posibilidad de optar por otro centro que cuente con plazas concertadas o quedarse en el que están con una prestación vinculada al servicio. Esta normativa está en proceso de revisión para adecuarse al nuevo sistema</w:t>
      </w:r>
      <w:r w:rsidRPr="009774CC">
        <w:rPr>
          <w:rFonts w:asciiTheme="minorHAnsi" w:hAnsiTheme="minorHAnsi" w:cstheme="minorHAnsi"/>
        </w:rPr>
        <w:t>.</w:t>
      </w:r>
    </w:p>
    <w:p w:rsidR="00C35DDA" w:rsidRPr="009774CC" w:rsidRDefault="00C35DDA" w:rsidP="00B22173">
      <w:pPr>
        <w:ind w:left="360"/>
        <w:jc w:val="both"/>
        <w:rPr>
          <w:rFonts w:asciiTheme="minorHAnsi" w:hAnsiTheme="minorHAnsi" w:cstheme="minorHAnsi"/>
        </w:rPr>
      </w:pPr>
    </w:p>
    <w:p w:rsidR="001B3154" w:rsidRPr="009774CC" w:rsidRDefault="001B3154" w:rsidP="00AE2FE6">
      <w:pPr>
        <w:jc w:val="both"/>
        <w:rPr>
          <w:rFonts w:asciiTheme="minorHAnsi" w:hAnsiTheme="minorHAnsi" w:cstheme="minorHAnsi"/>
        </w:rPr>
      </w:pPr>
    </w:p>
    <w:p w:rsidR="001B3154" w:rsidRPr="009774CC" w:rsidRDefault="001B3154" w:rsidP="009774CC">
      <w:pPr>
        <w:pStyle w:val="Prrafodelista"/>
        <w:numPr>
          <w:ilvl w:val="0"/>
          <w:numId w:val="5"/>
        </w:numPr>
        <w:jc w:val="both"/>
        <w:rPr>
          <w:rFonts w:asciiTheme="minorHAnsi" w:hAnsiTheme="minorHAnsi" w:cstheme="minorHAnsi"/>
          <w:color w:val="548DD4" w:themeColor="text2" w:themeTint="99"/>
        </w:rPr>
      </w:pPr>
      <w:r w:rsidRPr="009774CC">
        <w:rPr>
          <w:rFonts w:asciiTheme="minorHAnsi" w:hAnsiTheme="minorHAnsi" w:cstheme="minorHAnsi"/>
          <w:color w:val="548DD4" w:themeColor="text2" w:themeTint="99"/>
        </w:rPr>
        <w:t xml:space="preserve">En el caso de </w:t>
      </w:r>
      <w:r w:rsidRPr="00B22173">
        <w:rPr>
          <w:rFonts w:asciiTheme="minorHAnsi" w:hAnsiTheme="minorHAnsi" w:cstheme="minorHAnsi"/>
          <w:b/>
          <w:color w:val="548DD4" w:themeColor="text2" w:themeTint="99"/>
        </w:rPr>
        <w:t>presentar una oferta inferior</w:t>
      </w:r>
      <w:r w:rsidRPr="009774CC">
        <w:rPr>
          <w:rFonts w:asciiTheme="minorHAnsi" w:hAnsiTheme="minorHAnsi" w:cstheme="minorHAnsi"/>
          <w:color w:val="548DD4" w:themeColor="text2" w:themeTint="99"/>
        </w:rPr>
        <w:t xml:space="preserve"> a la actual, el pliego técnico</w:t>
      </w:r>
      <w:r w:rsidR="00C35DDA" w:rsidRPr="009774CC">
        <w:rPr>
          <w:rFonts w:asciiTheme="minorHAnsi" w:hAnsiTheme="minorHAnsi" w:cstheme="minorHAnsi"/>
          <w:color w:val="548DD4" w:themeColor="text2" w:themeTint="99"/>
        </w:rPr>
        <w:t xml:space="preserve"> del nuevo Open House</w:t>
      </w:r>
      <w:r w:rsidRPr="009774CC">
        <w:rPr>
          <w:rFonts w:asciiTheme="minorHAnsi" w:hAnsiTheme="minorHAnsi" w:cstheme="minorHAnsi"/>
          <w:color w:val="548DD4" w:themeColor="text2" w:themeTint="99"/>
        </w:rPr>
        <w:t xml:space="preserve"> </w:t>
      </w:r>
      <w:r w:rsidR="00C35DDA" w:rsidRPr="009774CC">
        <w:rPr>
          <w:rFonts w:asciiTheme="minorHAnsi" w:hAnsiTheme="minorHAnsi" w:cstheme="minorHAnsi"/>
          <w:color w:val="548DD4" w:themeColor="text2" w:themeTint="99"/>
        </w:rPr>
        <w:t>en su punto 7.1.3 establece:</w:t>
      </w:r>
    </w:p>
    <w:p w:rsidR="00C35DDA" w:rsidRPr="009774CC" w:rsidRDefault="00C35DDA" w:rsidP="00AE2FE6">
      <w:pPr>
        <w:jc w:val="both"/>
        <w:rPr>
          <w:rFonts w:asciiTheme="minorHAnsi" w:hAnsiTheme="minorHAnsi" w:cstheme="minorHAnsi"/>
          <w:color w:val="548DD4" w:themeColor="text2" w:themeTint="99"/>
        </w:rPr>
      </w:pPr>
    </w:p>
    <w:p w:rsidR="00C35DDA" w:rsidRPr="009774CC" w:rsidRDefault="00C35DDA" w:rsidP="00B22173">
      <w:pPr>
        <w:ind w:left="708"/>
        <w:jc w:val="both"/>
        <w:rPr>
          <w:rFonts w:asciiTheme="minorHAnsi" w:hAnsiTheme="minorHAnsi" w:cstheme="minorHAnsi"/>
          <w:i/>
          <w:color w:val="548DD4" w:themeColor="text2" w:themeTint="99"/>
        </w:rPr>
      </w:pPr>
      <w:r w:rsidRPr="009774CC">
        <w:rPr>
          <w:rFonts w:asciiTheme="minorHAnsi" w:hAnsiTheme="minorHAnsi" w:cstheme="minorHAnsi"/>
          <w:i/>
          <w:color w:val="548DD4" w:themeColor="text2" w:themeTint="99"/>
        </w:rPr>
        <w:t>Si una entidad presentara menos plazas de las que actualmente tiene contratadas, deberá mantener dichas plazas hasta que el número se ajuste a las ofertadas.</w:t>
      </w:r>
    </w:p>
    <w:p w:rsidR="00AE2FE6" w:rsidRPr="009774CC" w:rsidRDefault="00AE2FE6" w:rsidP="00AE2FE6">
      <w:pPr>
        <w:jc w:val="both"/>
        <w:rPr>
          <w:rFonts w:asciiTheme="minorHAnsi" w:hAnsiTheme="minorHAnsi" w:cstheme="minorHAnsi"/>
          <w:i/>
        </w:rPr>
      </w:pPr>
    </w:p>
    <w:p w:rsidR="00AE2FE6" w:rsidRPr="009774CC" w:rsidRDefault="000221F0" w:rsidP="00AE2FE6">
      <w:pPr>
        <w:pBdr>
          <w:bottom w:val="single" w:sz="4" w:space="1" w:color="auto"/>
        </w:pBdr>
        <w:jc w:val="both"/>
        <w:rPr>
          <w:rFonts w:asciiTheme="minorHAnsi" w:hAnsiTheme="minorHAnsi" w:cstheme="minorHAnsi"/>
        </w:rPr>
      </w:pPr>
      <w:r>
        <w:rPr>
          <w:rFonts w:asciiTheme="minorHAnsi" w:hAnsiTheme="minorHAnsi" w:cstheme="minorHAnsi"/>
        </w:rPr>
        <w:t>PREGUNTA 3</w:t>
      </w:r>
      <w:r w:rsidR="00AE2FE6" w:rsidRPr="009774CC">
        <w:rPr>
          <w:rFonts w:asciiTheme="minorHAnsi" w:hAnsiTheme="minorHAnsi" w:cstheme="minorHAnsi"/>
        </w:rPr>
        <w:t>:</w:t>
      </w:r>
    </w:p>
    <w:p w:rsidR="001B3154" w:rsidRPr="009774CC" w:rsidRDefault="001B3154" w:rsidP="00262542">
      <w:pPr>
        <w:rPr>
          <w:rFonts w:asciiTheme="minorHAnsi" w:hAnsiTheme="minorHAnsi" w:cstheme="minorHAnsi"/>
        </w:rPr>
      </w:pPr>
    </w:p>
    <w:p w:rsidR="00AE2FE6" w:rsidRPr="009774CC" w:rsidRDefault="00AE2FE6" w:rsidP="00AE2FE6">
      <w:pPr>
        <w:rPr>
          <w:rFonts w:asciiTheme="minorHAnsi" w:hAnsiTheme="minorHAnsi" w:cstheme="minorHAnsi"/>
        </w:rPr>
      </w:pPr>
      <w:r w:rsidRPr="009774CC">
        <w:rPr>
          <w:rFonts w:asciiTheme="minorHAnsi" w:hAnsiTheme="minorHAnsi" w:cstheme="minorHAnsi"/>
        </w:rPr>
        <w:t xml:space="preserve">No tenemos claro quién debe cumplimentar el anexo IV. </w:t>
      </w:r>
    </w:p>
    <w:p w:rsidR="00AE2FE6" w:rsidRPr="009774CC" w:rsidRDefault="00AE2FE6" w:rsidP="00AE2FE6">
      <w:pPr>
        <w:rPr>
          <w:rFonts w:asciiTheme="minorHAnsi" w:hAnsiTheme="minorHAnsi" w:cstheme="minorHAnsi"/>
        </w:rPr>
      </w:pPr>
      <w:r w:rsidRPr="009774CC">
        <w:rPr>
          <w:rFonts w:asciiTheme="minorHAnsi" w:hAnsiTheme="minorHAnsi" w:cstheme="minorHAnsi"/>
        </w:rPr>
        <w:t>En el titulo pone el contratista, que entendemos es la empresa que tiene contratado con la entidad la protección de datos.</w:t>
      </w:r>
    </w:p>
    <w:p w:rsidR="00AE2FE6" w:rsidRDefault="00AE2FE6" w:rsidP="00262542">
      <w:pPr>
        <w:rPr>
          <w:rFonts w:asciiTheme="minorHAnsi" w:hAnsiTheme="minorHAnsi" w:cstheme="minorHAnsi"/>
        </w:rPr>
      </w:pPr>
      <w:r w:rsidRPr="009774CC">
        <w:rPr>
          <w:rFonts w:asciiTheme="minorHAnsi" w:hAnsiTheme="minorHAnsi" w:cstheme="minorHAnsi"/>
        </w:rPr>
        <w:t>En el texto pone los datos de la licitadora, que entendemos que es la entidad (residencia).</w:t>
      </w:r>
    </w:p>
    <w:p w:rsidR="00B22173" w:rsidRDefault="00B22173" w:rsidP="00262542">
      <w:pPr>
        <w:rPr>
          <w:rFonts w:asciiTheme="minorHAnsi" w:hAnsiTheme="minorHAnsi" w:cstheme="minorHAnsi"/>
        </w:rPr>
      </w:pPr>
    </w:p>
    <w:p w:rsidR="00B22173" w:rsidRPr="00B22173" w:rsidRDefault="00B22173" w:rsidP="00262542">
      <w:pPr>
        <w:rPr>
          <w:rFonts w:asciiTheme="minorHAnsi" w:hAnsiTheme="minorHAnsi" w:cstheme="minorHAnsi"/>
          <w:color w:val="548DD4" w:themeColor="text2" w:themeTint="99"/>
        </w:rPr>
      </w:pPr>
      <w:r w:rsidRPr="00B22173">
        <w:rPr>
          <w:rFonts w:asciiTheme="minorHAnsi" w:hAnsiTheme="minorHAnsi" w:cstheme="minorHAnsi"/>
          <w:color w:val="548DD4" w:themeColor="text2" w:themeTint="99"/>
        </w:rPr>
        <w:t>La entidad que va a suscribir el contrato Open House</w:t>
      </w:r>
    </w:p>
    <w:p w:rsidR="00AE2FE6" w:rsidRPr="009774CC" w:rsidRDefault="00AE2FE6" w:rsidP="00262542">
      <w:pPr>
        <w:rPr>
          <w:rFonts w:asciiTheme="minorHAnsi" w:hAnsiTheme="minorHAnsi" w:cstheme="minorHAnsi"/>
        </w:rPr>
      </w:pPr>
    </w:p>
    <w:p w:rsidR="00AE2FE6" w:rsidRPr="009774CC" w:rsidRDefault="00AE2FE6" w:rsidP="00AE2FE6">
      <w:pPr>
        <w:pBdr>
          <w:bottom w:val="single" w:sz="4" w:space="1" w:color="auto"/>
        </w:pBdr>
        <w:rPr>
          <w:rFonts w:asciiTheme="minorHAnsi" w:hAnsiTheme="minorHAnsi" w:cstheme="minorHAnsi"/>
        </w:rPr>
      </w:pPr>
      <w:r w:rsidRPr="009774CC">
        <w:rPr>
          <w:rFonts w:asciiTheme="minorHAnsi" w:hAnsiTheme="minorHAnsi" w:cstheme="minorHAnsi"/>
        </w:rPr>
        <w:t xml:space="preserve">PREGUNTA </w:t>
      </w:r>
      <w:r w:rsidR="000221F0">
        <w:rPr>
          <w:rFonts w:asciiTheme="minorHAnsi" w:hAnsiTheme="minorHAnsi" w:cstheme="minorHAnsi"/>
        </w:rPr>
        <w:t>4</w:t>
      </w:r>
      <w:r w:rsidRPr="009774CC">
        <w:rPr>
          <w:rFonts w:asciiTheme="minorHAnsi" w:hAnsiTheme="minorHAnsi" w:cstheme="minorHAnsi"/>
        </w:rPr>
        <w:t>:</w:t>
      </w:r>
    </w:p>
    <w:p w:rsidR="00AE2FE6" w:rsidRPr="009774CC" w:rsidRDefault="00AE2FE6" w:rsidP="00262542">
      <w:pPr>
        <w:rPr>
          <w:rFonts w:asciiTheme="minorHAnsi" w:hAnsiTheme="minorHAnsi" w:cstheme="minorHAnsi"/>
        </w:rPr>
      </w:pPr>
    </w:p>
    <w:p w:rsidR="00AE2FE6" w:rsidRPr="009774CC" w:rsidRDefault="00AE2FE6" w:rsidP="00AE2FE6">
      <w:pPr>
        <w:rPr>
          <w:rFonts w:asciiTheme="minorHAnsi" w:eastAsia="Times New Roman" w:hAnsiTheme="minorHAnsi" w:cstheme="minorHAnsi"/>
        </w:rPr>
      </w:pPr>
      <w:r w:rsidRPr="009774CC">
        <w:rPr>
          <w:rFonts w:asciiTheme="minorHAnsi" w:eastAsia="Times New Roman" w:hAnsiTheme="minorHAnsi" w:cstheme="minorHAnsi"/>
        </w:rPr>
        <w:t>El año pasado nos presentamos por primera vez al sistema de concertación Open House. </w:t>
      </w:r>
    </w:p>
    <w:p w:rsidR="00AE2FE6" w:rsidRPr="009774CC" w:rsidRDefault="00AE2FE6" w:rsidP="00AE2FE6">
      <w:pPr>
        <w:rPr>
          <w:rFonts w:asciiTheme="minorHAnsi" w:eastAsia="Times New Roman" w:hAnsiTheme="minorHAnsi" w:cstheme="minorHAnsi"/>
        </w:rPr>
      </w:pPr>
    </w:p>
    <w:p w:rsidR="00AE2FE6" w:rsidRDefault="00AE2FE6" w:rsidP="00AE2FE6">
      <w:pPr>
        <w:rPr>
          <w:rFonts w:asciiTheme="minorHAnsi" w:eastAsia="Times New Roman" w:hAnsiTheme="minorHAnsi" w:cstheme="minorHAnsi"/>
        </w:rPr>
      </w:pPr>
      <w:r w:rsidRPr="009774CC">
        <w:rPr>
          <w:rFonts w:asciiTheme="minorHAnsi" w:eastAsia="Times New Roman" w:hAnsiTheme="minorHAnsi" w:cstheme="minorHAnsi"/>
        </w:rPr>
        <w:t xml:space="preserve">La duda que tenemos es: Queremos mantener las mismas condiciones del año pasado en cuanto a plazas y condiciones, ¿tenemos que volver a presentar toda la </w:t>
      </w:r>
      <w:r w:rsidR="00B22173" w:rsidRPr="009774CC">
        <w:rPr>
          <w:rFonts w:asciiTheme="minorHAnsi" w:eastAsia="Times New Roman" w:hAnsiTheme="minorHAnsi" w:cstheme="minorHAnsi"/>
        </w:rPr>
        <w:t>documentación?</w:t>
      </w:r>
    </w:p>
    <w:p w:rsidR="00B22173" w:rsidRDefault="00B22173" w:rsidP="00AE2FE6">
      <w:pPr>
        <w:rPr>
          <w:rFonts w:asciiTheme="minorHAnsi" w:eastAsia="Times New Roman" w:hAnsiTheme="minorHAnsi" w:cstheme="minorHAnsi"/>
        </w:rPr>
      </w:pPr>
    </w:p>
    <w:p w:rsidR="00B22173" w:rsidRPr="00B22173" w:rsidRDefault="00B22173" w:rsidP="00AE2FE6">
      <w:pPr>
        <w:rPr>
          <w:rFonts w:asciiTheme="minorHAnsi" w:eastAsia="Times New Roman" w:hAnsiTheme="minorHAnsi" w:cstheme="minorHAnsi"/>
          <w:color w:val="548DD4" w:themeColor="text2" w:themeTint="99"/>
        </w:rPr>
      </w:pPr>
      <w:r w:rsidRPr="00B22173">
        <w:rPr>
          <w:rFonts w:asciiTheme="minorHAnsi" w:eastAsia="Times New Roman" w:hAnsiTheme="minorHAnsi" w:cstheme="minorHAnsi"/>
          <w:color w:val="548DD4" w:themeColor="text2" w:themeTint="99"/>
        </w:rPr>
        <w:t>Se trata de un nuevo contrato, por lo que es necesario presentar toda la documentación a la que se refiere la cláusula 13 del Pliego Regulador. En cualquier caso, y tal y como se estable en dicha cláusula:</w:t>
      </w:r>
    </w:p>
    <w:p w:rsidR="00B22173" w:rsidRPr="00B22173" w:rsidRDefault="00B22173" w:rsidP="00AE2FE6">
      <w:pPr>
        <w:rPr>
          <w:rFonts w:asciiTheme="minorHAnsi" w:eastAsia="Times New Roman" w:hAnsiTheme="minorHAnsi" w:cstheme="minorHAnsi"/>
          <w:color w:val="548DD4" w:themeColor="text2" w:themeTint="99"/>
        </w:rPr>
      </w:pPr>
    </w:p>
    <w:p w:rsidR="00B22173" w:rsidRDefault="00B22173" w:rsidP="00B22173">
      <w:pPr>
        <w:jc w:val="both"/>
        <w:rPr>
          <w:i/>
          <w:color w:val="548DD4" w:themeColor="text2" w:themeTint="99"/>
        </w:rPr>
      </w:pPr>
      <w:r w:rsidRPr="00B22173">
        <w:rPr>
          <w:i/>
          <w:color w:val="548DD4" w:themeColor="text2" w:themeTint="99"/>
        </w:rPr>
        <w:t>“Cuando se trate de documentos que hayan sido aportados anteriormente por la entidad interesada a cualquier Administración, no existirá la obligación de aportarlos, si bien se deberá indicar fecha, procedimiento y órgano administrativo ante el que presentaron los citados documentos y si se encuentran vigentes o si han sufrido modificación. Excepcionalmente, si no se pudieran recabar los citados documentos, se podrá requerir nuevamente su aportación.”</w:t>
      </w:r>
    </w:p>
    <w:p w:rsidR="00B22173" w:rsidRDefault="00B22173" w:rsidP="00B22173">
      <w:pPr>
        <w:jc w:val="both"/>
        <w:rPr>
          <w:i/>
          <w:color w:val="548DD4" w:themeColor="text2" w:themeTint="99"/>
        </w:rPr>
      </w:pPr>
    </w:p>
    <w:p w:rsidR="00B22173" w:rsidRPr="00B22173" w:rsidRDefault="00B22173" w:rsidP="00B22173">
      <w:pPr>
        <w:jc w:val="both"/>
        <w:rPr>
          <w:i/>
          <w:color w:val="548DD4" w:themeColor="text2" w:themeTint="99"/>
        </w:rPr>
      </w:pPr>
    </w:p>
    <w:p w:rsidR="00B22173" w:rsidRPr="009774CC" w:rsidRDefault="00B22173" w:rsidP="00AE2FE6">
      <w:pPr>
        <w:rPr>
          <w:rFonts w:asciiTheme="minorHAnsi" w:eastAsia="Times New Roman" w:hAnsiTheme="minorHAnsi" w:cstheme="minorHAnsi"/>
        </w:rPr>
      </w:pPr>
    </w:p>
    <w:p w:rsidR="00AE2FE6" w:rsidRPr="009774CC" w:rsidRDefault="00AE2FE6" w:rsidP="00262542">
      <w:pPr>
        <w:rPr>
          <w:rFonts w:asciiTheme="minorHAnsi" w:hAnsiTheme="minorHAnsi" w:cstheme="minorHAnsi"/>
        </w:rPr>
      </w:pPr>
    </w:p>
    <w:p w:rsidR="002F395A" w:rsidRPr="009774CC" w:rsidRDefault="002F395A" w:rsidP="00262542">
      <w:pPr>
        <w:rPr>
          <w:rFonts w:asciiTheme="minorHAnsi" w:hAnsiTheme="minorHAnsi" w:cstheme="minorHAnsi"/>
        </w:rPr>
      </w:pPr>
    </w:p>
    <w:p w:rsidR="002F395A" w:rsidRPr="009774CC" w:rsidRDefault="002F395A" w:rsidP="002F395A">
      <w:pPr>
        <w:pBdr>
          <w:bottom w:val="single" w:sz="4" w:space="1" w:color="auto"/>
        </w:pBdr>
        <w:rPr>
          <w:rFonts w:asciiTheme="minorHAnsi" w:hAnsiTheme="minorHAnsi" w:cstheme="minorHAnsi"/>
        </w:rPr>
      </w:pPr>
      <w:r w:rsidRPr="009774CC">
        <w:rPr>
          <w:rFonts w:asciiTheme="minorHAnsi" w:hAnsiTheme="minorHAnsi" w:cstheme="minorHAnsi"/>
        </w:rPr>
        <w:t xml:space="preserve">PREGUNTA </w:t>
      </w:r>
      <w:r w:rsidR="001E085E">
        <w:rPr>
          <w:rFonts w:asciiTheme="minorHAnsi" w:hAnsiTheme="minorHAnsi" w:cstheme="minorHAnsi"/>
        </w:rPr>
        <w:t>5</w:t>
      </w:r>
      <w:r w:rsidRPr="009774CC">
        <w:rPr>
          <w:rFonts w:asciiTheme="minorHAnsi" w:hAnsiTheme="minorHAnsi" w:cstheme="minorHAnsi"/>
        </w:rPr>
        <w:t>:</w:t>
      </w:r>
    </w:p>
    <w:p w:rsidR="002F395A" w:rsidRPr="009774CC" w:rsidRDefault="002F395A" w:rsidP="00262542">
      <w:pPr>
        <w:rPr>
          <w:rFonts w:asciiTheme="minorHAnsi" w:hAnsiTheme="minorHAnsi" w:cstheme="minorHAnsi"/>
        </w:rPr>
      </w:pPr>
    </w:p>
    <w:p w:rsidR="002F395A" w:rsidRPr="009774CC" w:rsidRDefault="00B22173" w:rsidP="002F395A">
      <w:pPr>
        <w:rPr>
          <w:rFonts w:asciiTheme="minorHAnsi" w:eastAsia="Times New Roman" w:hAnsiTheme="minorHAnsi" w:cstheme="minorHAnsi"/>
        </w:rPr>
      </w:pPr>
      <w:r>
        <w:rPr>
          <w:rFonts w:asciiTheme="minorHAnsi" w:eastAsia="Times New Roman" w:hAnsiTheme="minorHAnsi" w:cstheme="minorHAnsi"/>
        </w:rPr>
        <w:t>Tengo</w:t>
      </w:r>
      <w:r w:rsidR="002F395A" w:rsidRPr="009774CC">
        <w:rPr>
          <w:rFonts w:asciiTheme="minorHAnsi" w:eastAsia="Times New Roman" w:hAnsiTheme="minorHAnsi" w:cstheme="minorHAnsi"/>
        </w:rPr>
        <w:t xml:space="preserve"> duda sobre donde reflejar: </w:t>
      </w:r>
    </w:p>
    <w:p w:rsidR="002F395A" w:rsidRPr="009774CC" w:rsidRDefault="002F395A" w:rsidP="002F395A">
      <w:pPr>
        <w:rPr>
          <w:rFonts w:asciiTheme="minorHAnsi" w:eastAsia="Times New Roman" w:hAnsiTheme="minorHAnsi" w:cstheme="minorHAnsi"/>
        </w:rPr>
      </w:pPr>
    </w:p>
    <w:p w:rsidR="002F395A" w:rsidRPr="009774CC" w:rsidRDefault="002F395A" w:rsidP="002F395A">
      <w:pPr>
        <w:numPr>
          <w:ilvl w:val="0"/>
          <w:numId w:val="2"/>
        </w:numPr>
        <w:spacing w:before="100" w:beforeAutospacing="1" w:after="100" w:afterAutospacing="1"/>
        <w:rPr>
          <w:rFonts w:asciiTheme="minorHAnsi" w:eastAsia="Times New Roman" w:hAnsiTheme="minorHAnsi" w:cstheme="minorHAnsi"/>
        </w:rPr>
      </w:pPr>
      <w:r w:rsidRPr="009774CC">
        <w:rPr>
          <w:rFonts w:asciiTheme="minorHAnsi" w:eastAsia="Times New Roman" w:hAnsiTheme="minorHAnsi" w:cstheme="minorHAnsi"/>
        </w:rPr>
        <w:t xml:space="preserve">Contrato con </w:t>
      </w:r>
      <w:proofErr w:type="spellStart"/>
      <w:r w:rsidRPr="009774CC">
        <w:rPr>
          <w:rFonts w:asciiTheme="minorHAnsi" w:eastAsia="Times New Roman" w:hAnsiTheme="minorHAnsi" w:cstheme="minorHAnsi"/>
        </w:rPr>
        <w:t>Aspace</w:t>
      </w:r>
      <w:proofErr w:type="spellEnd"/>
      <w:r w:rsidRPr="009774CC">
        <w:rPr>
          <w:rFonts w:asciiTheme="minorHAnsi" w:eastAsia="Times New Roman" w:hAnsiTheme="minorHAnsi" w:cstheme="minorHAnsi"/>
        </w:rPr>
        <w:t>. Viene una fisioterapeuta 2 días a la semana (1.5/día) </w:t>
      </w:r>
    </w:p>
    <w:p w:rsidR="002F395A" w:rsidRDefault="002F395A" w:rsidP="002F395A">
      <w:pPr>
        <w:numPr>
          <w:ilvl w:val="0"/>
          <w:numId w:val="3"/>
        </w:numPr>
        <w:spacing w:before="100" w:beforeAutospacing="1" w:after="100" w:afterAutospacing="1"/>
        <w:rPr>
          <w:rFonts w:asciiTheme="minorHAnsi" w:eastAsia="Times New Roman" w:hAnsiTheme="minorHAnsi" w:cstheme="minorHAnsi"/>
        </w:rPr>
      </w:pPr>
      <w:r w:rsidRPr="009774CC">
        <w:rPr>
          <w:rFonts w:asciiTheme="minorHAnsi" w:eastAsia="Times New Roman" w:hAnsiTheme="minorHAnsi" w:cstheme="minorHAnsi"/>
        </w:rPr>
        <w:t xml:space="preserve">Limpieza. Vienen desde la empresa de Limpiezas </w:t>
      </w:r>
      <w:proofErr w:type="spellStart"/>
      <w:r w:rsidRPr="009774CC">
        <w:rPr>
          <w:rFonts w:asciiTheme="minorHAnsi" w:eastAsia="Times New Roman" w:hAnsiTheme="minorHAnsi" w:cstheme="minorHAnsi"/>
        </w:rPr>
        <w:t>Irotz</w:t>
      </w:r>
      <w:proofErr w:type="spellEnd"/>
      <w:r w:rsidRPr="009774CC">
        <w:rPr>
          <w:rFonts w:asciiTheme="minorHAnsi" w:eastAsia="Times New Roman" w:hAnsiTheme="minorHAnsi" w:cstheme="minorHAnsi"/>
        </w:rPr>
        <w:t xml:space="preserve"> 2 días a la semana (1.5/día) </w:t>
      </w:r>
    </w:p>
    <w:p w:rsidR="00B22173" w:rsidRPr="00524C3E" w:rsidRDefault="00B22173" w:rsidP="00B22173">
      <w:pPr>
        <w:spacing w:before="100" w:beforeAutospacing="1" w:after="100" w:afterAutospacing="1"/>
        <w:rPr>
          <w:rFonts w:asciiTheme="minorHAnsi" w:eastAsia="Times New Roman" w:hAnsiTheme="minorHAnsi" w:cstheme="minorHAnsi"/>
          <w:color w:val="548DD4" w:themeColor="text2" w:themeTint="99"/>
        </w:rPr>
      </w:pPr>
      <w:r w:rsidRPr="00524C3E">
        <w:rPr>
          <w:rFonts w:asciiTheme="minorHAnsi" w:eastAsia="Times New Roman" w:hAnsiTheme="minorHAnsi" w:cstheme="minorHAnsi"/>
          <w:color w:val="548DD4" w:themeColor="text2" w:themeTint="99"/>
        </w:rPr>
        <w:t>Tal y como se estable en la cláusula 13.1 apartado 10, es necesario entregar:</w:t>
      </w:r>
    </w:p>
    <w:p w:rsidR="00B22173" w:rsidRPr="001E085E" w:rsidRDefault="00B22173" w:rsidP="00B22173">
      <w:pPr>
        <w:pStyle w:val="Prrafodelista"/>
        <w:numPr>
          <w:ilvl w:val="0"/>
          <w:numId w:val="7"/>
        </w:numPr>
        <w:overflowPunct w:val="0"/>
        <w:autoSpaceDE w:val="0"/>
        <w:autoSpaceDN w:val="0"/>
        <w:adjustRightInd w:val="0"/>
        <w:spacing w:before="120" w:after="240"/>
        <w:jc w:val="both"/>
        <w:textAlignment w:val="baseline"/>
        <w:rPr>
          <w:i/>
          <w:color w:val="548DD4" w:themeColor="text2" w:themeTint="99"/>
        </w:rPr>
      </w:pPr>
      <w:r w:rsidRPr="001E085E">
        <w:rPr>
          <w:i/>
          <w:color w:val="548DD4" w:themeColor="text2" w:themeTint="99"/>
        </w:rPr>
        <w:t xml:space="preserve">Documento que demuestre en su caso, la existencia de un compromiso formal con los subcontratistas para la ejecución del contrato. Además, deberán indicar: los servicios que van a prestar, personal y medios que pondrán a disposición del centro, así como su coste. Las empresas subcontratadas deberán acompañar una declaración responsable de que están de acuerdo en cumplir las condiciones del sistema de contratación y que no incurren en ninguna de las circunstancias del artículo 22 de la LFCP. </w:t>
      </w:r>
    </w:p>
    <w:p w:rsidR="00B22173" w:rsidRPr="001E085E" w:rsidRDefault="00B22173" w:rsidP="00B22173">
      <w:pPr>
        <w:ind w:left="708" w:firstLine="360"/>
        <w:jc w:val="both"/>
        <w:rPr>
          <w:i/>
          <w:color w:val="548DD4" w:themeColor="text2" w:themeTint="99"/>
        </w:rPr>
      </w:pPr>
      <w:r w:rsidRPr="001E085E">
        <w:rPr>
          <w:i/>
          <w:color w:val="548DD4" w:themeColor="text2" w:themeTint="99"/>
        </w:rPr>
        <w:t>En caso de que la ejecución se haga por medios propios, declaración de que no tiene subcontratado ningún servicio incluido en el objeto de su actividad, de tal forma que presta la misma directamente de forma íntegra a través de sus propios medios materiales y personales.</w:t>
      </w:r>
    </w:p>
    <w:p w:rsidR="00B22173" w:rsidRPr="001E085E" w:rsidRDefault="00B22173" w:rsidP="00B22173">
      <w:pPr>
        <w:ind w:left="708" w:firstLine="360"/>
        <w:jc w:val="both"/>
        <w:rPr>
          <w:i/>
          <w:color w:val="548DD4" w:themeColor="text2" w:themeTint="99"/>
        </w:rPr>
      </w:pPr>
    </w:p>
    <w:p w:rsidR="00B22173" w:rsidRPr="001E085E" w:rsidRDefault="00B22173" w:rsidP="00B22173">
      <w:pPr>
        <w:ind w:left="708" w:firstLine="360"/>
        <w:jc w:val="both"/>
        <w:rPr>
          <w:i/>
          <w:color w:val="548DD4" w:themeColor="text2" w:themeTint="99"/>
        </w:rPr>
      </w:pPr>
      <w:r w:rsidRPr="001E085E">
        <w:rPr>
          <w:i/>
          <w:color w:val="548DD4" w:themeColor="text2" w:themeTint="99"/>
        </w:rPr>
        <w:t xml:space="preserve">Por otro lado, mensualmente con ocasión del abono del </w:t>
      </w:r>
      <w:r w:rsidR="00524C3E" w:rsidRPr="001E085E">
        <w:rPr>
          <w:i/>
          <w:color w:val="548DD4" w:themeColor="text2" w:themeTint="99"/>
        </w:rPr>
        <w:t>servicio,</w:t>
      </w:r>
      <w:r w:rsidRPr="001E085E">
        <w:rPr>
          <w:i/>
          <w:color w:val="548DD4" w:themeColor="text2" w:themeTint="99"/>
        </w:rPr>
        <w:t xml:space="preserve"> deberá presentarse el anexo XV</w:t>
      </w:r>
      <w:r w:rsidR="00524C3E" w:rsidRPr="001E085E">
        <w:rPr>
          <w:i/>
          <w:color w:val="548DD4" w:themeColor="text2" w:themeTint="99"/>
        </w:rPr>
        <w:t xml:space="preserve"> de modelo de presencias mensual del personal subcontratado.</w:t>
      </w:r>
    </w:p>
    <w:p w:rsidR="002F395A" w:rsidRPr="009774CC" w:rsidRDefault="002F395A" w:rsidP="00262542">
      <w:pPr>
        <w:rPr>
          <w:rFonts w:asciiTheme="minorHAnsi" w:hAnsiTheme="minorHAnsi" w:cstheme="minorHAnsi"/>
        </w:rPr>
      </w:pPr>
    </w:p>
    <w:p w:rsidR="002F395A" w:rsidRPr="009774CC" w:rsidRDefault="002F395A" w:rsidP="00262542">
      <w:pPr>
        <w:rPr>
          <w:rFonts w:asciiTheme="minorHAnsi" w:hAnsiTheme="minorHAnsi" w:cstheme="minorHAnsi"/>
        </w:rPr>
      </w:pPr>
    </w:p>
    <w:p w:rsidR="00A70328" w:rsidRPr="009774CC" w:rsidRDefault="001E085E" w:rsidP="00A70328">
      <w:pPr>
        <w:pBdr>
          <w:bottom w:val="single" w:sz="4" w:space="1" w:color="auto"/>
        </w:pBdr>
        <w:rPr>
          <w:rFonts w:asciiTheme="minorHAnsi" w:hAnsiTheme="minorHAnsi" w:cstheme="minorHAnsi"/>
        </w:rPr>
      </w:pPr>
      <w:r>
        <w:rPr>
          <w:rFonts w:asciiTheme="minorHAnsi" w:hAnsiTheme="minorHAnsi" w:cstheme="minorHAnsi"/>
        </w:rPr>
        <w:t>PREGUNTA 6</w:t>
      </w:r>
      <w:r w:rsidR="00A70328" w:rsidRPr="009774CC">
        <w:rPr>
          <w:rFonts w:asciiTheme="minorHAnsi" w:hAnsiTheme="minorHAnsi" w:cstheme="minorHAnsi"/>
        </w:rPr>
        <w:t>:</w:t>
      </w:r>
    </w:p>
    <w:p w:rsidR="00A70328" w:rsidRPr="009774CC" w:rsidRDefault="00A70328" w:rsidP="00262542">
      <w:pPr>
        <w:rPr>
          <w:rFonts w:asciiTheme="minorHAnsi" w:hAnsiTheme="minorHAnsi" w:cstheme="minorHAnsi"/>
        </w:rPr>
      </w:pPr>
    </w:p>
    <w:p w:rsidR="00A70328" w:rsidRDefault="00A70328" w:rsidP="00262542">
      <w:pPr>
        <w:rPr>
          <w:rFonts w:asciiTheme="minorHAnsi" w:hAnsiTheme="minorHAnsi" w:cstheme="minorHAnsi"/>
        </w:rPr>
      </w:pPr>
      <w:r w:rsidRPr="009774CC">
        <w:rPr>
          <w:rFonts w:asciiTheme="minorHAnsi" w:hAnsiTheme="minorHAnsi" w:cstheme="minorHAnsi"/>
        </w:rPr>
        <w:t xml:space="preserve">Quería preguntar si una persona usuaria de un CD no llega a las 25 horas a la semana porque no acude </w:t>
      </w:r>
      <w:r w:rsidR="00524C3E" w:rsidRPr="009774CC">
        <w:rPr>
          <w:rFonts w:asciiTheme="minorHAnsi" w:hAnsiTheme="minorHAnsi" w:cstheme="minorHAnsi"/>
        </w:rPr>
        <w:t>todos los días</w:t>
      </w:r>
      <w:r w:rsidRPr="009774CC">
        <w:rPr>
          <w:rFonts w:asciiTheme="minorHAnsi" w:hAnsiTheme="minorHAnsi" w:cstheme="minorHAnsi"/>
        </w:rPr>
        <w:t xml:space="preserve">, </w:t>
      </w:r>
      <w:r w:rsidR="00222859" w:rsidRPr="009774CC">
        <w:rPr>
          <w:rFonts w:asciiTheme="minorHAnsi" w:hAnsiTheme="minorHAnsi" w:cstheme="minorHAnsi"/>
        </w:rPr>
        <w:t>¿cómo se computa?</w:t>
      </w:r>
      <w:r w:rsidRPr="009774CC">
        <w:rPr>
          <w:rFonts w:asciiTheme="minorHAnsi" w:hAnsiTheme="minorHAnsi" w:cstheme="minorHAnsi"/>
        </w:rPr>
        <w:t xml:space="preserve"> </w:t>
      </w:r>
      <w:r w:rsidR="00222859" w:rsidRPr="009774CC">
        <w:rPr>
          <w:rFonts w:asciiTheme="minorHAnsi" w:hAnsiTheme="minorHAnsi" w:cstheme="minorHAnsi"/>
        </w:rPr>
        <w:t>¿</w:t>
      </w:r>
      <w:proofErr w:type="spellStart"/>
      <w:r w:rsidR="00222859" w:rsidRPr="009774CC">
        <w:rPr>
          <w:rFonts w:asciiTheme="minorHAnsi" w:hAnsiTheme="minorHAnsi" w:cstheme="minorHAnsi"/>
        </w:rPr>
        <w:t>Como</w:t>
      </w:r>
      <w:proofErr w:type="spellEnd"/>
      <w:r w:rsidR="00222859" w:rsidRPr="009774CC">
        <w:rPr>
          <w:rFonts w:asciiTheme="minorHAnsi" w:hAnsiTheme="minorHAnsi" w:cstheme="minorHAnsi"/>
        </w:rPr>
        <w:t xml:space="preserve"> tipo A?</w:t>
      </w:r>
      <w:r w:rsidRPr="009774CC">
        <w:rPr>
          <w:rFonts w:asciiTheme="minorHAnsi" w:hAnsiTheme="minorHAnsi" w:cstheme="minorHAnsi"/>
        </w:rPr>
        <w:t xml:space="preserve"> Si viene en ese horario claro.</w:t>
      </w:r>
    </w:p>
    <w:p w:rsidR="00524C3E" w:rsidRDefault="00524C3E" w:rsidP="00262542">
      <w:pPr>
        <w:rPr>
          <w:rFonts w:asciiTheme="minorHAnsi" w:hAnsiTheme="minorHAnsi" w:cstheme="minorHAnsi"/>
        </w:rPr>
      </w:pPr>
    </w:p>
    <w:p w:rsidR="00524C3E" w:rsidRPr="001E085E" w:rsidRDefault="00524C3E" w:rsidP="00262542">
      <w:pPr>
        <w:rPr>
          <w:rFonts w:asciiTheme="minorHAnsi" w:hAnsiTheme="minorHAnsi" w:cstheme="minorHAnsi"/>
          <w:color w:val="4F81BD" w:themeColor="accent1"/>
        </w:rPr>
      </w:pPr>
      <w:r w:rsidRPr="001E085E">
        <w:rPr>
          <w:rFonts w:asciiTheme="minorHAnsi" w:hAnsiTheme="minorHAnsi" w:cstheme="minorHAnsi"/>
          <w:color w:val="4F81BD" w:themeColor="accent1"/>
        </w:rPr>
        <w:t>Tal y como se establece en la cláusula 7.4.4 del P.P.T.:</w:t>
      </w:r>
    </w:p>
    <w:p w:rsidR="00524C3E" w:rsidRDefault="00524C3E" w:rsidP="00262542">
      <w:pPr>
        <w:rPr>
          <w:rFonts w:asciiTheme="minorHAnsi" w:hAnsiTheme="minorHAnsi" w:cstheme="minorHAnsi"/>
        </w:rPr>
      </w:pPr>
    </w:p>
    <w:p w:rsidR="00524C3E" w:rsidRPr="00524C3E" w:rsidRDefault="00524C3E" w:rsidP="00524C3E">
      <w:pPr>
        <w:pStyle w:val="Textoindependiente"/>
        <w:spacing w:before="240" w:after="240" w:line="276" w:lineRule="auto"/>
        <w:ind w:left="2" w:right="4"/>
        <w:jc w:val="both"/>
        <w:rPr>
          <w:rFonts w:asciiTheme="minorHAnsi" w:hAnsiTheme="minorHAnsi" w:cstheme="minorHAnsi"/>
          <w:i/>
          <w:color w:val="548DD4" w:themeColor="text2" w:themeTint="99"/>
          <w:sz w:val="22"/>
          <w:szCs w:val="22"/>
        </w:rPr>
      </w:pPr>
      <w:r>
        <w:rPr>
          <w:rFonts w:asciiTheme="minorHAnsi" w:hAnsiTheme="minorHAnsi" w:cstheme="minorHAnsi"/>
          <w:i/>
          <w:color w:val="548DD4" w:themeColor="text2" w:themeTint="99"/>
          <w:sz w:val="22"/>
          <w:szCs w:val="22"/>
        </w:rPr>
        <w:t>“</w:t>
      </w:r>
      <w:r w:rsidRPr="00524C3E">
        <w:rPr>
          <w:rFonts w:asciiTheme="minorHAnsi" w:hAnsiTheme="minorHAnsi" w:cstheme="minorHAnsi"/>
          <w:i/>
          <w:color w:val="548DD4" w:themeColor="text2" w:themeTint="99"/>
          <w:sz w:val="22"/>
          <w:szCs w:val="22"/>
        </w:rPr>
        <w:t>La atención se prestará en horario diurno, de lunes a viernes, todos los días laborables del año, de acuerdo al calendario oficial de fiestas de la Comunidad Foral de Navarra y de las entidades locales correspondientes.</w:t>
      </w:r>
    </w:p>
    <w:p w:rsidR="00524C3E" w:rsidRPr="00524C3E" w:rsidRDefault="00524C3E" w:rsidP="00524C3E">
      <w:pPr>
        <w:pStyle w:val="Textoindependiente"/>
        <w:spacing w:before="240" w:line="276" w:lineRule="auto"/>
        <w:ind w:left="2" w:right="4"/>
        <w:jc w:val="both"/>
        <w:rPr>
          <w:rFonts w:asciiTheme="minorHAnsi" w:hAnsiTheme="minorHAnsi" w:cstheme="minorHAnsi"/>
          <w:i/>
          <w:color w:val="548DD4" w:themeColor="text2" w:themeTint="99"/>
          <w:sz w:val="22"/>
          <w:szCs w:val="22"/>
        </w:rPr>
      </w:pPr>
      <w:r w:rsidRPr="00524C3E">
        <w:rPr>
          <w:rFonts w:asciiTheme="minorHAnsi" w:hAnsiTheme="minorHAnsi" w:cstheme="minorHAnsi"/>
          <w:i/>
          <w:color w:val="548DD4" w:themeColor="text2" w:themeTint="99"/>
          <w:sz w:val="22"/>
          <w:szCs w:val="22"/>
        </w:rPr>
        <w:t>Las</w:t>
      </w:r>
      <w:r w:rsidRPr="00524C3E">
        <w:rPr>
          <w:rFonts w:asciiTheme="minorHAnsi" w:hAnsiTheme="minorHAnsi" w:cstheme="minorHAnsi"/>
          <w:i/>
          <w:color w:val="548DD4" w:themeColor="text2" w:themeTint="99"/>
          <w:spacing w:val="-1"/>
          <w:sz w:val="22"/>
          <w:szCs w:val="22"/>
        </w:rPr>
        <w:t xml:space="preserve"> </w:t>
      </w:r>
      <w:r w:rsidRPr="00524C3E">
        <w:rPr>
          <w:rFonts w:asciiTheme="minorHAnsi" w:hAnsiTheme="minorHAnsi" w:cstheme="minorHAnsi"/>
          <w:i/>
          <w:color w:val="548DD4" w:themeColor="text2" w:themeTint="99"/>
          <w:sz w:val="22"/>
          <w:szCs w:val="22"/>
        </w:rPr>
        <w:t>personas</w:t>
      </w:r>
      <w:r w:rsidRPr="00524C3E">
        <w:rPr>
          <w:rFonts w:asciiTheme="minorHAnsi" w:hAnsiTheme="minorHAnsi" w:cstheme="minorHAnsi"/>
          <w:i/>
          <w:color w:val="548DD4" w:themeColor="text2" w:themeTint="99"/>
          <w:spacing w:val="-1"/>
          <w:sz w:val="22"/>
          <w:szCs w:val="22"/>
        </w:rPr>
        <w:t xml:space="preserve"> </w:t>
      </w:r>
      <w:r w:rsidRPr="00524C3E">
        <w:rPr>
          <w:rFonts w:asciiTheme="minorHAnsi" w:hAnsiTheme="minorHAnsi" w:cstheme="minorHAnsi"/>
          <w:i/>
          <w:color w:val="548DD4" w:themeColor="text2" w:themeTint="99"/>
          <w:sz w:val="22"/>
          <w:szCs w:val="22"/>
        </w:rPr>
        <w:t>podrán</w:t>
      </w:r>
      <w:r w:rsidRPr="00524C3E">
        <w:rPr>
          <w:rFonts w:asciiTheme="minorHAnsi" w:hAnsiTheme="minorHAnsi" w:cstheme="minorHAnsi"/>
          <w:i/>
          <w:color w:val="548DD4" w:themeColor="text2" w:themeTint="99"/>
          <w:spacing w:val="-1"/>
          <w:sz w:val="22"/>
          <w:szCs w:val="22"/>
        </w:rPr>
        <w:t xml:space="preserve"> </w:t>
      </w:r>
      <w:r w:rsidRPr="00524C3E">
        <w:rPr>
          <w:rFonts w:asciiTheme="minorHAnsi" w:hAnsiTheme="minorHAnsi" w:cstheme="minorHAnsi"/>
          <w:i/>
          <w:color w:val="548DD4" w:themeColor="text2" w:themeTint="99"/>
          <w:sz w:val="22"/>
          <w:szCs w:val="22"/>
        </w:rPr>
        <w:t>acudir</w:t>
      </w:r>
      <w:r w:rsidRPr="00524C3E">
        <w:rPr>
          <w:rFonts w:asciiTheme="minorHAnsi" w:hAnsiTheme="minorHAnsi" w:cstheme="minorHAnsi"/>
          <w:i/>
          <w:color w:val="548DD4" w:themeColor="text2" w:themeTint="99"/>
          <w:spacing w:val="2"/>
          <w:sz w:val="22"/>
          <w:szCs w:val="22"/>
        </w:rPr>
        <w:t xml:space="preserve"> </w:t>
      </w:r>
      <w:r w:rsidRPr="00524C3E">
        <w:rPr>
          <w:rFonts w:asciiTheme="minorHAnsi" w:hAnsiTheme="minorHAnsi" w:cstheme="minorHAnsi"/>
          <w:i/>
          <w:color w:val="548DD4" w:themeColor="text2" w:themeTint="99"/>
          <w:sz w:val="22"/>
          <w:szCs w:val="22"/>
        </w:rPr>
        <w:t>a</w:t>
      </w:r>
      <w:r w:rsidRPr="00524C3E">
        <w:rPr>
          <w:rFonts w:asciiTheme="minorHAnsi" w:hAnsiTheme="minorHAnsi" w:cstheme="minorHAnsi"/>
          <w:i/>
          <w:color w:val="548DD4" w:themeColor="text2" w:themeTint="99"/>
          <w:spacing w:val="-1"/>
          <w:sz w:val="22"/>
          <w:szCs w:val="22"/>
        </w:rPr>
        <w:t xml:space="preserve"> </w:t>
      </w:r>
      <w:r w:rsidRPr="00524C3E">
        <w:rPr>
          <w:rFonts w:asciiTheme="minorHAnsi" w:hAnsiTheme="minorHAnsi" w:cstheme="minorHAnsi"/>
          <w:i/>
          <w:color w:val="548DD4" w:themeColor="text2" w:themeTint="99"/>
          <w:sz w:val="22"/>
          <w:szCs w:val="22"/>
        </w:rPr>
        <w:t>jornada</w:t>
      </w:r>
      <w:r w:rsidRPr="00524C3E">
        <w:rPr>
          <w:rFonts w:asciiTheme="minorHAnsi" w:hAnsiTheme="minorHAnsi" w:cstheme="minorHAnsi"/>
          <w:i/>
          <w:color w:val="548DD4" w:themeColor="text2" w:themeTint="99"/>
          <w:spacing w:val="-1"/>
          <w:sz w:val="22"/>
          <w:szCs w:val="22"/>
        </w:rPr>
        <w:t xml:space="preserve"> </w:t>
      </w:r>
      <w:r w:rsidRPr="00524C3E">
        <w:rPr>
          <w:rFonts w:asciiTheme="minorHAnsi" w:hAnsiTheme="minorHAnsi" w:cstheme="minorHAnsi"/>
          <w:i/>
          <w:color w:val="548DD4" w:themeColor="text2" w:themeTint="99"/>
          <w:sz w:val="22"/>
          <w:szCs w:val="22"/>
        </w:rPr>
        <w:t>completa</w:t>
      </w:r>
      <w:r w:rsidRPr="00524C3E">
        <w:rPr>
          <w:rFonts w:asciiTheme="minorHAnsi" w:hAnsiTheme="minorHAnsi" w:cstheme="minorHAnsi"/>
          <w:i/>
          <w:color w:val="548DD4" w:themeColor="text2" w:themeTint="99"/>
          <w:spacing w:val="-1"/>
          <w:sz w:val="22"/>
          <w:szCs w:val="22"/>
        </w:rPr>
        <w:t xml:space="preserve"> o jornada parcial (entre 15 y 25 horas semanales)</w:t>
      </w:r>
    </w:p>
    <w:p w:rsidR="00524C3E" w:rsidRPr="00524C3E" w:rsidRDefault="00524C3E" w:rsidP="00524C3E">
      <w:pPr>
        <w:spacing w:after="240" w:line="276" w:lineRule="auto"/>
        <w:ind w:right="4"/>
        <w:jc w:val="both"/>
        <w:rPr>
          <w:rFonts w:asciiTheme="minorHAnsi" w:hAnsiTheme="minorHAnsi" w:cstheme="minorHAnsi"/>
          <w:i/>
          <w:color w:val="548DD4" w:themeColor="text2" w:themeTint="99"/>
          <w:highlight w:val="yellow"/>
        </w:rPr>
      </w:pPr>
      <w:r w:rsidRPr="00524C3E">
        <w:rPr>
          <w:rFonts w:asciiTheme="minorHAnsi" w:hAnsiTheme="minorHAnsi" w:cstheme="minorHAnsi"/>
          <w:i/>
          <w:color w:val="548DD4" w:themeColor="text2" w:themeTint="99"/>
        </w:rPr>
        <w:t>Cuando se preste el servicio entre las 9:00 y las 15:00 horas, se denominará jornada parcial TIPO A y la ocupación y el módulo abonado por dicha plaza corresponderán a 2/3 de la plaza a jornada completa.</w:t>
      </w:r>
    </w:p>
    <w:p w:rsidR="00524C3E" w:rsidRPr="00524C3E" w:rsidRDefault="00524C3E" w:rsidP="00524C3E">
      <w:pPr>
        <w:pStyle w:val="Textoindependiente"/>
        <w:spacing w:before="240" w:after="240" w:line="276" w:lineRule="auto"/>
        <w:ind w:right="4"/>
        <w:jc w:val="both"/>
        <w:rPr>
          <w:rFonts w:asciiTheme="minorHAnsi" w:hAnsiTheme="minorHAnsi" w:cstheme="minorHAnsi"/>
          <w:i/>
          <w:color w:val="548DD4" w:themeColor="text2" w:themeTint="99"/>
          <w:sz w:val="22"/>
          <w:szCs w:val="22"/>
          <w:lang w:eastAsia="es-ES"/>
        </w:rPr>
      </w:pPr>
      <w:r w:rsidRPr="00524C3E">
        <w:rPr>
          <w:rFonts w:asciiTheme="minorHAnsi" w:hAnsiTheme="minorHAnsi" w:cstheme="minorHAnsi"/>
          <w:i/>
          <w:color w:val="548DD4" w:themeColor="text2" w:themeTint="99"/>
          <w:sz w:val="22"/>
          <w:szCs w:val="22"/>
          <w:lang w:eastAsia="es-ES"/>
        </w:rPr>
        <w:t xml:space="preserve">Cuando el horario en el que acude la persona esté comprendido entre las 14,00 horas y el cierre, se denominará jornada parcial TIPO B y la ocupación y el módulo abonado por dicha plaza corresponderán a 1/3 de la plaza a jornada completa, salvo que se acredite la prestación </w:t>
      </w:r>
      <w:r w:rsidRPr="00524C3E">
        <w:rPr>
          <w:rFonts w:asciiTheme="minorHAnsi" w:hAnsiTheme="minorHAnsi" w:cstheme="minorHAnsi"/>
          <w:i/>
          <w:color w:val="548DD4" w:themeColor="text2" w:themeTint="99"/>
          <w:sz w:val="22"/>
          <w:szCs w:val="22"/>
          <w:lang w:eastAsia="es-ES"/>
        </w:rPr>
        <w:lastRenderedPageBreak/>
        <w:t>efectiva proporcional del personal técnico exigido para la asistencia en jornada completa, en cuyo caso se abonará el módulo correspondiente TIPO A, previo informe favorable de la Sección de Servicios para Personas Mayores.</w:t>
      </w:r>
      <w:r>
        <w:rPr>
          <w:rFonts w:asciiTheme="minorHAnsi" w:hAnsiTheme="minorHAnsi" w:cstheme="minorHAnsi"/>
          <w:i/>
          <w:color w:val="548DD4" w:themeColor="text2" w:themeTint="99"/>
          <w:sz w:val="22"/>
          <w:szCs w:val="22"/>
          <w:lang w:eastAsia="es-ES"/>
        </w:rPr>
        <w:t>”</w:t>
      </w:r>
    </w:p>
    <w:p w:rsidR="00A70328" w:rsidRPr="009774CC" w:rsidRDefault="00A70328" w:rsidP="00262542">
      <w:pPr>
        <w:rPr>
          <w:rFonts w:asciiTheme="minorHAnsi" w:hAnsiTheme="minorHAnsi" w:cstheme="minorHAnsi"/>
        </w:rPr>
      </w:pPr>
    </w:p>
    <w:p w:rsidR="00A70328" w:rsidRPr="009774CC" w:rsidRDefault="00A70328" w:rsidP="00A70328">
      <w:pPr>
        <w:pBdr>
          <w:bottom w:val="single" w:sz="4" w:space="1" w:color="auto"/>
        </w:pBdr>
        <w:rPr>
          <w:rFonts w:asciiTheme="minorHAnsi" w:hAnsiTheme="minorHAnsi" w:cstheme="minorHAnsi"/>
        </w:rPr>
      </w:pPr>
      <w:r w:rsidRPr="009774CC">
        <w:rPr>
          <w:rFonts w:asciiTheme="minorHAnsi" w:hAnsiTheme="minorHAnsi" w:cstheme="minorHAnsi"/>
        </w:rPr>
        <w:t xml:space="preserve">PREGUNTA </w:t>
      </w:r>
      <w:r w:rsidR="001E085E">
        <w:rPr>
          <w:rFonts w:asciiTheme="minorHAnsi" w:hAnsiTheme="minorHAnsi" w:cstheme="minorHAnsi"/>
        </w:rPr>
        <w:t>7</w:t>
      </w:r>
      <w:r w:rsidRPr="009774CC">
        <w:rPr>
          <w:rFonts w:asciiTheme="minorHAnsi" w:hAnsiTheme="minorHAnsi" w:cstheme="minorHAnsi"/>
        </w:rPr>
        <w:t>:</w:t>
      </w:r>
    </w:p>
    <w:p w:rsidR="00A70328" w:rsidRPr="009774CC" w:rsidRDefault="00A70328" w:rsidP="00A70328">
      <w:pPr>
        <w:rPr>
          <w:rFonts w:asciiTheme="minorHAnsi" w:hAnsiTheme="minorHAnsi" w:cstheme="minorHAnsi"/>
        </w:rPr>
      </w:pPr>
    </w:p>
    <w:p w:rsidR="00A70328" w:rsidRPr="009774CC" w:rsidRDefault="00A70328" w:rsidP="00A70328">
      <w:pPr>
        <w:rPr>
          <w:rFonts w:asciiTheme="minorHAnsi" w:hAnsiTheme="minorHAnsi" w:cstheme="minorHAnsi"/>
        </w:rPr>
      </w:pPr>
      <w:r w:rsidRPr="009774CC">
        <w:rPr>
          <w:rFonts w:asciiTheme="minorHAnsi" w:hAnsiTheme="minorHAnsi" w:cstheme="minorHAnsi"/>
        </w:rPr>
        <w:t>Tras revisar la documentación del procedimiento, nos surgen las siguientes dudas y solicitudes de aclaración:</w:t>
      </w:r>
    </w:p>
    <w:p w:rsidR="00A70328" w:rsidRPr="009774CC" w:rsidRDefault="00A70328" w:rsidP="00A70328">
      <w:pPr>
        <w:rPr>
          <w:rFonts w:asciiTheme="minorHAnsi" w:hAnsiTheme="minorHAnsi" w:cstheme="minorHAnsi"/>
        </w:rPr>
      </w:pPr>
    </w:p>
    <w:p w:rsidR="00A70328" w:rsidRPr="009774CC" w:rsidRDefault="00A70328" w:rsidP="00A70328">
      <w:pPr>
        <w:rPr>
          <w:rFonts w:asciiTheme="minorHAnsi" w:hAnsiTheme="minorHAnsi" w:cstheme="minorHAnsi"/>
          <w:b/>
          <w:bCs/>
        </w:rPr>
      </w:pPr>
      <w:r w:rsidRPr="009774CC">
        <w:rPr>
          <w:rFonts w:asciiTheme="minorHAnsi" w:hAnsiTheme="minorHAnsi" w:cstheme="minorHAnsi"/>
          <w:b/>
          <w:bCs/>
        </w:rPr>
        <w:t>1. Aplicación de las ratios de personal</w:t>
      </w:r>
    </w:p>
    <w:p w:rsidR="00A70328" w:rsidRDefault="00A70328" w:rsidP="00A70328">
      <w:pPr>
        <w:rPr>
          <w:rFonts w:asciiTheme="minorHAnsi" w:hAnsiTheme="minorHAnsi" w:cstheme="minorHAnsi"/>
        </w:rPr>
      </w:pPr>
      <w:r w:rsidRPr="009774CC">
        <w:rPr>
          <w:rFonts w:asciiTheme="minorHAnsi" w:hAnsiTheme="minorHAnsi" w:cstheme="minorHAnsi"/>
        </w:rPr>
        <w:t xml:space="preserve">En relación con las ratios de </w:t>
      </w:r>
      <w:r w:rsidRPr="009774CC">
        <w:rPr>
          <w:rFonts w:asciiTheme="minorHAnsi" w:hAnsiTheme="minorHAnsi" w:cstheme="minorHAnsi"/>
          <w:u w:val="single"/>
        </w:rPr>
        <w:t>personal cuidador y personal técnico</w:t>
      </w:r>
      <w:r w:rsidRPr="009774CC">
        <w:rPr>
          <w:rFonts w:asciiTheme="minorHAnsi" w:hAnsiTheme="minorHAnsi" w:cstheme="minorHAnsi"/>
        </w:rPr>
        <w:t xml:space="preserve"> establecidas en la cláusula 9.2 del Pliego de Prescripciones Técnicas, solicitamos aclaración sobre si dichas ratios constituyen mínimos independientes y de obligado cumplimiento para cada categoría profesional o, por el contrario, si puede admitirse una compensación entre categorías siempre que se mantenga una dotación total de atención equivalente, tal y como lo permitía el actual OPEN.</w:t>
      </w:r>
    </w:p>
    <w:p w:rsidR="00524C3E" w:rsidRDefault="00524C3E" w:rsidP="00A70328">
      <w:pPr>
        <w:rPr>
          <w:rFonts w:asciiTheme="minorHAnsi" w:hAnsiTheme="minorHAnsi" w:cstheme="minorHAnsi"/>
        </w:rPr>
      </w:pPr>
    </w:p>
    <w:p w:rsidR="00524C3E" w:rsidRPr="007D6AD2" w:rsidRDefault="00524C3E" w:rsidP="00A70328">
      <w:pPr>
        <w:rPr>
          <w:rFonts w:asciiTheme="minorHAnsi" w:hAnsiTheme="minorHAnsi" w:cstheme="minorHAnsi"/>
          <w:color w:val="548DD4" w:themeColor="text2" w:themeTint="99"/>
        </w:rPr>
      </w:pPr>
      <w:r w:rsidRPr="007D6AD2">
        <w:rPr>
          <w:rFonts w:asciiTheme="minorHAnsi" w:hAnsiTheme="minorHAnsi" w:cstheme="minorHAnsi"/>
          <w:color w:val="548DD4" w:themeColor="text2" w:themeTint="99"/>
        </w:rPr>
        <w:t xml:space="preserve">Las ratios exigidas son el mínimo exigible para cada categoría profesional, (cuidador, técnicos), no </w:t>
      </w:r>
      <w:r w:rsidR="007D6AD2" w:rsidRPr="007D6AD2">
        <w:rPr>
          <w:rFonts w:asciiTheme="minorHAnsi" w:hAnsiTheme="minorHAnsi" w:cstheme="minorHAnsi"/>
          <w:color w:val="548DD4" w:themeColor="text2" w:themeTint="99"/>
        </w:rPr>
        <w:t>pudiéndose compensar entre ell</w:t>
      </w:r>
      <w:r w:rsidR="001E085E">
        <w:rPr>
          <w:rFonts w:asciiTheme="minorHAnsi" w:hAnsiTheme="minorHAnsi" w:cstheme="minorHAnsi"/>
          <w:color w:val="548DD4" w:themeColor="text2" w:themeTint="99"/>
        </w:rPr>
        <w:t>a</w:t>
      </w:r>
      <w:r w:rsidR="007D6AD2" w:rsidRPr="007D6AD2">
        <w:rPr>
          <w:rFonts w:asciiTheme="minorHAnsi" w:hAnsiTheme="minorHAnsi" w:cstheme="minorHAnsi"/>
          <w:color w:val="548DD4" w:themeColor="text2" w:themeTint="99"/>
        </w:rPr>
        <w:t>s.</w:t>
      </w:r>
    </w:p>
    <w:p w:rsidR="00A70328" w:rsidRPr="009774CC" w:rsidRDefault="00A70328" w:rsidP="00A70328">
      <w:pPr>
        <w:rPr>
          <w:rFonts w:asciiTheme="minorHAnsi" w:hAnsiTheme="minorHAnsi" w:cstheme="minorHAnsi"/>
        </w:rPr>
      </w:pPr>
    </w:p>
    <w:p w:rsidR="00A70328" w:rsidRPr="009774CC" w:rsidRDefault="00A70328" w:rsidP="00A70328">
      <w:pPr>
        <w:rPr>
          <w:rFonts w:asciiTheme="minorHAnsi" w:hAnsiTheme="minorHAnsi" w:cstheme="minorHAnsi"/>
          <w:b/>
          <w:bCs/>
        </w:rPr>
      </w:pPr>
      <w:r w:rsidRPr="009774CC">
        <w:rPr>
          <w:rFonts w:asciiTheme="minorHAnsi" w:hAnsiTheme="minorHAnsi" w:cstheme="minorHAnsi"/>
          <w:b/>
          <w:bCs/>
        </w:rPr>
        <w:t>2. Reflejo de la atención directa e indirecta</w:t>
      </w:r>
    </w:p>
    <w:p w:rsidR="00A70328" w:rsidRDefault="00A70328" w:rsidP="00A70328">
      <w:pPr>
        <w:rPr>
          <w:rFonts w:asciiTheme="minorHAnsi" w:hAnsiTheme="minorHAnsi" w:cstheme="minorHAnsi"/>
        </w:rPr>
      </w:pPr>
      <w:r w:rsidRPr="009774CC">
        <w:rPr>
          <w:rFonts w:asciiTheme="minorHAnsi" w:hAnsiTheme="minorHAnsi" w:cstheme="minorHAnsi"/>
        </w:rPr>
        <w:t>Respecto a la dedicación a atención directa e indirecta, quisiéramos conocer si esta debe reflejarse de forma individualizada para cada trabajador o trabajadora o si, como se contemplaba en anteriores procedimientos OPEN, es posible informarla de forma agregada por categoría profesional, siempre que quede acreditado el número total de horas anuales destinadas a cada tipo de actividad por el Comité de empresa.</w:t>
      </w:r>
    </w:p>
    <w:p w:rsidR="007D6AD2" w:rsidRDefault="007D6AD2" w:rsidP="00A70328">
      <w:pPr>
        <w:rPr>
          <w:rFonts w:asciiTheme="minorHAnsi" w:hAnsiTheme="minorHAnsi" w:cstheme="minorHAnsi"/>
        </w:rPr>
      </w:pPr>
    </w:p>
    <w:p w:rsidR="007D6AD2" w:rsidRPr="007D6AD2" w:rsidRDefault="007D6AD2" w:rsidP="00A70328">
      <w:pPr>
        <w:rPr>
          <w:rFonts w:asciiTheme="minorHAnsi" w:hAnsiTheme="minorHAnsi" w:cstheme="minorHAnsi"/>
          <w:color w:val="548DD4" w:themeColor="text2" w:themeTint="99"/>
        </w:rPr>
      </w:pPr>
      <w:r w:rsidRPr="007D6AD2">
        <w:rPr>
          <w:rFonts w:asciiTheme="minorHAnsi" w:hAnsiTheme="minorHAnsi" w:cstheme="minorHAnsi"/>
          <w:color w:val="548DD4" w:themeColor="text2" w:themeTint="99"/>
        </w:rPr>
        <w:t>Es necesario desglosarlo por trabajador, y cumplimentar los anexos IX (en caso de residencia y Estancia diurna) y XI en el caso de centro de día.</w:t>
      </w:r>
    </w:p>
    <w:p w:rsidR="00A70328" w:rsidRPr="009774CC" w:rsidRDefault="00A70328" w:rsidP="00A70328">
      <w:pPr>
        <w:rPr>
          <w:rFonts w:asciiTheme="minorHAnsi" w:hAnsiTheme="minorHAnsi" w:cstheme="minorHAnsi"/>
        </w:rPr>
      </w:pPr>
    </w:p>
    <w:p w:rsidR="00A70328" w:rsidRPr="009774CC" w:rsidRDefault="00A70328" w:rsidP="00A70328">
      <w:pPr>
        <w:rPr>
          <w:rFonts w:asciiTheme="minorHAnsi" w:hAnsiTheme="minorHAnsi" w:cstheme="minorHAnsi"/>
          <w:b/>
          <w:bCs/>
        </w:rPr>
      </w:pPr>
      <w:r w:rsidRPr="009774CC">
        <w:rPr>
          <w:rFonts w:asciiTheme="minorHAnsi" w:hAnsiTheme="minorHAnsi" w:cstheme="minorHAnsi"/>
          <w:b/>
          <w:bCs/>
        </w:rPr>
        <w:t>3. Corrección del Anexo VII (Lote 3)</w:t>
      </w:r>
    </w:p>
    <w:p w:rsidR="00A70328" w:rsidRPr="00222859" w:rsidRDefault="00A70328" w:rsidP="00A70328">
      <w:pPr>
        <w:rPr>
          <w:rFonts w:asciiTheme="minorHAnsi" w:hAnsiTheme="minorHAnsi" w:cstheme="minorHAnsi"/>
        </w:rPr>
      </w:pPr>
      <w:r w:rsidRPr="00222859">
        <w:rPr>
          <w:rFonts w:asciiTheme="minorHAnsi" w:hAnsiTheme="minorHAnsi" w:cstheme="minorHAnsi"/>
        </w:rPr>
        <w:t>Hemos detectado que, en el Anexo VII (Lote 3), el desplegable de las celdas correspondientes a los centros no incluye todos los centros de día actualmente en funcionamiento.</w:t>
      </w:r>
    </w:p>
    <w:p w:rsidR="00A70328" w:rsidRDefault="00A70328" w:rsidP="00A70328">
      <w:pPr>
        <w:rPr>
          <w:rFonts w:asciiTheme="minorHAnsi" w:hAnsiTheme="minorHAnsi" w:cstheme="minorHAnsi"/>
        </w:rPr>
      </w:pPr>
      <w:r w:rsidRPr="00222859">
        <w:rPr>
          <w:rFonts w:asciiTheme="minorHAnsi" w:hAnsiTheme="minorHAnsi" w:cstheme="minorHAnsi"/>
        </w:rPr>
        <w:t>¿Podrían revisar y corregir el archivo Excel para incorporar los centros de día vigentes en dicho desplegable?</w:t>
      </w:r>
    </w:p>
    <w:p w:rsidR="00222859" w:rsidRPr="00222859" w:rsidRDefault="00222859" w:rsidP="00A70328">
      <w:pPr>
        <w:rPr>
          <w:rFonts w:asciiTheme="minorHAnsi" w:hAnsiTheme="minorHAnsi" w:cstheme="minorHAnsi"/>
          <w:color w:val="548DD4" w:themeColor="text2" w:themeTint="99"/>
        </w:rPr>
      </w:pPr>
      <w:r w:rsidRPr="00222859">
        <w:rPr>
          <w:rFonts w:asciiTheme="minorHAnsi" w:hAnsiTheme="minorHAnsi" w:cstheme="minorHAnsi"/>
          <w:color w:val="548DD4" w:themeColor="text2" w:themeTint="99"/>
        </w:rPr>
        <w:t>Colgamos el Anexo VII corregido.</w:t>
      </w:r>
    </w:p>
    <w:p w:rsidR="00A70328" w:rsidRPr="009774CC" w:rsidRDefault="00A70328" w:rsidP="00A70328">
      <w:pPr>
        <w:rPr>
          <w:rFonts w:asciiTheme="minorHAnsi" w:hAnsiTheme="minorHAnsi" w:cstheme="minorHAnsi"/>
        </w:rPr>
      </w:pPr>
    </w:p>
    <w:p w:rsidR="00A70328" w:rsidRPr="009774CC" w:rsidRDefault="00A70328" w:rsidP="00A70328">
      <w:pPr>
        <w:rPr>
          <w:rFonts w:asciiTheme="minorHAnsi" w:hAnsiTheme="minorHAnsi" w:cstheme="minorHAnsi"/>
          <w:b/>
          <w:bCs/>
        </w:rPr>
      </w:pPr>
      <w:r w:rsidRPr="009774CC">
        <w:rPr>
          <w:rFonts w:asciiTheme="minorHAnsi" w:hAnsiTheme="minorHAnsi" w:cstheme="minorHAnsi"/>
          <w:b/>
          <w:bCs/>
        </w:rPr>
        <w:t>4. Dudas relativas a los Anexos IX y X de personal</w:t>
      </w:r>
    </w:p>
    <w:p w:rsidR="00A70328" w:rsidRPr="009774CC" w:rsidRDefault="00A70328" w:rsidP="00A70328">
      <w:pPr>
        <w:rPr>
          <w:rFonts w:asciiTheme="minorHAnsi" w:hAnsiTheme="minorHAnsi" w:cstheme="minorHAnsi"/>
        </w:rPr>
      </w:pPr>
      <w:r w:rsidRPr="009774CC">
        <w:rPr>
          <w:rFonts w:asciiTheme="minorHAnsi" w:hAnsiTheme="minorHAnsi" w:cstheme="minorHAnsi"/>
        </w:rPr>
        <w:t>En relación con los Anexos IX y X, agradeceríamos aclaración sobre los siguientes aspectos:</w:t>
      </w:r>
    </w:p>
    <w:p w:rsidR="00A70328" w:rsidRPr="009774CC" w:rsidRDefault="00A70328" w:rsidP="00A70328">
      <w:pPr>
        <w:ind w:firstLine="708"/>
        <w:rPr>
          <w:rFonts w:asciiTheme="minorHAnsi" w:hAnsiTheme="minorHAnsi" w:cstheme="minorHAnsi"/>
        </w:rPr>
      </w:pPr>
      <w:r w:rsidRPr="009774CC">
        <w:rPr>
          <w:rFonts w:asciiTheme="minorHAnsi" w:hAnsiTheme="minorHAnsi" w:cstheme="minorHAnsi"/>
          <w:b/>
          <w:bCs/>
        </w:rPr>
        <w:t>a) Personal a incluir</w:t>
      </w:r>
    </w:p>
    <w:p w:rsidR="00A70328" w:rsidRDefault="00A70328" w:rsidP="00A70328">
      <w:pPr>
        <w:ind w:firstLine="708"/>
        <w:rPr>
          <w:rFonts w:asciiTheme="minorHAnsi" w:hAnsiTheme="minorHAnsi" w:cstheme="minorHAnsi"/>
        </w:rPr>
      </w:pPr>
      <w:r w:rsidRPr="009774CC">
        <w:rPr>
          <w:rFonts w:asciiTheme="minorHAnsi" w:hAnsiTheme="minorHAnsi" w:cstheme="minorHAnsi"/>
        </w:rPr>
        <w:t>¿Debe incluirse todo el personal que figure de alta en la empresa a fecha 31 de octubre, incluido el personal de sustitución, o únicamente el personal que forma parte de la plantilla estable</w:t>
      </w:r>
      <w:proofErr w:type="gramStart"/>
      <w:r w:rsidRPr="009774CC">
        <w:rPr>
          <w:rFonts w:asciiTheme="minorHAnsi" w:hAnsiTheme="minorHAnsi" w:cstheme="minorHAnsi"/>
        </w:rPr>
        <w:t xml:space="preserve">? </w:t>
      </w:r>
      <w:r w:rsidR="00B65DAB">
        <w:rPr>
          <w:rFonts w:asciiTheme="minorHAnsi" w:hAnsiTheme="minorHAnsi" w:cstheme="minorHAnsi"/>
        </w:rPr>
        <w:t>.</w:t>
      </w:r>
      <w:proofErr w:type="gramEnd"/>
    </w:p>
    <w:p w:rsidR="00B65DAB" w:rsidRDefault="00B65DAB" w:rsidP="00A70328">
      <w:pPr>
        <w:ind w:firstLine="708"/>
        <w:rPr>
          <w:rFonts w:asciiTheme="minorHAnsi" w:hAnsiTheme="minorHAnsi" w:cstheme="minorHAnsi"/>
        </w:rPr>
      </w:pPr>
    </w:p>
    <w:p w:rsidR="007D6AD2" w:rsidRDefault="00B65DAB" w:rsidP="00B65DAB">
      <w:pPr>
        <w:rPr>
          <w:rFonts w:asciiTheme="minorHAnsi" w:hAnsiTheme="minorHAnsi" w:cstheme="minorHAnsi"/>
          <w:color w:val="548DD4" w:themeColor="text2" w:themeTint="99"/>
        </w:rPr>
      </w:pPr>
      <w:r>
        <w:rPr>
          <w:rFonts w:asciiTheme="minorHAnsi" w:hAnsiTheme="minorHAnsi" w:cstheme="minorHAnsi"/>
        </w:rPr>
        <w:tab/>
      </w:r>
      <w:r w:rsidRPr="00B65DAB">
        <w:rPr>
          <w:rFonts w:asciiTheme="minorHAnsi" w:hAnsiTheme="minorHAnsi" w:cstheme="minorHAnsi"/>
          <w:color w:val="548DD4" w:themeColor="text2" w:themeTint="99"/>
        </w:rPr>
        <w:t xml:space="preserve">En la cláusula 13.1 15) “Acreditación del Personal” </w:t>
      </w:r>
      <w:r w:rsidR="007D6AD2" w:rsidRPr="00B65DAB">
        <w:rPr>
          <w:rFonts w:asciiTheme="minorHAnsi" w:hAnsiTheme="minorHAnsi" w:cstheme="minorHAnsi"/>
          <w:color w:val="548DD4" w:themeColor="text2" w:themeTint="99"/>
        </w:rPr>
        <w:t>Debe incluirse todo el personal</w:t>
      </w:r>
      <w:r w:rsidR="001E085E" w:rsidRPr="00B65DAB">
        <w:rPr>
          <w:rFonts w:asciiTheme="minorHAnsi" w:hAnsiTheme="minorHAnsi" w:cstheme="minorHAnsi"/>
          <w:color w:val="548DD4" w:themeColor="text2" w:themeTint="99"/>
        </w:rPr>
        <w:t xml:space="preserve"> en activo (que esté prestando sus servicios de forma efectiva en el centro</w:t>
      </w:r>
      <w:r w:rsidR="007D6AD2" w:rsidRPr="007D6AD2">
        <w:rPr>
          <w:rFonts w:asciiTheme="minorHAnsi" w:hAnsiTheme="minorHAnsi" w:cstheme="minorHAnsi"/>
          <w:color w:val="548DD4" w:themeColor="text2" w:themeTint="99"/>
        </w:rPr>
        <w:t>.</w:t>
      </w:r>
      <w:r>
        <w:rPr>
          <w:rFonts w:asciiTheme="minorHAnsi" w:hAnsiTheme="minorHAnsi" w:cstheme="minorHAnsi"/>
          <w:color w:val="548DD4" w:themeColor="text2" w:themeTint="99"/>
        </w:rPr>
        <w:t xml:space="preserve"> Este documento debe entregarse con la documentación necesaria para la presentación de la oferta para se admitido al sistema.</w:t>
      </w:r>
    </w:p>
    <w:p w:rsidR="00B65DAB" w:rsidRDefault="00B65DAB" w:rsidP="00B65DAB">
      <w:pPr>
        <w:rPr>
          <w:rFonts w:asciiTheme="minorHAnsi" w:hAnsiTheme="minorHAnsi" w:cstheme="minorHAnsi"/>
          <w:color w:val="548DD4" w:themeColor="text2" w:themeTint="99"/>
        </w:rPr>
      </w:pPr>
    </w:p>
    <w:p w:rsidR="00B65DAB" w:rsidRPr="00B65DAB" w:rsidRDefault="00B65DAB" w:rsidP="00B65DAB">
      <w:pPr>
        <w:jc w:val="both"/>
        <w:rPr>
          <w:rFonts w:asciiTheme="minorHAnsi" w:hAnsiTheme="minorHAnsi" w:cstheme="minorHAnsi"/>
        </w:rPr>
      </w:pPr>
      <w:r>
        <w:rPr>
          <w:rFonts w:asciiTheme="minorHAnsi" w:hAnsiTheme="minorHAnsi" w:cstheme="minorHAnsi"/>
          <w:color w:val="548DD4" w:themeColor="text2" w:themeTint="99"/>
        </w:rPr>
        <w:lastRenderedPageBreak/>
        <w:tab/>
        <w:t xml:space="preserve">Los anexos IX y X, sin embargo, hacen referencia únicamente al personal que realiza funciones de atención directa e indirecta. Con el fin de simplificar modificamos los anexos a entregar, de forma que no hay que especificar el trabajador sino la categoría profesional global. Por ejemplo, del total de </w:t>
      </w:r>
      <w:proofErr w:type="spellStart"/>
      <w:r>
        <w:rPr>
          <w:rFonts w:asciiTheme="minorHAnsi" w:hAnsiTheme="minorHAnsi" w:cstheme="minorHAnsi"/>
          <w:color w:val="548DD4" w:themeColor="text2" w:themeTint="99"/>
        </w:rPr>
        <w:t>gerocultores</w:t>
      </w:r>
      <w:proofErr w:type="spellEnd"/>
      <w:r>
        <w:rPr>
          <w:rFonts w:asciiTheme="minorHAnsi" w:hAnsiTheme="minorHAnsi" w:cstheme="minorHAnsi"/>
          <w:color w:val="548DD4" w:themeColor="text2" w:themeTint="99"/>
        </w:rPr>
        <w:t xml:space="preserve"> de la residencia, el 80% de las horas son de atención directa y el 20% de indirecta</w:t>
      </w:r>
    </w:p>
    <w:p w:rsidR="007D6AD2" w:rsidRPr="009774CC" w:rsidRDefault="007D6AD2" w:rsidP="00A70328">
      <w:pPr>
        <w:ind w:firstLine="708"/>
        <w:rPr>
          <w:rFonts w:asciiTheme="minorHAnsi" w:hAnsiTheme="minorHAnsi" w:cstheme="minorHAnsi"/>
        </w:rPr>
      </w:pPr>
    </w:p>
    <w:p w:rsidR="00A70328" w:rsidRPr="009774CC" w:rsidRDefault="00A70328" w:rsidP="00A70328">
      <w:pPr>
        <w:ind w:firstLine="708"/>
        <w:rPr>
          <w:rFonts w:asciiTheme="minorHAnsi" w:hAnsiTheme="minorHAnsi" w:cstheme="minorHAnsi"/>
        </w:rPr>
      </w:pPr>
      <w:r w:rsidRPr="009774CC">
        <w:rPr>
          <w:rFonts w:asciiTheme="minorHAnsi" w:hAnsiTheme="minorHAnsi" w:cstheme="minorHAnsi"/>
          <w:b/>
          <w:bCs/>
        </w:rPr>
        <w:t>b) Identificación del centro de trabajo</w:t>
      </w:r>
    </w:p>
    <w:p w:rsidR="00A70328" w:rsidRDefault="00A70328" w:rsidP="00A70328">
      <w:pPr>
        <w:ind w:firstLine="708"/>
        <w:rPr>
          <w:rFonts w:asciiTheme="minorHAnsi" w:hAnsiTheme="minorHAnsi" w:cstheme="minorHAnsi"/>
        </w:rPr>
      </w:pPr>
      <w:r w:rsidRPr="009774CC">
        <w:rPr>
          <w:rFonts w:asciiTheme="minorHAnsi" w:hAnsiTheme="minorHAnsi" w:cstheme="minorHAnsi"/>
        </w:rPr>
        <w:t>En el caso de entidades que gestionan varios centros, ¿sería posible incorporar una columna adicional que permita identificar el centro en el que presta servicio cada trabajador?</w:t>
      </w:r>
    </w:p>
    <w:p w:rsidR="00005AA0" w:rsidRPr="00005AA0" w:rsidRDefault="00005AA0" w:rsidP="00A70328">
      <w:pPr>
        <w:ind w:firstLine="708"/>
        <w:rPr>
          <w:rFonts w:asciiTheme="minorHAnsi" w:hAnsiTheme="minorHAnsi" w:cstheme="minorHAnsi"/>
          <w:color w:val="548DD4" w:themeColor="text2" w:themeTint="99"/>
        </w:rPr>
      </w:pPr>
      <w:r w:rsidRPr="00005AA0">
        <w:rPr>
          <w:rFonts w:asciiTheme="minorHAnsi" w:hAnsiTheme="minorHAnsi" w:cstheme="minorHAnsi"/>
          <w:color w:val="548DD4" w:themeColor="text2" w:themeTint="99"/>
        </w:rPr>
        <w:t>Habrá que entregar un anexo IX por cada residencia y un anexo X por cada Centro de día</w:t>
      </w:r>
      <w:r w:rsidR="00B65DAB">
        <w:rPr>
          <w:rFonts w:asciiTheme="minorHAnsi" w:hAnsiTheme="minorHAnsi" w:cstheme="minorHAnsi"/>
          <w:color w:val="548DD4" w:themeColor="text2" w:themeTint="99"/>
        </w:rPr>
        <w:t>. Al no tener que indicar en los anexos IX y X el nombre del trabajador, no es necesaria añadir la columna</w:t>
      </w:r>
    </w:p>
    <w:p w:rsidR="00A70328" w:rsidRDefault="00A70328" w:rsidP="00A70328">
      <w:pPr>
        <w:ind w:firstLine="708"/>
        <w:rPr>
          <w:rFonts w:asciiTheme="minorHAnsi" w:hAnsiTheme="minorHAnsi" w:cstheme="minorHAnsi"/>
        </w:rPr>
      </w:pPr>
      <w:r w:rsidRPr="009774CC">
        <w:rPr>
          <w:rFonts w:asciiTheme="minorHAnsi" w:hAnsiTheme="minorHAnsi" w:cstheme="minorHAnsi"/>
        </w:rPr>
        <w:t>-Asimismo, cuando un trabajador desarrolle su actividad en más de un centro, ¿podría reflejarse dicha circunstancia desglosando su dedicación entre los distintos centros en los que presta servicio?</w:t>
      </w:r>
    </w:p>
    <w:p w:rsidR="00005AA0" w:rsidRDefault="00005AA0" w:rsidP="00A70328">
      <w:pPr>
        <w:ind w:firstLine="708"/>
        <w:rPr>
          <w:rFonts w:asciiTheme="minorHAnsi" w:hAnsiTheme="minorHAnsi" w:cstheme="minorHAnsi"/>
        </w:rPr>
      </w:pPr>
    </w:p>
    <w:p w:rsidR="00005AA0" w:rsidRDefault="00F251E1" w:rsidP="00A70328">
      <w:pPr>
        <w:ind w:firstLine="708"/>
        <w:rPr>
          <w:rFonts w:asciiTheme="minorHAnsi" w:hAnsiTheme="minorHAnsi" w:cstheme="minorHAnsi"/>
          <w:color w:val="548DD4" w:themeColor="text2" w:themeTint="99"/>
        </w:rPr>
      </w:pPr>
      <w:r>
        <w:rPr>
          <w:rFonts w:asciiTheme="minorHAnsi" w:hAnsiTheme="minorHAnsi" w:cstheme="minorHAnsi"/>
          <w:color w:val="548DD4" w:themeColor="text2" w:themeTint="99"/>
        </w:rPr>
        <w:t>Con los anexos IV y X no es necesario el desglose entre los distintos centros.</w:t>
      </w:r>
    </w:p>
    <w:p w:rsidR="00005AA0" w:rsidRPr="00005AA0" w:rsidRDefault="00005AA0" w:rsidP="00A70328">
      <w:pPr>
        <w:ind w:firstLine="708"/>
        <w:rPr>
          <w:rFonts w:asciiTheme="minorHAnsi" w:hAnsiTheme="minorHAnsi" w:cstheme="minorHAnsi"/>
          <w:color w:val="548DD4" w:themeColor="text2" w:themeTint="99"/>
        </w:rPr>
      </w:pPr>
    </w:p>
    <w:p w:rsidR="00A70328" w:rsidRPr="009774CC" w:rsidRDefault="00A70328" w:rsidP="00A70328">
      <w:pPr>
        <w:ind w:firstLine="708"/>
        <w:rPr>
          <w:rFonts w:asciiTheme="minorHAnsi" w:hAnsiTheme="minorHAnsi" w:cstheme="minorHAnsi"/>
        </w:rPr>
      </w:pPr>
      <w:r w:rsidRPr="009774CC">
        <w:rPr>
          <w:rFonts w:asciiTheme="minorHAnsi" w:hAnsiTheme="minorHAnsi" w:cstheme="minorHAnsi"/>
          <w:b/>
          <w:bCs/>
        </w:rPr>
        <w:t>c) Imputación de la atención indirecta</w:t>
      </w:r>
    </w:p>
    <w:p w:rsidR="00005AA0" w:rsidRDefault="00A70328" w:rsidP="00A70328">
      <w:pPr>
        <w:ind w:firstLine="708"/>
        <w:rPr>
          <w:rFonts w:asciiTheme="minorHAnsi" w:hAnsiTheme="minorHAnsi" w:cstheme="minorHAnsi"/>
        </w:rPr>
      </w:pPr>
      <w:r w:rsidRPr="009774CC">
        <w:rPr>
          <w:rFonts w:asciiTheme="minorHAnsi" w:hAnsiTheme="minorHAnsi" w:cstheme="minorHAnsi"/>
        </w:rPr>
        <w:t>Finalmente, en relación con la atención indirecta, ¿es posible reflejarla de forma agregada por centro, en lugar de imputarla individualmente a cada trabajador?</w:t>
      </w:r>
      <w:r w:rsidR="00005AA0">
        <w:rPr>
          <w:rFonts w:asciiTheme="minorHAnsi" w:hAnsiTheme="minorHAnsi" w:cstheme="minorHAnsi"/>
        </w:rPr>
        <w:t xml:space="preserve"> </w:t>
      </w:r>
    </w:p>
    <w:p w:rsidR="00A70328" w:rsidRPr="00005AA0" w:rsidRDefault="00217DDE" w:rsidP="00A70328">
      <w:pPr>
        <w:ind w:firstLine="708"/>
        <w:rPr>
          <w:rFonts w:asciiTheme="minorHAnsi" w:hAnsiTheme="minorHAnsi" w:cstheme="minorHAnsi"/>
          <w:color w:val="548DD4" w:themeColor="text2" w:themeTint="99"/>
        </w:rPr>
      </w:pPr>
      <w:r>
        <w:rPr>
          <w:rFonts w:asciiTheme="minorHAnsi" w:hAnsiTheme="minorHAnsi" w:cstheme="minorHAnsi"/>
          <w:color w:val="548DD4" w:themeColor="text2" w:themeTint="99"/>
        </w:rPr>
        <w:t>Si, hemos modificado el anexo para poder de forma global la atención indirecta.</w:t>
      </w:r>
    </w:p>
    <w:p w:rsidR="00A70328" w:rsidRPr="009774CC" w:rsidRDefault="00A70328" w:rsidP="00A70328">
      <w:pPr>
        <w:ind w:firstLine="708"/>
        <w:rPr>
          <w:rFonts w:asciiTheme="minorHAnsi" w:hAnsiTheme="minorHAnsi" w:cstheme="minorHAnsi"/>
        </w:rPr>
      </w:pPr>
    </w:p>
    <w:p w:rsidR="00A70328" w:rsidRPr="009774CC" w:rsidRDefault="00A70328" w:rsidP="00A70328">
      <w:pPr>
        <w:pBdr>
          <w:bottom w:val="single" w:sz="4" w:space="1" w:color="auto"/>
        </w:pBdr>
        <w:ind w:firstLine="708"/>
        <w:rPr>
          <w:rFonts w:asciiTheme="minorHAnsi" w:hAnsiTheme="minorHAnsi" w:cstheme="minorHAnsi"/>
        </w:rPr>
      </w:pPr>
      <w:r w:rsidRPr="009774CC">
        <w:rPr>
          <w:rFonts w:asciiTheme="minorHAnsi" w:hAnsiTheme="minorHAnsi" w:cstheme="minorHAnsi"/>
        </w:rPr>
        <w:t>PREGUNTA 11:</w:t>
      </w:r>
    </w:p>
    <w:p w:rsidR="00A70328" w:rsidRPr="009774CC" w:rsidRDefault="00A70328" w:rsidP="00A70328">
      <w:pPr>
        <w:ind w:firstLine="708"/>
        <w:rPr>
          <w:rFonts w:asciiTheme="minorHAnsi" w:hAnsiTheme="minorHAnsi" w:cstheme="minorHAnsi"/>
        </w:rPr>
      </w:pPr>
    </w:p>
    <w:p w:rsidR="00A70328" w:rsidRDefault="00A70328" w:rsidP="00A70328">
      <w:pPr>
        <w:spacing w:before="120" w:after="120"/>
        <w:rPr>
          <w:rFonts w:asciiTheme="minorHAnsi" w:hAnsiTheme="minorHAnsi" w:cstheme="minorHAnsi"/>
        </w:rPr>
      </w:pPr>
      <w:r w:rsidRPr="009774CC">
        <w:rPr>
          <w:rFonts w:asciiTheme="minorHAnsi" w:hAnsiTheme="minorHAnsi" w:cstheme="minorHAnsi"/>
        </w:rPr>
        <w:t xml:space="preserve">1.Posibilidad de reducir las horas de TAS y en su misma proporción aumentar las horas de técnico. El anterior OPEN HOUSE, lo permitía y creemos que aporta valor añadido que las personas usuarias lo valoran mucho. La sustitución de este técnico por vacaciones, </w:t>
      </w:r>
      <w:proofErr w:type="spellStart"/>
      <w:r w:rsidRPr="009774CC">
        <w:rPr>
          <w:rFonts w:asciiTheme="minorHAnsi" w:hAnsiTheme="minorHAnsi" w:cstheme="minorHAnsi"/>
        </w:rPr>
        <w:t>etc</w:t>
      </w:r>
      <w:proofErr w:type="spellEnd"/>
      <w:r w:rsidRPr="009774CC">
        <w:rPr>
          <w:rFonts w:asciiTheme="minorHAnsi" w:hAnsiTheme="minorHAnsi" w:cstheme="minorHAnsi"/>
        </w:rPr>
        <w:t xml:space="preserve"> se puede hacer por personal TAS.</w:t>
      </w:r>
    </w:p>
    <w:p w:rsidR="00276D9D" w:rsidRDefault="00276D9D" w:rsidP="00A70328">
      <w:pPr>
        <w:spacing w:before="120" w:after="120"/>
        <w:rPr>
          <w:rFonts w:asciiTheme="minorHAnsi" w:hAnsiTheme="minorHAnsi" w:cstheme="minorHAnsi"/>
        </w:rPr>
      </w:pPr>
    </w:p>
    <w:p w:rsidR="00276D9D" w:rsidRDefault="00276D9D" w:rsidP="00A70328">
      <w:pPr>
        <w:spacing w:before="120" w:after="120"/>
        <w:rPr>
          <w:rFonts w:asciiTheme="minorHAnsi" w:hAnsiTheme="minorHAnsi" w:cstheme="minorHAnsi"/>
          <w:color w:val="548DD4" w:themeColor="text2" w:themeTint="99"/>
        </w:rPr>
      </w:pPr>
      <w:r w:rsidRPr="00276D9D">
        <w:rPr>
          <w:rFonts w:asciiTheme="minorHAnsi" w:hAnsiTheme="minorHAnsi" w:cstheme="minorHAnsi"/>
          <w:color w:val="548DD4" w:themeColor="text2" w:themeTint="99"/>
        </w:rPr>
        <w:t>Este pliego no lo permite</w:t>
      </w:r>
      <w:r>
        <w:rPr>
          <w:rFonts w:asciiTheme="minorHAnsi" w:hAnsiTheme="minorHAnsi" w:cstheme="minorHAnsi"/>
          <w:color w:val="548DD4" w:themeColor="text2" w:themeTint="99"/>
        </w:rPr>
        <w:t>.</w:t>
      </w:r>
    </w:p>
    <w:p w:rsidR="00276D9D" w:rsidRPr="00276D9D" w:rsidRDefault="00276D9D" w:rsidP="00A70328">
      <w:pPr>
        <w:spacing w:before="120" w:after="120"/>
        <w:rPr>
          <w:rFonts w:asciiTheme="minorHAnsi" w:hAnsiTheme="minorHAnsi" w:cstheme="minorHAnsi"/>
          <w:color w:val="548DD4" w:themeColor="text2" w:themeTint="99"/>
        </w:rPr>
      </w:pPr>
    </w:p>
    <w:p w:rsidR="00A70328" w:rsidRDefault="00A70328" w:rsidP="00A70328">
      <w:pPr>
        <w:spacing w:before="120" w:after="120"/>
        <w:rPr>
          <w:rFonts w:asciiTheme="minorHAnsi" w:hAnsiTheme="minorHAnsi" w:cstheme="minorHAnsi"/>
        </w:rPr>
      </w:pPr>
      <w:r w:rsidRPr="009774CC">
        <w:rPr>
          <w:rFonts w:asciiTheme="minorHAnsi" w:hAnsiTheme="minorHAnsi" w:cstheme="minorHAnsi"/>
        </w:rPr>
        <w:t>2.El transporte lo tenemos subcontratado y por nuestra actividad estamos exentos de IVA, con lo que no lo podemos repercutir. Por lo tanto, el IVA de nuestros proveedores es un coste para nosotros. Las tarifas del módulo de transporte son con el IVA excluido. ¿Podríamos imputar el IVA como mayor gasto y así poder cobrarlo?</w:t>
      </w:r>
    </w:p>
    <w:p w:rsidR="00276D9D" w:rsidRPr="00276D9D" w:rsidRDefault="00276D9D" w:rsidP="00A70328">
      <w:pPr>
        <w:spacing w:before="120" w:after="120"/>
        <w:rPr>
          <w:rFonts w:asciiTheme="minorHAnsi" w:hAnsiTheme="minorHAnsi" w:cstheme="minorHAnsi"/>
          <w:color w:val="548DD4" w:themeColor="text2" w:themeTint="99"/>
        </w:rPr>
      </w:pPr>
      <w:r w:rsidRPr="00276D9D">
        <w:rPr>
          <w:rFonts w:asciiTheme="minorHAnsi" w:hAnsiTheme="minorHAnsi" w:cstheme="minorHAnsi"/>
          <w:color w:val="548DD4" w:themeColor="text2" w:themeTint="99"/>
        </w:rPr>
        <w:t>Hay un módulo</w:t>
      </w:r>
      <w:r>
        <w:rPr>
          <w:rFonts w:asciiTheme="minorHAnsi" w:hAnsiTheme="minorHAnsi" w:cstheme="minorHAnsi"/>
          <w:color w:val="548DD4" w:themeColor="text2" w:themeTint="99"/>
        </w:rPr>
        <w:t xml:space="preserve"> establecido </w:t>
      </w:r>
      <w:r w:rsidRPr="00276D9D">
        <w:rPr>
          <w:rFonts w:asciiTheme="minorHAnsi" w:hAnsiTheme="minorHAnsi" w:cstheme="minorHAnsi"/>
          <w:color w:val="548DD4" w:themeColor="text2" w:themeTint="99"/>
        </w:rPr>
        <w:t>para entidades con ánimo de lucro y otro para entidades sin ánimo de</w:t>
      </w:r>
      <w:r>
        <w:rPr>
          <w:rFonts w:asciiTheme="minorHAnsi" w:hAnsiTheme="minorHAnsi" w:cstheme="minorHAnsi"/>
          <w:color w:val="548DD4" w:themeColor="text2" w:themeTint="99"/>
        </w:rPr>
        <w:t xml:space="preserve"> lucro. Debéis </w:t>
      </w:r>
      <w:r w:rsidRPr="00276D9D">
        <w:rPr>
          <w:rFonts w:asciiTheme="minorHAnsi" w:hAnsiTheme="minorHAnsi" w:cstheme="minorHAnsi"/>
          <w:color w:val="548DD4" w:themeColor="text2" w:themeTint="99"/>
        </w:rPr>
        <w:t>presentarlo como entidad sin ánimo de lucro, al igual que el actual open House.</w:t>
      </w:r>
    </w:p>
    <w:p w:rsidR="00A70328" w:rsidRDefault="00A70328" w:rsidP="009D2A26">
      <w:pPr>
        <w:spacing w:before="120" w:after="120"/>
        <w:jc w:val="both"/>
        <w:rPr>
          <w:rFonts w:asciiTheme="minorHAnsi" w:hAnsiTheme="minorHAnsi" w:cstheme="minorHAnsi"/>
        </w:rPr>
      </w:pPr>
      <w:r w:rsidRPr="009774CC">
        <w:rPr>
          <w:rFonts w:asciiTheme="minorHAnsi" w:hAnsiTheme="minorHAnsi" w:cstheme="minorHAnsi"/>
        </w:rPr>
        <w:t xml:space="preserve">3.Nosotros por un lado presentamos oferta para centro de día en </w:t>
      </w:r>
      <w:proofErr w:type="spellStart"/>
      <w:r w:rsidRPr="009774CC">
        <w:rPr>
          <w:rFonts w:asciiTheme="minorHAnsi" w:hAnsiTheme="minorHAnsi" w:cstheme="minorHAnsi"/>
        </w:rPr>
        <w:t>Azpilagaña</w:t>
      </w:r>
      <w:proofErr w:type="spellEnd"/>
      <w:r w:rsidRPr="009774CC">
        <w:rPr>
          <w:rFonts w:asciiTheme="minorHAnsi" w:hAnsiTheme="minorHAnsi" w:cstheme="minorHAnsi"/>
        </w:rPr>
        <w:t xml:space="preserve"> y por otro lado queremos presentar oferta para otro centro de día en Barañain, pero a través de una UTE. Según el pliego regulador en lo que se refiere al apartado de UTES, no podríamos, por haber presentado otra oferta de manera individual. No le vemos ningún sentido y nos gustaría que reconsideraseis este criterio. </w:t>
      </w:r>
    </w:p>
    <w:p w:rsidR="009D2A26" w:rsidRDefault="009D2A26" w:rsidP="009D2A26">
      <w:pPr>
        <w:spacing w:before="120" w:after="120"/>
        <w:jc w:val="both"/>
        <w:rPr>
          <w:rFonts w:asciiTheme="minorHAnsi" w:hAnsiTheme="minorHAnsi" w:cstheme="minorHAnsi"/>
          <w:color w:val="548DD4" w:themeColor="text2" w:themeTint="99"/>
        </w:rPr>
      </w:pPr>
      <w:r w:rsidRPr="009D2A26">
        <w:rPr>
          <w:rFonts w:asciiTheme="minorHAnsi" w:hAnsiTheme="minorHAnsi" w:cstheme="minorHAnsi"/>
          <w:color w:val="548DD4" w:themeColor="text2" w:themeTint="99"/>
        </w:rPr>
        <w:t>Sí os podéis presentar a centros diferente</w:t>
      </w:r>
      <w:r w:rsidR="00217DDE">
        <w:rPr>
          <w:rFonts w:asciiTheme="minorHAnsi" w:hAnsiTheme="minorHAnsi" w:cstheme="minorHAnsi"/>
          <w:color w:val="548DD4" w:themeColor="text2" w:themeTint="99"/>
        </w:rPr>
        <w:t>s con diferentes entidades.</w:t>
      </w:r>
    </w:p>
    <w:p w:rsidR="00F251E1" w:rsidRPr="009D2A26" w:rsidRDefault="00F251E1" w:rsidP="009D2A26">
      <w:pPr>
        <w:spacing w:before="120" w:after="120"/>
        <w:jc w:val="both"/>
        <w:rPr>
          <w:rFonts w:asciiTheme="minorHAnsi" w:hAnsiTheme="minorHAnsi" w:cstheme="minorHAnsi"/>
          <w:color w:val="548DD4" w:themeColor="text2" w:themeTint="99"/>
        </w:rPr>
      </w:pPr>
    </w:p>
    <w:p w:rsidR="009D2A26" w:rsidRDefault="009D2A26" w:rsidP="009D2A26">
      <w:pPr>
        <w:spacing w:before="120" w:after="120"/>
        <w:jc w:val="both"/>
        <w:rPr>
          <w:rFonts w:asciiTheme="minorHAnsi" w:hAnsiTheme="minorHAnsi" w:cstheme="minorHAnsi"/>
        </w:rPr>
      </w:pPr>
    </w:p>
    <w:p w:rsidR="00A70328" w:rsidRPr="009774CC" w:rsidRDefault="00A70328" w:rsidP="00A70328">
      <w:pPr>
        <w:pBdr>
          <w:bottom w:val="single" w:sz="4" w:space="1" w:color="auto"/>
        </w:pBdr>
        <w:spacing w:before="120" w:after="120"/>
        <w:rPr>
          <w:rFonts w:asciiTheme="minorHAnsi" w:hAnsiTheme="minorHAnsi" w:cstheme="minorHAnsi"/>
        </w:rPr>
      </w:pPr>
      <w:r w:rsidRPr="009774CC">
        <w:rPr>
          <w:rFonts w:asciiTheme="minorHAnsi" w:hAnsiTheme="minorHAnsi" w:cstheme="minorHAnsi"/>
        </w:rPr>
        <w:lastRenderedPageBreak/>
        <w:t xml:space="preserve">PREGUNTA </w:t>
      </w:r>
      <w:r w:rsidR="00217DDE">
        <w:rPr>
          <w:rFonts w:asciiTheme="minorHAnsi" w:hAnsiTheme="minorHAnsi" w:cstheme="minorHAnsi"/>
        </w:rPr>
        <w:t>8</w:t>
      </w:r>
      <w:r w:rsidRPr="009774CC">
        <w:rPr>
          <w:rFonts w:asciiTheme="minorHAnsi" w:hAnsiTheme="minorHAnsi" w:cstheme="minorHAnsi"/>
        </w:rPr>
        <w:t>:</w:t>
      </w:r>
    </w:p>
    <w:p w:rsidR="00A70328" w:rsidRPr="009774CC" w:rsidRDefault="00A70328" w:rsidP="00A70328">
      <w:pPr>
        <w:spacing w:before="120" w:after="120"/>
        <w:rPr>
          <w:rFonts w:asciiTheme="minorHAnsi" w:hAnsiTheme="minorHAnsi" w:cstheme="minorHAnsi"/>
        </w:rPr>
      </w:pPr>
    </w:p>
    <w:p w:rsidR="00A70328" w:rsidRPr="00F251E1" w:rsidRDefault="00A70328" w:rsidP="00A70328">
      <w:pPr>
        <w:rPr>
          <w:rFonts w:asciiTheme="minorHAnsi" w:eastAsia="Times New Roman" w:hAnsiTheme="minorHAnsi" w:cstheme="minorHAnsi"/>
        </w:rPr>
      </w:pPr>
      <w:r w:rsidRPr="00F251E1">
        <w:rPr>
          <w:rFonts w:asciiTheme="minorHAnsi" w:eastAsia="Times New Roman" w:hAnsiTheme="minorHAnsi" w:cstheme="minorHAnsi"/>
        </w:rPr>
        <w:t>Les quería consultar acerca del OPEN HOUSE, no encuentro donde se realiza el bastanteo de poder ¿se tiene que solicitar presencialmente?</w:t>
      </w:r>
    </w:p>
    <w:p w:rsidR="009D2A26" w:rsidRDefault="009D2A26" w:rsidP="00A70328">
      <w:pPr>
        <w:rPr>
          <w:rFonts w:asciiTheme="minorHAnsi" w:eastAsia="Times New Roman" w:hAnsiTheme="minorHAnsi" w:cstheme="minorHAnsi"/>
          <w:color w:val="FF0000"/>
        </w:rPr>
      </w:pPr>
    </w:p>
    <w:p w:rsidR="009D2A26" w:rsidRPr="00F251E1" w:rsidRDefault="00F251E1" w:rsidP="00A70328">
      <w:pPr>
        <w:rPr>
          <w:rFonts w:asciiTheme="minorHAnsi" w:eastAsia="Times New Roman" w:hAnsiTheme="minorHAnsi" w:cstheme="minorHAnsi"/>
          <w:color w:val="548DD4" w:themeColor="text2" w:themeTint="99"/>
        </w:rPr>
      </w:pPr>
      <w:r w:rsidRPr="00F251E1">
        <w:rPr>
          <w:rFonts w:asciiTheme="minorHAnsi" w:eastAsia="Times New Roman" w:hAnsiTheme="minorHAnsi" w:cstheme="minorHAnsi"/>
          <w:color w:val="548DD4" w:themeColor="text2" w:themeTint="99"/>
        </w:rPr>
        <w:t>Hay que presentar el poder notarial y será comprobado en la ANADP con el resto de la documentación entregada</w:t>
      </w:r>
    </w:p>
    <w:p w:rsidR="009D2A26" w:rsidRPr="009D2A26" w:rsidRDefault="009D2A26" w:rsidP="00A70328">
      <w:pPr>
        <w:rPr>
          <w:rFonts w:asciiTheme="minorHAnsi" w:eastAsia="Times New Roman" w:hAnsiTheme="minorHAnsi" w:cstheme="minorHAnsi"/>
          <w:color w:val="FF0000"/>
        </w:rPr>
      </w:pPr>
    </w:p>
    <w:p w:rsidR="00767D1C" w:rsidRPr="009774CC" w:rsidRDefault="00767D1C" w:rsidP="00A70328">
      <w:pPr>
        <w:rPr>
          <w:rFonts w:asciiTheme="minorHAnsi" w:eastAsia="Times New Roman" w:hAnsiTheme="minorHAnsi" w:cstheme="minorHAnsi"/>
          <w:color w:val="000000"/>
        </w:rPr>
      </w:pPr>
    </w:p>
    <w:p w:rsidR="00767D1C" w:rsidRPr="009774CC" w:rsidRDefault="00767D1C" w:rsidP="00767D1C">
      <w:pPr>
        <w:pBdr>
          <w:bottom w:val="single" w:sz="4" w:space="1" w:color="auto"/>
        </w:pBdr>
        <w:rPr>
          <w:rFonts w:asciiTheme="minorHAnsi" w:eastAsia="Times New Roman" w:hAnsiTheme="minorHAnsi" w:cstheme="minorHAnsi"/>
          <w:color w:val="000000"/>
        </w:rPr>
      </w:pPr>
      <w:r w:rsidRPr="009774CC">
        <w:rPr>
          <w:rFonts w:asciiTheme="minorHAnsi" w:eastAsia="Times New Roman" w:hAnsiTheme="minorHAnsi" w:cstheme="minorHAnsi"/>
          <w:color w:val="000000"/>
        </w:rPr>
        <w:t xml:space="preserve">PREGUNTA </w:t>
      </w:r>
      <w:r w:rsidR="00217DDE">
        <w:rPr>
          <w:rFonts w:asciiTheme="minorHAnsi" w:eastAsia="Times New Roman" w:hAnsiTheme="minorHAnsi" w:cstheme="minorHAnsi"/>
          <w:color w:val="000000"/>
        </w:rPr>
        <w:t>9</w:t>
      </w:r>
      <w:r w:rsidRPr="009774CC">
        <w:rPr>
          <w:rFonts w:asciiTheme="minorHAnsi" w:eastAsia="Times New Roman" w:hAnsiTheme="minorHAnsi" w:cstheme="minorHAnsi"/>
          <w:color w:val="000000"/>
        </w:rPr>
        <w:t>:</w:t>
      </w:r>
    </w:p>
    <w:p w:rsidR="00767D1C" w:rsidRPr="009774CC" w:rsidRDefault="00767D1C" w:rsidP="00A70328">
      <w:pPr>
        <w:rPr>
          <w:rFonts w:asciiTheme="minorHAnsi" w:eastAsia="Times New Roman" w:hAnsiTheme="minorHAnsi" w:cstheme="minorHAnsi"/>
          <w:color w:val="000000"/>
        </w:rPr>
      </w:pPr>
    </w:p>
    <w:p w:rsidR="00767D1C" w:rsidRPr="009774CC" w:rsidRDefault="00767D1C" w:rsidP="00A70328">
      <w:pPr>
        <w:rPr>
          <w:rFonts w:asciiTheme="minorHAnsi" w:eastAsia="Times New Roman" w:hAnsiTheme="minorHAnsi" w:cstheme="minorHAnsi"/>
          <w:color w:val="000000"/>
        </w:rPr>
      </w:pPr>
    </w:p>
    <w:p w:rsidR="00767D1C" w:rsidRPr="009774CC" w:rsidRDefault="00767D1C" w:rsidP="00767D1C">
      <w:pPr>
        <w:rPr>
          <w:rFonts w:asciiTheme="minorHAnsi" w:hAnsiTheme="minorHAnsi" w:cstheme="minorHAnsi"/>
        </w:rPr>
      </w:pPr>
      <w:r w:rsidRPr="009774CC">
        <w:rPr>
          <w:rFonts w:asciiTheme="minorHAnsi" w:hAnsiTheme="minorHAnsi" w:cstheme="minorHAnsi"/>
        </w:rPr>
        <w:t>En relación a los anexos V y VI lotes I y II:</w:t>
      </w:r>
    </w:p>
    <w:p w:rsidR="00767D1C" w:rsidRPr="009774CC" w:rsidRDefault="00767D1C" w:rsidP="00767D1C">
      <w:pPr>
        <w:rPr>
          <w:rFonts w:asciiTheme="minorHAnsi" w:hAnsiTheme="minorHAnsi" w:cstheme="minorHAnsi"/>
        </w:rPr>
      </w:pPr>
      <w:r w:rsidRPr="009774CC">
        <w:rPr>
          <w:rFonts w:asciiTheme="minorHAnsi" w:hAnsiTheme="minorHAnsi" w:cstheme="minorHAnsi"/>
        </w:rPr>
        <w:t xml:space="preserve">Me Surgen las siguientes dudas. </w:t>
      </w:r>
    </w:p>
    <w:p w:rsidR="00767D1C" w:rsidRDefault="00767D1C" w:rsidP="00767D1C">
      <w:pPr>
        <w:spacing w:before="100" w:beforeAutospacing="1" w:after="100" w:afterAutospacing="1" w:line="252" w:lineRule="auto"/>
        <w:ind w:left="300"/>
        <w:rPr>
          <w:rFonts w:asciiTheme="minorHAnsi" w:hAnsiTheme="minorHAnsi" w:cstheme="minorHAnsi"/>
        </w:rPr>
      </w:pPr>
      <w:r w:rsidRPr="009774CC">
        <w:rPr>
          <w:rFonts w:asciiTheme="minorHAnsi" w:hAnsiTheme="minorHAnsi" w:cstheme="minorHAnsi"/>
        </w:rPr>
        <w:t>A.- Entiendo que debemos poner l</w:t>
      </w:r>
      <w:r w:rsidR="00217DDE">
        <w:rPr>
          <w:rFonts w:asciiTheme="minorHAnsi" w:hAnsiTheme="minorHAnsi" w:cstheme="minorHAnsi"/>
        </w:rPr>
        <w:t>a</w:t>
      </w:r>
      <w:r w:rsidRPr="009774CC">
        <w:rPr>
          <w:rFonts w:asciiTheme="minorHAnsi" w:hAnsiTheme="minorHAnsi" w:cstheme="minorHAnsi"/>
        </w:rPr>
        <w:t xml:space="preserve">s ratios/cifras que tenemos ahora o que vamos a tener el 1 de noviembre?   </w:t>
      </w:r>
    </w:p>
    <w:p w:rsidR="007B772E" w:rsidRPr="007B772E" w:rsidRDefault="007B772E" w:rsidP="00767D1C">
      <w:pPr>
        <w:spacing w:before="100" w:beforeAutospacing="1" w:after="100" w:afterAutospacing="1" w:line="252" w:lineRule="auto"/>
        <w:ind w:left="300"/>
        <w:rPr>
          <w:rFonts w:asciiTheme="minorHAnsi" w:hAnsiTheme="minorHAnsi" w:cstheme="minorHAnsi"/>
          <w:color w:val="548DD4" w:themeColor="text2" w:themeTint="99"/>
        </w:rPr>
      </w:pPr>
      <w:r>
        <w:rPr>
          <w:rFonts w:asciiTheme="minorHAnsi" w:hAnsiTheme="minorHAnsi" w:cstheme="minorHAnsi"/>
          <w:color w:val="548DD4" w:themeColor="text2" w:themeTint="99"/>
        </w:rPr>
        <w:t xml:space="preserve">Los anexos V </w:t>
      </w:r>
      <w:r w:rsidRPr="007B772E">
        <w:rPr>
          <w:rFonts w:asciiTheme="minorHAnsi" w:hAnsiTheme="minorHAnsi" w:cstheme="minorHAnsi"/>
          <w:color w:val="548DD4" w:themeColor="text2" w:themeTint="99"/>
        </w:rPr>
        <w:t>VI son la oferta a realizar, y que tendrá que cumplirse durante toda la vigencia del</w:t>
      </w:r>
      <w:r>
        <w:rPr>
          <w:rFonts w:asciiTheme="minorHAnsi" w:hAnsiTheme="minorHAnsi" w:cstheme="minorHAnsi"/>
          <w:color w:val="548DD4" w:themeColor="text2" w:themeTint="99"/>
        </w:rPr>
        <w:t xml:space="preserve"> Nuevo</w:t>
      </w:r>
      <w:r w:rsidRPr="007B772E">
        <w:rPr>
          <w:rFonts w:asciiTheme="minorHAnsi" w:hAnsiTheme="minorHAnsi" w:cstheme="minorHAnsi"/>
          <w:color w:val="548DD4" w:themeColor="text2" w:themeTint="99"/>
        </w:rPr>
        <w:t xml:space="preserve"> Open House. Si comienza el contrato el 01/11/2026</w:t>
      </w:r>
      <w:r>
        <w:rPr>
          <w:rFonts w:asciiTheme="minorHAnsi" w:hAnsiTheme="minorHAnsi" w:cstheme="minorHAnsi"/>
          <w:color w:val="548DD4" w:themeColor="text2" w:themeTint="99"/>
        </w:rPr>
        <w:t>, las ratios deberán cumplirse a partir del 01/11/2026.</w:t>
      </w:r>
    </w:p>
    <w:p w:rsidR="007B772E" w:rsidRDefault="00767D1C" w:rsidP="00767D1C">
      <w:pPr>
        <w:spacing w:before="100" w:beforeAutospacing="1" w:after="100" w:afterAutospacing="1" w:line="252" w:lineRule="auto"/>
        <w:ind w:left="300"/>
        <w:rPr>
          <w:rFonts w:asciiTheme="minorHAnsi" w:hAnsiTheme="minorHAnsi" w:cstheme="minorHAnsi"/>
        </w:rPr>
      </w:pPr>
      <w:r w:rsidRPr="009774CC">
        <w:rPr>
          <w:rFonts w:asciiTheme="minorHAnsi" w:hAnsiTheme="minorHAnsi" w:cstheme="minorHAnsi"/>
        </w:rPr>
        <w:t>B.- ¿Debemos rellenar los cuadros amarillos y los de ofertado no dependiente? Entiendo que</w:t>
      </w:r>
      <w:r w:rsidR="00217DDE">
        <w:rPr>
          <w:rFonts w:asciiTheme="minorHAnsi" w:hAnsiTheme="minorHAnsi" w:cstheme="minorHAnsi"/>
        </w:rPr>
        <w:t xml:space="preserve"> con ratios de atención ¿Anual o</w:t>
      </w:r>
      <w:r w:rsidRPr="009774CC">
        <w:rPr>
          <w:rFonts w:asciiTheme="minorHAnsi" w:hAnsiTheme="minorHAnsi" w:cstheme="minorHAnsi"/>
        </w:rPr>
        <w:t xml:space="preserve"> </w:t>
      </w:r>
      <w:r w:rsidR="00F251E1" w:rsidRPr="009774CC">
        <w:rPr>
          <w:rFonts w:asciiTheme="minorHAnsi" w:hAnsiTheme="minorHAnsi" w:cstheme="minorHAnsi"/>
        </w:rPr>
        <w:t>diario?</w:t>
      </w:r>
    </w:p>
    <w:p w:rsidR="00767D1C" w:rsidRPr="00B82993" w:rsidRDefault="007B772E" w:rsidP="007B772E">
      <w:pPr>
        <w:spacing w:before="100" w:beforeAutospacing="1" w:after="100" w:afterAutospacing="1" w:line="252" w:lineRule="auto"/>
        <w:ind w:left="300"/>
        <w:rPr>
          <w:rFonts w:asciiTheme="minorHAnsi" w:hAnsiTheme="minorHAnsi" w:cstheme="minorHAnsi"/>
          <w:color w:val="548DD4" w:themeColor="text2" w:themeTint="99"/>
        </w:rPr>
      </w:pPr>
      <w:r w:rsidRPr="00B82993">
        <w:rPr>
          <w:rFonts w:asciiTheme="minorHAnsi" w:hAnsiTheme="minorHAnsi" w:cstheme="minorHAnsi"/>
          <w:color w:val="548DD4" w:themeColor="text2" w:themeTint="99"/>
        </w:rPr>
        <w:t>Para presentar los anexos V y VI, se ha colgado el anexo en Excel 02. Ahí hay que rellenar solamente las celdas amarillas;</w:t>
      </w:r>
    </w:p>
    <w:p w:rsidR="007B772E" w:rsidRPr="00B82993" w:rsidRDefault="007B772E" w:rsidP="00767D1C">
      <w:pPr>
        <w:spacing w:before="100" w:beforeAutospacing="1" w:after="100" w:afterAutospacing="1" w:line="252" w:lineRule="auto"/>
        <w:ind w:left="300"/>
        <w:rPr>
          <w:rFonts w:asciiTheme="minorHAnsi" w:hAnsiTheme="minorHAnsi" w:cstheme="minorHAnsi"/>
          <w:color w:val="548DD4" w:themeColor="text2" w:themeTint="99"/>
        </w:rPr>
      </w:pPr>
      <w:r w:rsidRPr="00B82993">
        <w:rPr>
          <w:rFonts w:asciiTheme="minorHAnsi" w:hAnsiTheme="minorHAnsi" w:cstheme="minorHAnsi"/>
          <w:color w:val="548DD4" w:themeColor="text2" w:themeTint="99"/>
        </w:rPr>
        <w:t>Por un lado, las plazas autorizadas, y las plazas ofertadas.</w:t>
      </w:r>
    </w:p>
    <w:p w:rsidR="007B772E" w:rsidRPr="00B82993" w:rsidRDefault="007B772E" w:rsidP="00767D1C">
      <w:pPr>
        <w:spacing w:before="100" w:beforeAutospacing="1" w:after="100" w:afterAutospacing="1" w:line="252" w:lineRule="auto"/>
        <w:ind w:left="300"/>
        <w:rPr>
          <w:rFonts w:asciiTheme="minorHAnsi" w:hAnsiTheme="minorHAnsi" w:cstheme="minorHAnsi"/>
          <w:color w:val="548DD4" w:themeColor="text2" w:themeTint="99"/>
        </w:rPr>
      </w:pPr>
      <w:r w:rsidRPr="00B82993">
        <w:rPr>
          <w:rFonts w:asciiTheme="minorHAnsi" w:hAnsiTheme="minorHAnsi" w:cstheme="minorHAnsi"/>
          <w:color w:val="548DD4" w:themeColor="text2" w:themeTint="99"/>
        </w:rPr>
        <w:t xml:space="preserve">En columna de ofertado Dependiente, hay que elegir la opción del desplegable, y en ofertado no dependiente, no hay que rellenar nada en la Excel porque ya lo hace </w:t>
      </w:r>
      <w:r w:rsidR="00217DDE" w:rsidRPr="00B82993">
        <w:rPr>
          <w:rFonts w:asciiTheme="minorHAnsi" w:hAnsiTheme="minorHAnsi" w:cstheme="minorHAnsi"/>
          <w:color w:val="548DD4" w:themeColor="text2" w:themeTint="99"/>
        </w:rPr>
        <w:t>sola</w:t>
      </w:r>
      <w:r w:rsidRPr="00B82993">
        <w:rPr>
          <w:rFonts w:asciiTheme="minorHAnsi" w:hAnsiTheme="minorHAnsi" w:cstheme="minorHAnsi"/>
          <w:color w:val="548DD4" w:themeColor="text2" w:themeTint="99"/>
        </w:rPr>
        <w:t>.</w:t>
      </w:r>
    </w:p>
    <w:p w:rsidR="00B82993" w:rsidRPr="00B82993" w:rsidRDefault="00B82993" w:rsidP="00767D1C">
      <w:pPr>
        <w:spacing w:before="100" w:beforeAutospacing="1" w:after="100" w:afterAutospacing="1" w:line="252" w:lineRule="auto"/>
        <w:ind w:left="300"/>
        <w:rPr>
          <w:rFonts w:asciiTheme="minorHAnsi" w:hAnsiTheme="minorHAnsi" w:cstheme="minorHAnsi"/>
          <w:color w:val="548DD4" w:themeColor="text2" w:themeTint="99"/>
        </w:rPr>
      </w:pPr>
      <w:r w:rsidRPr="00B82993">
        <w:rPr>
          <w:rFonts w:asciiTheme="minorHAnsi" w:hAnsiTheme="minorHAnsi" w:cstheme="minorHAnsi"/>
          <w:color w:val="548DD4" w:themeColor="text2" w:themeTint="99"/>
        </w:rPr>
        <w:t>Una vez, todo rellenado, solamente hay que copiar y pegar en el Word.</w:t>
      </w:r>
    </w:p>
    <w:p w:rsidR="00767D1C" w:rsidRDefault="00767D1C" w:rsidP="00767D1C">
      <w:pPr>
        <w:spacing w:before="100" w:beforeAutospacing="1" w:after="100" w:afterAutospacing="1" w:line="252" w:lineRule="auto"/>
        <w:ind w:left="300"/>
        <w:rPr>
          <w:rFonts w:asciiTheme="minorHAnsi" w:hAnsiTheme="minorHAnsi" w:cstheme="minorHAnsi"/>
        </w:rPr>
      </w:pPr>
      <w:r w:rsidRPr="009774CC">
        <w:rPr>
          <w:rFonts w:asciiTheme="minorHAnsi" w:hAnsiTheme="minorHAnsi" w:cstheme="minorHAnsi"/>
        </w:rPr>
        <w:t xml:space="preserve">C.- Las casillas de los años 2026 a 2030 ¿Se quedan en Blanco? ¿Las </w:t>
      </w:r>
      <w:r w:rsidR="00217DDE" w:rsidRPr="009774CC">
        <w:rPr>
          <w:rFonts w:asciiTheme="minorHAnsi" w:hAnsiTheme="minorHAnsi" w:cstheme="minorHAnsi"/>
        </w:rPr>
        <w:t>rellenáis</w:t>
      </w:r>
      <w:r w:rsidRPr="009774CC">
        <w:rPr>
          <w:rFonts w:asciiTheme="minorHAnsi" w:hAnsiTheme="minorHAnsi" w:cstheme="minorHAnsi"/>
        </w:rPr>
        <w:t xml:space="preserve"> en la Agencia? O las enviamos cumplimentadas con precios/plaza.</w:t>
      </w:r>
    </w:p>
    <w:p w:rsidR="00B82993" w:rsidRPr="00B82993" w:rsidRDefault="00B82993" w:rsidP="00767D1C">
      <w:pPr>
        <w:spacing w:before="100" w:beforeAutospacing="1" w:after="100" w:afterAutospacing="1" w:line="252" w:lineRule="auto"/>
        <w:ind w:left="300"/>
        <w:rPr>
          <w:rFonts w:asciiTheme="minorHAnsi" w:hAnsiTheme="minorHAnsi" w:cstheme="minorHAnsi"/>
          <w:color w:val="548DD4" w:themeColor="text2" w:themeTint="99"/>
        </w:rPr>
      </w:pPr>
      <w:r w:rsidRPr="00B82993">
        <w:rPr>
          <w:rFonts w:asciiTheme="minorHAnsi" w:hAnsiTheme="minorHAnsi" w:cstheme="minorHAnsi"/>
          <w:color w:val="548DD4" w:themeColor="text2" w:themeTint="99"/>
        </w:rPr>
        <w:t xml:space="preserve">Se rellenan solas en la </w:t>
      </w:r>
      <w:r w:rsidR="00F251E1" w:rsidRPr="00B82993">
        <w:rPr>
          <w:rFonts w:asciiTheme="minorHAnsi" w:hAnsiTheme="minorHAnsi" w:cstheme="minorHAnsi"/>
          <w:color w:val="548DD4" w:themeColor="text2" w:themeTint="99"/>
        </w:rPr>
        <w:t>Excel</w:t>
      </w:r>
    </w:p>
    <w:p w:rsidR="00767D1C" w:rsidRPr="009774CC" w:rsidRDefault="00524C3E" w:rsidP="00524C3E">
      <w:pPr>
        <w:pBdr>
          <w:bottom w:val="single" w:sz="4" w:space="1" w:color="auto"/>
        </w:pBdr>
        <w:rPr>
          <w:rFonts w:asciiTheme="minorHAnsi" w:eastAsia="Times New Roman" w:hAnsiTheme="minorHAnsi" w:cstheme="minorHAnsi"/>
          <w:color w:val="000000"/>
        </w:rPr>
      </w:pPr>
      <w:r>
        <w:rPr>
          <w:rFonts w:asciiTheme="minorHAnsi" w:eastAsia="Times New Roman" w:hAnsiTheme="minorHAnsi" w:cstheme="minorHAnsi"/>
          <w:color w:val="000000"/>
        </w:rPr>
        <w:t>PREGUNTA 1</w:t>
      </w:r>
      <w:r w:rsidR="00217DDE">
        <w:rPr>
          <w:rFonts w:asciiTheme="minorHAnsi" w:eastAsia="Times New Roman" w:hAnsiTheme="minorHAnsi" w:cstheme="minorHAnsi"/>
          <w:color w:val="000000"/>
        </w:rPr>
        <w:t>0</w:t>
      </w:r>
      <w:r>
        <w:rPr>
          <w:rFonts w:asciiTheme="minorHAnsi" w:eastAsia="Times New Roman" w:hAnsiTheme="minorHAnsi" w:cstheme="minorHAnsi"/>
          <w:color w:val="000000"/>
        </w:rPr>
        <w:t>:</w:t>
      </w:r>
    </w:p>
    <w:p w:rsidR="00767D1C" w:rsidRPr="009774CC" w:rsidRDefault="00767D1C" w:rsidP="00A70328">
      <w:pPr>
        <w:rPr>
          <w:rFonts w:asciiTheme="minorHAnsi" w:eastAsia="Times New Roman" w:hAnsiTheme="minorHAnsi" w:cstheme="minorHAnsi"/>
          <w:color w:val="000000"/>
        </w:rPr>
      </w:pPr>
    </w:p>
    <w:p w:rsidR="00524C3E" w:rsidRDefault="00524C3E" w:rsidP="00524C3E">
      <w:pPr>
        <w:rPr>
          <w:rFonts w:ascii="Times New Roman" w:eastAsia="Times New Roman" w:hAnsi="Times New Roman" w:cs="Times New Roman"/>
        </w:rPr>
      </w:pPr>
      <w:r>
        <w:rPr>
          <w:rStyle w:val="Textoennegrita"/>
          <w:rFonts w:eastAsia="Times New Roman"/>
        </w:rPr>
        <w:t>ANEXO VII: LOTE 3 TRANSPORTE.</w:t>
      </w:r>
      <w:r>
        <w:rPr>
          <w:rFonts w:eastAsia="Times New Roman"/>
        </w:rPr>
        <w:t xml:space="preserve"> </w:t>
      </w:r>
    </w:p>
    <w:p w:rsidR="00524C3E" w:rsidRDefault="00524C3E" w:rsidP="00524C3E">
      <w:pPr>
        <w:rPr>
          <w:rFonts w:eastAsia="Times New Roman"/>
        </w:rPr>
      </w:pPr>
      <w:r>
        <w:rPr>
          <w:rFonts w:eastAsia="Times New Roman"/>
        </w:rPr>
        <w:t xml:space="preserve">No aparece </w:t>
      </w:r>
      <w:r>
        <w:rPr>
          <w:rStyle w:val="nfasis"/>
          <w:rFonts w:eastAsia="Times New Roman"/>
          <w:b/>
          <w:bCs/>
        </w:rPr>
        <w:t>Centro de Día Tudela</w:t>
      </w:r>
      <w:r>
        <w:rPr>
          <w:rFonts w:eastAsia="Times New Roman"/>
        </w:rPr>
        <w:t xml:space="preserve"> en el desplegable de la Excel. </w:t>
      </w:r>
    </w:p>
    <w:p w:rsidR="00524C3E" w:rsidRDefault="00524C3E" w:rsidP="00524C3E">
      <w:pPr>
        <w:rPr>
          <w:rFonts w:eastAsia="Times New Roman"/>
        </w:rPr>
      </w:pPr>
      <w:r>
        <w:rPr>
          <w:rFonts w:eastAsia="Times New Roman"/>
        </w:rPr>
        <w:t>En el primer bloque permite escribirlo. En la segunda no aparece tampoco, ni permite cumplimentarlo.</w:t>
      </w:r>
    </w:p>
    <w:p w:rsidR="00D872B1" w:rsidRDefault="00D872B1" w:rsidP="00524C3E">
      <w:pPr>
        <w:rPr>
          <w:rFonts w:eastAsia="Times New Roman"/>
        </w:rPr>
      </w:pPr>
    </w:p>
    <w:p w:rsidR="00D872B1" w:rsidRPr="00D872B1" w:rsidRDefault="00D872B1" w:rsidP="00524C3E">
      <w:pPr>
        <w:rPr>
          <w:rFonts w:eastAsia="Times New Roman"/>
          <w:color w:val="548DD4" w:themeColor="text2" w:themeTint="99"/>
        </w:rPr>
      </w:pPr>
      <w:r w:rsidRPr="00D872B1">
        <w:rPr>
          <w:rFonts w:eastAsia="Times New Roman"/>
          <w:color w:val="548DD4" w:themeColor="text2" w:themeTint="99"/>
        </w:rPr>
        <w:t>Ya está corregido</w:t>
      </w:r>
    </w:p>
    <w:p w:rsidR="00524C3E" w:rsidRDefault="00524C3E" w:rsidP="00524C3E">
      <w:pPr>
        <w:rPr>
          <w:rFonts w:eastAsia="Times New Roman"/>
        </w:rPr>
      </w:pPr>
      <w:r>
        <w:rPr>
          <w:rFonts w:eastAsia="Times New Roman"/>
        </w:rPr>
        <w:t> </w:t>
      </w:r>
    </w:p>
    <w:p w:rsidR="00524C3E" w:rsidRDefault="00524C3E" w:rsidP="00524C3E">
      <w:pPr>
        <w:rPr>
          <w:rFonts w:eastAsia="Times New Roman"/>
        </w:rPr>
      </w:pPr>
      <w:r>
        <w:rPr>
          <w:rStyle w:val="Textoennegrita"/>
          <w:rFonts w:eastAsia="Times New Roman"/>
        </w:rPr>
        <w:lastRenderedPageBreak/>
        <w:t>ANEXO VIII: LOTE 4 PLAZAS DE CENTRO DE DIA</w:t>
      </w:r>
      <w:r>
        <w:rPr>
          <w:rFonts w:eastAsia="Times New Roman"/>
        </w:rPr>
        <w:t xml:space="preserve"> </w:t>
      </w:r>
    </w:p>
    <w:p w:rsidR="00524C3E" w:rsidRDefault="00524C3E" w:rsidP="00524C3E">
      <w:pPr>
        <w:rPr>
          <w:rFonts w:eastAsia="Times New Roman"/>
        </w:rPr>
      </w:pPr>
      <w:r>
        <w:rPr>
          <w:rFonts w:eastAsia="Times New Roman"/>
        </w:rPr>
        <w:t>¿Qué hay que indicar en la Excel, en la casilla "Concepto"?</w:t>
      </w:r>
    </w:p>
    <w:p w:rsidR="00D872B1" w:rsidRDefault="00D872B1" w:rsidP="00524C3E">
      <w:pPr>
        <w:rPr>
          <w:rFonts w:eastAsia="Times New Roman"/>
        </w:rPr>
      </w:pPr>
    </w:p>
    <w:p w:rsidR="00D872B1" w:rsidRPr="00D872B1" w:rsidRDefault="00217DDE" w:rsidP="00524C3E">
      <w:pPr>
        <w:rPr>
          <w:rFonts w:eastAsia="Times New Roman"/>
          <w:color w:val="548DD4" w:themeColor="text2" w:themeTint="99"/>
        </w:rPr>
      </w:pPr>
      <w:r>
        <w:rPr>
          <w:rFonts w:eastAsia="Times New Roman"/>
          <w:color w:val="548DD4" w:themeColor="text2" w:themeTint="99"/>
        </w:rPr>
        <w:t>Se ha eliminado la columna concepto.</w:t>
      </w:r>
    </w:p>
    <w:p w:rsidR="00A70328" w:rsidRPr="009774CC" w:rsidRDefault="00A70328" w:rsidP="00A70328">
      <w:pPr>
        <w:rPr>
          <w:rFonts w:asciiTheme="minorHAnsi" w:hAnsiTheme="minorHAnsi" w:cstheme="minorHAnsi"/>
        </w:rPr>
      </w:pPr>
    </w:p>
    <w:p w:rsidR="003A135D" w:rsidRDefault="003A135D" w:rsidP="001B0928">
      <w:pPr>
        <w:rPr>
          <w:color w:val="FF0000"/>
        </w:rPr>
      </w:pPr>
    </w:p>
    <w:p w:rsidR="003A135D" w:rsidRPr="003A135D" w:rsidRDefault="003A135D" w:rsidP="003A135D">
      <w:pPr>
        <w:pBdr>
          <w:bottom w:val="single" w:sz="4" w:space="1" w:color="auto"/>
        </w:pBdr>
      </w:pPr>
      <w:r w:rsidRPr="003A135D">
        <w:t xml:space="preserve">PREGUNTA </w:t>
      </w:r>
      <w:r w:rsidR="00F251E1">
        <w:t>11</w:t>
      </w:r>
      <w:r w:rsidRPr="003A135D">
        <w:t>:</w:t>
      </w:r>
    </w:p>
    <w:p w:rsidR="003A135D" w:rsidRPr="003A135D" w:rsidRDefault="003A135D" w:rsidP="001B0928"/>
    <w:p w:rsidR="0090022D" w:rsidRDefault="0090022D" w:rsidP="0090022D">
      <w:pPr>
        <w:spacing w:before="120" w:after="120"/>
        <w:jc w:val="both"/>
        <w:rPr>
          <w:rFonts w:asciiTheme="minorHAnsi" w:hAnsiTheme="minorHAnsi" w:cstheme="minorHAnsi"/>
        </w:rPr>
      </w:pPr>
      <w:r>
        <w:rPr>
          <w:rFonts w:asciiTheme="minorHAnsi" w:hAnsiTheme="minorHAnsi" w:cstheme="minorHAnsi"/>
        </w:rPr>
        <w:t>Pregunta 1:</w:t>
      </w:r>
    </w:p>
    <w:p w:rsidR="0090022D" w:rsidRDefault="0090022D" w:rsidP="0090022D">
      <w:pPr>
        <w:spacing w:before="120" w:after="120"/>
        <w:jc w:val="both"/>
        <w:rPr>
          <w:rFonts w:asciiTheme="minorHAnsi" w:hAnsiTheme="minorHAnsi" w:cstheme="minorHAnsi"/>
        </w:rPr>
      </w:pPr>
    </w:p>
    <w:p w:rsidR="003A135D" w:rsidRDefault="003A135D" w:rsidP="0090022D">
      <w:pPr>
        <w:spacing w:before="120" w:after="120"/>
        <w:jc w:val="both"/>
        <w:rPr>
          <w:rFonts w:asciiTheme="minorHAnsi" w:hAnsiTheme="minorHAnsi" w:cstheme="minorHAnsi"/>
        </w:rPr>
      </w:pPr>
      <w:r w:rsidRPr="003A135D">
        <w:rPr>
          <w:rFonts w:asciiTheme="minorHAnsi" w:hAnsiTheme="minorHAnsi" w:cstheme="minorHAnsi"/>
        </w:rPr>
        <w:t xml:space="preserve">La mayor parte de la ocupación de nuestro centro es de medias jornadas por lo que nuestro interés es presentarnos a OPEN HOUSE con el proyecto que desarrollamos. Nosotras tenemos actualmente: 15 plazas de media jornada de mañana y 7 plazas de media jornada por la tarde. TODAS TIPO A. </w:t>
      </w:r>
    </w:p>
    <w:p w:rsidR="0090022D" w:rsidRDefault="0090022D" w:rsidP="0090022D">
      <w:pPr>
        <w:spacing w:before="120" w:after="120"/>
        <w:jc w:val="both"/>
        <w:rPr>
          <w:rFonts w:asciiTheme="minorHAnsi" w:hAnsiTheme="minorHAnsi" w:cstheme="minorHAnsi"/>
        </w:rPr>
      </w:pPr>
    </w:p>
    <w:p w:rsidR="0090022D" w:rsidRDefault="0090022D" w:rsidP="0090022D">
      <w:pPr>
        <w:spacing w:before="120" w:after="120"/>
        <w:jc w:val="both"/>
        <w:rPr>
          <w:rFonts w:asciiTheme="minorHAnsi" w:hAnsiTheme="minorHAnsi" w:cstheme="minorHAnsi"/>
          <w:color w:val="548DD4" w:themeColor="text2" w:themeTint="99"/>
        </w:rPr>
      </w:pPr>
      <w:r w:rsidRPr="0090022D">
        <w:rPr>
          <w:rFonts w:asciiTheme="minorHAnsi" w:hAnsiTheme="minorHAnsi" w:cstheme="minorHAnsi"/>
          <w:color w:val="548DD4" w:themeColor="text2" w:themeTint="99"/>
        </w:rPr>
        <w:t>La entidad que se presenta al open House, acepta todas las condicione</w:t>
      </w:r>
      <w:r w:rsidR="008014B6">
        <w:rPr>
          <w:rFonts w:asciiTheme="minorHAnsi" w:hAnsiTheme="minorHAnsi" w:cstheme="minorHAnsi"/>
          <w:color w:val="548DD4" w:themeColor="text2" w:themeTint="99"/>
        </w:rPr>
        <w:t>s de los pliegos reguladores. Por una parte, la oferta se hace sobre plazas</w:t>
      </w:r>
      <w:r w:rsidR="009E71E2">
        <w:rPr>
          <w:rFonts w:asciiTheme="minorHAnsi" w:hAnsiTheme="minorHAnsi" w:cstheme="minorHAnsi"/>
          <w:color w:val="548DD4" w:themeColor="text2" w:themeTint="99"/>
        </w:rPr>
        <w:t xml:space="preserve"> autorizadas</w:t>
      </w:r>
      <w:r w:rsidR="008014B6">
        <w:rPr>
          <w:rFonts w:asciiTheme="minorHAnsi" w:hAnsiTheme="minorHAnsi" w:cstheme="minorHAnsi"/>
          <w:color w:val="548DD4" w:themeColor="text2" w:themeTint="99"/>
        </w:rPr>
        <w:t xml:space="preserve"> </w:t>
      </w:r>
      <w:r w:rsidR="009E71E2">
        <w:rPr>
          <w:rFonts w:asciiTheme="minorHAnsi" w:hAnsiTheme="minorHAnsi" w:cstheme="minorHAnsi"/>
          <w:color w:val="548DD4" w:themeColor="text2" w:themeTint="99"/>
        </w:rPr>
        <w:t>(</w:t>
      </w:r>
      <w:r w:rsidR="008014B6">
        <w:rPr>
          <w:rFonts w:asciiTheme="minorHAnsi" w:hAnsiTheme="minorHAnsi" w:cstheme="minorHAnsi"/>
          <w:color w:val="548DD4" w:themeColor="text2" w:themeTint="99"/>
        </w:rPr>
        <w:t>en jornada completa</w:t>
      </w:r>
      <w:r w:rsidR="009E71E2">
        <w:rPr>
          <w:rFonts w:asciiTheme="minorHAnsi" w:hAnsiTheme="minorHAnsi" w:cstheme="minorHAnsi"/>
          <w:color w:val="548DD4" w:themeColor="text2" w:themeTint="99"/>
        </w:rPr>
        <w:t>)</w:t>
      </w:r>
      <w:r w:rsidR="008014B6">
        <w:rPr>
          <w:rFonts w:asciiTheme="minorHAnsi" w:hAnsiTheme="minorHAnsi" w:cstheme="minorHAnsi"/>
          <w:color w:val="548DD4" w:themeColor="text2" w:themeTint="99"/>
        </w:rPr>
        <w:t xml:space="preserve">. Posteriormente, se </w:t>
      </w:r>
      <w:r w:rsidR="009E71E2">
        <w:rPr>
          <w:rFonts w:asciiTheme="minorHAnsi" w:hAnsiTheme="minorHAnsi" w:cstheme="minorHAnsi"/>
          <w:color w:val="548DD4" w:themeColor="text2" w:themeTint="99"/>
        </w:rPr>
        <w:t>establece la posibilidad de d</w:t>
      </w:r>
      <w:r w:rsidR="008014B6">
        <w:rPr>
          <w:rFonts w:asciiTheme="minorHAnsi" w:hAnsiTheme="minorHAnsi" w:cstheme="minorHAnsi"/>
          <w:color w:val="548DD4" w:themeColor="text2" w:themeTint="99"/>
        </w:rPr>
        <w:t>istintas tipologías de plazas dentro del sistema. (</w:t>
      </w:r>
      <w:r w:rsidR="00B349C3">
        <w:rPr>
          <w:rFonts w:asciiTheme="minorHAnsi" w:hAnsiTheme="minorHAnsi" w:cstheme="minorHAnsi"/>
          <w:color w:val="548DD4" w:themeColor="text2" w:themeTint="99"/>
        </w:rPr>
        <w:t>plazas de tipo A y tipo B</w:t>
      </w:r>
      <w:r w:rsidR="008014B6">
        <w:rPr>
          <w:rFonts w:asciiTheme="minorHAnsi" w:hAnsiTheme="minorHAnsi" w:cstheme="minorHAnsi"/>
          <w:color w:val="548DD4" w:themeColor="text2" w:themeTint="99"/>
        </w:rPr>
        <w:t xml:space="preserve">). </w:t>
      </w:r>
    </w:p>
    <w:p w:rsidR="008014B6" w:rsidRPr="008014B6" w:rsidRDefault="009E71E2" w:rsidP="0090022D">
      <w:pPr>
        <w:spacing w:before="120" w:after="120"/>
        <w:jc w:val="both"/>
        <w:rPr>
          <w:rFonts w:asciiTheme="minorHAnsi" w:hAnsiTheme="minorHAnsi" w:cstheme="minorHAnsi"/>
          <w:color w:val="548DD4" w:themeColor="text2" w:themeTint="99"/>
        </w:rPr>
      </w:pPr>
      <w:r>
        <w:rPr>
          <w:rFonts w:asciiTheme="minorHAnsi" w:hAnsiTheme="minorHAnsi" w:cstheme="minorHAnsi"/>
          <w:color w:val="548DD4" w:themeColor="text2" w:themeTint="99"/>
        </w:rPr>
        <w:t>No obstante, t</w:t>
      </w:r>
      <w:r w:rsidR="008014B6">
        <w:rPr>
          <w:rFonts w:asciiTheme="minorHAnsi" w:hAnsiTheme="minorHAnsi" w:cstheme="minorHAnsi"/>
          <w:color w:val="548DD4" w:themeColor="text2" w:themeTint="99"/>
        </w:rPr>
        <w:t>odos los centros debe</w:t>
      </w:r>
      <w:r>
        <w:rPr>
          <w:rFonts w:asciiTheme="minorHAnsi" w:hAnsiTheme="minorHAnsi" w:cstheme="minorHAnsi"/>
          <w:color w:val="548DD4" w:themeColor="text2" w:themeTint="99"/>
        </w:rPr>
        <w:t>n</w:t>
      </w:r>
      <w:r w:rsidR="008014B6">
        <w:rPr>
          <w:rFonts w:asciiTheme="minorHAnsi" w:hAnsiTheme="minorHAnsi" w:cstheme="minorHAnsi"/>
          <w:color w:val="548DD4" w:themeColor="text2" w:themeTint="99"/>
        </w:rPr>
        <w:t xml:space="preserve"> poder estar en disposición de ofrecer tanto jornadas completas como parciales.</w:t>
      </w:r>
    </w:p>
    <w:p w:rsidR="003A135D" w:rsidRPr="003A135D" w:rsidRDefault="003A135D" w:rsidP="0090022D">
      <w:pPr>
        <w:spacing w:before="120" w:after="120"/>
        <w:jc w:val="both"/>
        <w:rPr>
          <w:rFonts w:asciiTheme="minorHAnsi" w:hAnsiTheme="minorHAnsi" w:cstheme="minorHAnsi"/>
        </w:rPr>
      </w:pPr>
      <w:r w:rsidRPr="003A135D">
        <w:rPr>
          <w:rFonts w:asciiTheme="minorHAnsi" w:hAnsiTheme="minorHAnsi" w:cstheme="minorHAnsi"/>
        </w:rPr>
        <w:t>Pregunta 2</w:t>
      </w:r>
    </w:p>
    <w:p w:rsidR="003A135D" w:rsidRPr="003A135D" w:rsidRDefault="003A135D" w:rsidP="0090022D">
      <w:pPr>
        <w:spacing w:before="120" w:after="120"/>
        <w:jc w:val="both"/>
        <w:rPr>
          <w:rFonts w:asciiTheme="minorHAnsi" w:hAnsiTheme="minorHAnsi" w:cstheme="minorHAnsi"/>
        </w:rPr>
      </w:pPr>
      <w:r w:rsidRPr="003A135D">
        <w:rPr>
          <w:rFonts w:asciiTheme="minorHAnsi" w:hAnsiTheme="minorHAnsi" w:cstheme="minorHAnsi"/>
        </w:rPr>
        <w:t xml:space="preserve">En relación a las plazas no concertadas: </w:t>
      </w:r>
    </w:p>
    <w:p w:rsidR="003A135D" w:rsidRDefault="003A135D" w:rsidP="0090022D">
      <w:pPr>
        <w:spacing w:before="120" w:after="120"/>
        <w:jc w:val="both"/>
        <w:rPr>
          <w:rFonts w:asciiTheme="minorHAnsi" w:hAnsiTheme="minorHAnsi" w:cstheme="minorHAnsi"/>
        </w:rPr>
      </w:pPr>
      <w:r w:rsidRPr="003A135D">
        <w:rPr>
          <w:rFonts w:asciiTheme="minorHAnsi" w:hAnsiTheme="minorHAnsi" w:cstheme="minorHAnsi"/>
        </w:rPr>
        <w:t>¿Las plazas no concertadas tendrían derecho a la PVS como centro concertado?</w:t>
      </w:r>
    </w:p>
    <w:p w:rsidR="0090022D" w:rsidRDefault="0090022D" w:rsidP="0090022D">
      <w:pPr>
        <w:spacing w:before="120" w:after="120"/>
        <w:jc w:val="both"/>
        <w:rPr>
          <w:rFonts w:asciiTheme="minorHAnsi" w:hAnsiTheme="minorHAnsi" w:cstheme="minorHAnsi"/>
        </w:rPr>
      </w:pPr>
    </w:p>
    <w:p w:rsidR="0090022D" w:rsidRPr="0090022D" w:rsidRDefault="0090022D" w:rsidP="0090022D">
      <w:pPr>
        <w:pStyle w:val="Prrafodelista"/>
        <w:numPr>
          <w:ilvl w:val="0"/>
          <w:numId w:val="1"/>
        </w:numPr>
        <w:spacing w:before="120" w:after="120"/>
        <w:jc w:val="both"/>
        <w:rPr>
          <w:rFonts w:asciiTheme="minorHAnsi" w:hAnsiTheme="minorHAnsi" w:cstheme="minorHAnsi"/>
          <w:color w:val="548DD4" w:themeColor="text2" w:themeTint="99"/>
        </w:rPr>
      </w:pPr>
      <w:r w:rsidRPr="0090022D">
        <w:rPr>
          <w:rFonts w:asciiTheme="minorHAnsi" w:hAnsiTheme="minorHAnsi" w:cstheme="minorHAnsi"/>
          <w:color w:val="548DD4" w:themeColor="text2" w:themeTint="99"/>
        </w:rPr>
        <w:t>Si la entidad ha presentado oferta y resulta admitida, las personas con derecho ingresadas en plaza privada, cobrarán una PVS en función de la normativa, calculada en base al módulo concierto.</w:t>
      </w:r>
    </w:p>
    <w:p w:rsidR="0090022D" w:rsidRPr="0090022D" w:rsidRDefault="0090022D" w:rsidP="0090022D">
      <w:pPr>
        <w:pStyle w:val="Prrafodelista"/>
        <w:numPr>
          <w:ilvl w:val="0"/>
          <w:numId w:val="1"/>
        </w:numPr>
        <w:spacing w:before="120" w:after="120"/>
        <w:jc w:val="both"/>
        <w:rPr>
          <w:rFonts w:asciiTheme="minorHAnsi" w:hAnsiTheme="minorHAnsi" w:cstheme="minorHAnsi"/>
          <w:color w:val="548DD4" w:themeColor="text2" w:themeTint="99"/>
        </w:rPr>
      </w:pPr>
      <w:r w:rsidRPr="0090022D">
        <w:rPr>
          <w:rFonts w:asciiTheme="minorHAnsi" w:hAnsiTheme="minorHAnsi" w:cstheme="minorHAnsi"/>
          <w:color w:val="548DD4" w:themeColor="text2" w:themeTint="99"/>
        </w:rPr>
        <w:t>Si la entidad no ha presentado oferta, la PVS</w:t>
      </w:r>
      <w:r w:rsidR="009E71E2">
        <w:rPr>
          <w:rFonts w:asciiTheme="minorHAnsi" w:hAnsiTheme="minorHAnsi" w:cstheme="minorHAnsi"/>
          <w:color w:val="548DD4" w:themeColor="text2" w:themeTint="99"/>
        </w:rPr>
        <w:t xml:space="preserve"> tendrá en cuenta el certificado de coste de la plaza privada y lo</w:t>
      </w:r>
      <w:r w:rsidRPr="0090022D">
        <w:rPr>
          <w:rFonts w:asciiTheme="minorHAnsi" w:hAnsiTheme="minorHAnsi" w:cstheme="minorHAnsi"/>
          <w:color w:val="548DD4" w:themeColor="text2" w:themeTint="99"/>
        </w:rPr>
        <w:t xml:space="preserve"> establecido en la normativa</w:t>
      </w:r>
      <w:r w:rsidR="009E71E2">
        <w:rPr>
          <w:rFonts w:asciiTheme="minorHAnsi" w:hAnsiTheme="minorHAnsi" w:cstheme="minorHAnsi"/>
          <w:color w:val="548DD4" w:themeColor="text2" w:themeTint="99"/>
        </w:rPr>
        <w:t xml:space="preserve"> en cuanto al cálculo</w:t>
      </w:r>
      <w:r w:rsidRPr="0090022D">
        <w:rPr>
          <w:rFonts w:asciiTheme="minorHAnsi" w:hAnsiTheme="minorHAnsi" w:cstheme="minorHAnsi"/>
          <w:color w:val="548DD4" w:themeColor="text2" w:themeTint="99"/>
        </w:rPr>
        <w:t xml:space="preserve"> (actualmente el 70% del precio plaza concertada vigente en cada momento)</w:t>
      </w:r>
      <w:r>
        <w:rPr>
          <w:rFonts w:asciiTheme="minorHAnsi" w:hAnsiTheme="minorHAnsi" w:cstheme="minorHAnsi"/>
          <w:color w:val="548DD4" w:themeColor="text2" w:themeTint="99"/>
        </w:rPr>
        <w:t xml:space="preserve"> </w:t>
      </w:r>
      <w:proofErr w:type="spellStart"/>
      <w:r w:rsidR="009E71E2">
        <w:rPr>
          <w:rFonts w:asciiTheme="minorHAnsi" w:hAnsiTheme="minorHAnsi" w:cstheme="minorHAnsi"/>
          <w:color w:val="548DD4" w:themeColor="text2" w:themeTint="99"/>
        </w:rPr>
        <w:t>asi</w:t>
      </w:r>
      <w:proofErr w:type="spellEnd"/>
      <w:r w:rsidR="009E71E2">
        <w:rPr>
          <w:rFonts w:asciiTheme="minorHAnsi" w:hAnsiTheme="minorHAnsi" w:cstheme="minorHAnsi"/>
          <w:color w:val="548DD4" w:themeColor="text2" w:themeTint="99"/>
        </w:rPr>
        <w:t xml:space="preserve"> como otras salvedades que establece la norma.</w:t>
      </w:r>
    </w:p>
    <w:p w:rsidR="003A135D" w:rsidRPr="003A135D" w:rsidRDefault="003A135D" w:rsidP="0090022D">
      <w:pPr>
        <w:spacing w:before="120" w:after="120"/>
        <w:jc w:val="both"/>
        <w:rPr>
          <w:rFonts w:asciiTheme="minorHAnsi" w:hAnsiTheme="minorHAnsi" w:cstheme="minorHAnsi"/>
        </w:rPr>
      </w:pPr>
      <w:r w:rsidRPr="003A135D">
        <w:rPr>
          <w:rFonts w:asciiTheme="minorHAnsi" w:hAnsiTheme="minorHAnsi" w:cstheme="minorHAnsi"/>
        </w:rPr>
        <w:t xml:space="preserve">Actualmente estamos aplicando un precio público por plaza que intenta preservar la igualdad de condiciones del costo que repercute en las personas usuarias: Precio por debajo del gasto real y de la estimación de plaza concertada. </w:t>
      </w:r>
    </w:p>
    <w:p w:rsidR="001B0928" w:rsidRDefault="003A135D" w:rsidP="0090022D">
      <w:pPr>
        <w:spacing w:before="120" w:after="120"/>
        <w:jc w:val="both"/>
        <w:rPr>
          <w:rFonts w:asciiTheme="minorHAnsi" w:hAnsiTheme="minorHAnsi" w:cstheme="minorHAnsi"/>
          <w:color w:val="548DD4" w:themeColor="text2" w:themeTint="99"/>
        </w:rPr>
      </w:pPr>
      <w:r w:rsidRPr="003A135D">
        <w:rPr>
          <w:rFonts w:asciiTheme="minorHAnsi" w:hAnsiTheme="minorHAnsi" w:cstheme="minorHAnsi"/>
        </w:rPr>
        <w:t>¿Se les va a pagar el 70% tomando como referencia el precio de plaza concertada</w:t>
      </w:r>
      <w:r w:rsidRPr="0090022D">
        <w:rPr>
          <w:rFonts w:asciiTheme="minorHAnsi" w:hAnsiTheme="minorHAnsi" w:cstheme="minorHAnsi"/>
          <w:color w:val="548DD4" w:themeColor="text2" w:themeTint="99"/>
        </w:rPr>
        <w:t>?</w:t>
      </w:r>
      <w:r w:rsidR="0090022D" w:rsidRPr="0090022D">
        <w:rPr>
          <w:rFonts w:asciiTheme="minorHAnsi" w:hAnsiTheme="minorHAnsi" w:cstheme="minorHAnsi"/>
          <w:color w:val="548DD4" w:themeColor="text2" w:themeTint="99"/>
        </w:rPr>
        <w:t xml:space="preserve"> Ya está contestado en la pregunta anterior</w:t>
      </w:r>
      <w:r w:rsidR="00C0632A">
        <w:rPr>
          <w:rFonts w:asciiTheme="minorHAnsi" w:hAnsiTheme="minorHAnsi" w:cstheme="minorHAnsi"/>
          <w:color w:val="548DD4" w:themeColor="text2" w:themeTint="99"/>
        </w:rPr>
        <w:t>.</w:t>
      </w:r>
    </w:p>
    <w:p w:rsidR="00C0632A" w:rsidRDefault="00217DDE" w:rsidP="00C0632A">
      <w:pPr>
        <w:pBdr>
          <w:bottom w:val="single" w:sz="4" w:space="1" w:color="auto"/>
        </w:pBdr>
        <w:spacing w:before="120" w:after="120"/>
        <w:jc w:val="both"/>
        <w:rPr>
          <w:rFonts w:asciiTheme="minorHAnsi" w:hAnsiTheme="minorHAnsi" w:cstheme="minorHAnsi"/>
        </w:rPr>
      </w:pPr>
      <w:r>
        <w:rPr>
          <w:rFonts w:asciiTheme="minorHAnsi" w:hAnsiTheme="minorHAnsi" w:cstheme="minorHAnsi"/>
        </w:rPr>
        <w:t xml:space="preserve">PREGUNTA </w:t>
      </w:r>
      <w:r w:rsidR="00F251E1">
        <w:rPr>
          <w:rFonts w:asciiTheme="minorHAnsi" w:hAnsiTheme="minorHAnsi" w:cstheme="minorHAnsi"/>
        </w:rPr>
        <w:t>12</w:t>
      </w:r>
      <w:r w:rsidR="00C0632A">
        <w:rPr>
          <w:rFonts w:asciiTheme="minorHAnsi" w:hAnsiTheme="minorHAnsi" w:cstheme="minorHAnsi"/>
        </w:rPr>
        <w:t>:</w:t>
      </w:r>
    </w:p>
    <w:p w:rsidR="00C0632A" w:rsidRDefault="00C0632A" w:rsidP="0090022D">
      <w:pPr>
        <w:spacing w:before="120" w:after="120"/>
        <w:jc w:val="both"/>
        <w:rPr>
          <w:rFonts w:asciiTheme="minorHAnsi" w:hAnsiTheme="minorHAnsi" w:cstheme="minorHAnsi"/>
        </w:rPr>
      </w:pPr>
    </w:p>
    <w:p w:rsidR="00C0632A" w:rsidRDefault="00C0632A" w:rsidP="00C0632A">
      <w:r>
        <w:t>Una consulta sobre la obligatoriedad de elaborar planes de igualdad…</w:t>
      </w:r>
    </w:p>
    <w:p w:rsidR="00C0632A" w:rsidRDefault="00C0632A" w:rsidP="00C0632A"/>
    <w:p w:rsidR="00C0632A" w:rsidRDefault="00C0632A" w:rsidP="0035098F">
      <w:pPr>
        <w:jc w:val="both"/>
      </w:pPr>
      <w:r>
        <w:t xml:space="preserve">En principio la Ley 3/2007 de igualdad hace obligatorios los planes de igualdad a las entidades de más de 50 trabajadores (da igual centro de dia que residencia) por lo tanto ¿estarían </w:t>
      </w:r>
      <w:r>
        <w:lastRenderedPageBreak/>
        <w:t xml:space="preserve">exentos de la obligación de realizar plan de igualdad </w:t>
      </w:r>
      <w:r w:rsidR="0035098F">
        <w:t>tantas residencias</w:t>
      </w:r>
      <w:r>
        <w:t xml:space="preserve"> como centros de dia de menos de 50 trabajadores?</w:t>
      </w:r>
    </w:p>
    <w:p w:rsidR="00C0632A" w:rsidRDefault="00C0632A" w:rsidP="0035098F">
      <w:pPr>
        <w:jc w:val="both"/>
      </w:pPr>
    </w:p>
    <w:p w:rsidR="00C0632A" w:rsidRDefault="00C0632A" w:rsidP="0035098F">
      <w:pPr>
        <w:jc w:val="both"/>
      </w:pPr>
      <w:r>
        <w:t xml:space="preserve">En el anexo 1, la declaración es sobre dicha Ley, por lo </w:t>
      </w:r>
      <w:r w:rsidR="0035098F">
        <w:t>tanto,</w:t>
      </w:r>
      <w:r>
        <w:t xml:space="preserve"> entendemos que no hay una exigencia </w:t>
      </w:r>
      <w:r w:rsidR="0035098F">
        <w:t>mayor en</w:t>
      </w:r>
      <w:r>
        <w:t xml:space="preserve"> el pliego (al menos no la hemos visto) en relación a los planes de igualdad. ¿es así?</w:t>
      </w:r>
    </w:p>
    <w:p w:rsidR="0035098F" w:rsidRDefault="0035098F" w:rsidP="0035098F">
      <w:pPr>
        <w:jc w:val="both"/>
      </w:pPr>
    </w:p>
    <w:p w:rsidR="0035098F" w:rsidRPr="00397C1A" w:rsidRDefault="0035098F" w:rsidP="0035098F">
      <w:pPr>
        <w:jc w:val="both"/>
        <w:rPr>
          <w:color w:val="4F81BD" w:themeColor="accent1"/>
        </w:rPr>
      </w:pPr>
      <w:r w:rsidRPr="00397C1A">
        <w:rPr>
          <w:color w:val="4F81BD" w:themeColor="accent1"/>
        </w:rPr>
        <w:t>SI</w:t>
      </w:r>
      <w:r w:rsidR="00F251E1">
        <w:rPr>
          <w:color w:val="4F81BD" w:themeColor="accent1"/>
        </w:rPr>
        <w:t>, es así.</w:t>
      </w:r>
    </w:p>
    <w:p w:rsidR="00C0632A" w:rsidRDefault="002C726F" w:rsidP="002C726F">
      <w:pPr>
        <w:pBdr>
          <w:bottom w:val="single" w:sz="4" w:space="1" w:color="auto"/>
        </w:pBdr>
        <w:spacing w:before="120" w:after="120"/>
        <w:jc w:val="both"/>
        <w:rPr>
          <w:rFonts w:asciiTheme="minorHAnsi" w:hAnsiTheme="minorHAnsi" w:cstheme="minorHAnsi"/>
        </w:rPr>
      </w:pPr>
      <w:r>
        <w:rPr>
          <w:rFonts w:asciiTheme="minorHAnsi" w:hAnsiTheme="minorHAnsi" w:cstheme="minorHAnsi"/>
        </w:rPr>
        <w:t>PREGUNTA 13:</w:t>
      </w:r>
    </w:p>
    <w:p w:rsidR="002C726F" w:rsidRDefault="002C726F" w:rsidP="0090022D">
      <w:pPr>
        <w:spacing w:before="120" w:after="120"/>
        <w:jc w:val="both"/>
        <w:rPr>
          <w:rFonts w:asciiTheme="minorHAnsi" w:hAnsiTheme="minorHAnsi" w:cstheme="minorHAnsi"/>
        </w:rPr>
      </w:pPr>
    </w:p>
    <w:p w:rsidR="002C726F" w:rsidRPr="002C726F" w:rsidRDefault="002C726F" w:rsidP="002C726F">
      <w:pPr>
        <w:spacing w:before="120" w:after="120"/>
        <w:jc w:val="both"/>
        <w:rPr>
          <w:rFonts w:asciiTheme="minorHAnsi" w:hAnsiTheme="minorHAnsi" w:cstheme="minorHAnsi"/>
        </w:rPr>
      </w:pPr>
      <w:r w:rsidRPr="002C726F">
        <w:rPr>
          <w:rFonts w:asciiTheme="minorHAnsi" w:hAnsiTheme="minorHAnsi" w:cstheme="minorHAnsi"/>
        </w:rPr>
        <w:t>En relación con la exigencia de seguros para el lote de transporte, solicitamos aclaración sobre la obligatoriedad de disponer del Seguro Obligatorio de Viajeros (SOVI).</w:t>
      </w:r>
    </w:p>
    <w:p w:rsidR="002C726F" w:rsidRPr="002C726F" w:rsidRDefault="002C726F" w:rsidP="002C726F">
      <w:pPr>
        <w:spacing w:before="120" w:after="120"/>
        <w:jc w:val="both"/>
        <w:rPr>
          <w:rFonts w:asciiTheme="minorHAnsi" w:hAnsiTheme="minorHAnsi" w:cstheme="minorHAnsi"/>
        </w:rPr>
      </w:pPr>
    </w:p>
    <w:p w:rsidR="002C726F" w:rsidRPr="002C726F" w:rsidRDefault="002C726F" w:rsidP="002C726F">
      <w:pPr>
        <w:spacing w:before="120" w:after="120"/>
        <w:jc w:val="both"/>
        <w:rPr>
          <w:rFonts w:asciiTheme="minorHAnsi" w:hAnsiTheme="minorHAnsi" w:cstheme="minorHAnsi"/>
        </w:rPr>
      </w:pPr>
      <w:r w:rsidRPr="002C726F">
        <w:rPr>
          <w:rFonts w:asciiTheme="minorHAnsi" w:hAnsiTheme="minorHAnsi" w:cstheme="minorHAnsi"/>
        </w:rPr>
        <w:t>Hemos recibido información de distintas compañías aseguradoras indicando que el SOVI es exigible únicamente para vehículos destinados al transporte de personas que figuren en el permiso de circulación como servicio público.</w:t>
      </w:r>
    </w:p>
    <w:p w:rsidR="002C726F" w:rsidRPr="002C726F" w:rsidRDefault="002C726F" w:rsidP="002C726F">
      <w:pPr>
        <w:spacing w:before="120" w:after="120"/>
        <w:jc w:val="both"/>
        <w:rPr>
          <w:rFonts w:asciiTheme="minorHAnsi" w:hAnsiTheme="minorHAnsi" w:cstheme="minorHAnsi"/>
        </w:rPr>
      </w:pPr>
      <w:r w:rsidRPr="002C726F">
        <w:rPr>
          <w:rFonts w:asciiTheme="minorHAnsi" w:hAnsiTheme="minorHAnsi" w:cstheme="minorHAnsi"/>
        </w:rPr>
        <w:t>En nuestro caso, el transporte constituye un servicio accesorio al principal y los vehículos están adscritos a servicio particular.</w:t>
      </w:r>
    </w:p>
    <w:p w:rsidR="002C726F" w:rsidRPr="002C726F" w:rsidRDefault="002C726F" w:rsidP="002C726F">
      <w:pPr>
        <w:spacing w:before="120" w:after="120"/>
        <w:jc w:val="both"/>
        <w:rPr>
          <w:rFonts w:asciiTheme="minorHAnsi" w:hAnsiTheme="minorHAnsi" w:cstheme="minorHAnsi"/>
        </w:rPr>
      </w:pPr>
    </w:p>
    <w:p w:rsidR="002C726F" w:rsidRDefault="002C726F" w:rsidP="002C726F">
      <w:pPr>
        <w:spacing w:before="120" w:after="120"/>
        <w:jc w:val="both"/>
        <w:rPr>
          <w:rFonts w:asciiTheme="minorHAnsi" w:hAnsiTheme="minorHAnsi" w:cstheme="minorHAnsi"/>
        </w:rPr>
      </w:pPr>
      <w:r w:rsidRPr="002C726F">
        <w:rPr>
          <w:rFonts w:asciiTheme="minorHAnsi" w:hAnsiTheme="minorHAnsi" w:cstheme="minorHAnsi"/>
        </w:rPr>
        <w:t>¿Puede confirmarse si, en estas circunstancias, es obligatorio disponer del SOVI para cumplir los requisitos del Open House o si resulta suficiente la póliza de seguro de vehículos exigida con carácter general ya que nos está resultando difícil que las aseguradoras donde tenemos el seguro obligatorio a terceros nos ofrezcan este seguro?</w:t>
      </w:r>
    </w:p>
    <w:p w:rsidR="00C0632A" w:rsidRDefault="00C0632A" w:rsidP="00C0632A">
      <w:pPr>
        <w:rPr>
          <w:sz w:val="24"/>
          <w:szCs w:val="24"/>
        </w:rPr>
      </w:pPr>
    </w:p>
    <w:p w:rsidR="002C726F" w:rsidRPr="002C726F" w:rsidRDefault="002C726F" w:rsidP="002C726F">
      <w:pPr>
        <w:spacing w:before="120" w:after="120"/>
        <w:jc w:val="both"/>
        <w:rPr>
          <w:rFonts w:asciiTheme="minorHAnsi" w:hAnsiTheme="minorHAnsi" w:cstheme="minorHAnsi"/>
          <w:color w:val="548DD4" w:themeColor="text2" w:themeTint="99"/>
        </w:rPr>
      </w:pPr>
      <w:r w:rsidRPr="002C726F">
        <w:rPr>
          <w:rFonts w:asciiTheme="minorHAnsi" w:hAnsiTheme="minorHAnsi" w:cstheme="minorHAnsi"/>
          <w:color w:val="548DD4" w:themeColor="text2" w:themeTint="99"/>
        </w:rPr>
        <w:t>El Real Decreto 1575/1989, de 22 de diciembre, por el que se aprueba el Reglamento del Seguro Obligatorio de Viajeros establece que dicho seguro tiene carácter obligatorio para los medios de transporte público de personas en vehículos de capacidad superior a nueve plazas y asimismo para los de carácter privado, cuando el transporte que en los mismos se realice sea público.</w:t>
      </w:r>
    </w:p>
    <w:p w:rsidR="002C726F" w:rsidRPr="002C726F" w:rsidRDefault="002C726F" w:rsidP="002C726F">
      <w:pPr>
        <w:spacing w:before="120" w:after="120"/>
        <w:jc w:val="both"/>
        <w:rPr>
          <w:rFonts w:asciiTheme="minorHAnsi" w:hAnsiTheme="minorHAnsi" w:cstheme="minorHAnsi"/>
          <w:color w:val="548DD4" w:themeColor="text2" w:themeTint="99"/>
        </w:rPr>
      </w:pPr>
      <w:r w:rsidRPr="002C726F">
        <w:rPr>
          <w:rFonts w:asciiTheme="minorHAnsi" w:hAnsiTheme="minorHAnsi" w:cstheme="minorHAnsi"/>
          <w:color w:val="548DD4" w:themeColor="text2" w:themeTint="99"/>
        </w:rPr>
        <w:t xml:space="preserve">Se consideran como transportes privados de acuerdo con el artículo 62 y 102 de la Ley de Ordenación de los Transportes Terrestres, aquellos que se llevan a cabo por cuenta propia, bien sea para satisfacer necesidades particulares, bien como complemento de otras actividades principales realizadas por empresas o establecimientos del mismo sujeto, y directamente vinculados al desarrollo de dichas actividades. </w:t>
      </w:r>
    </w:p>
    <w:p w:rsidR="002C726F" w:rsidRPr="002C726F" w:rsidRDefault="002C726F" w:rsidP="002C726F">
      <w:pPr>
        <w:spacing w:before="120" w:after="120"/>
        <w:jc w:val="both"/>
        <w:rPr>
          <w:rFonts w:asciiTheme="minorHAnsi" w:hAnsiTheme="minorHAnsi" w:cstheme="minorHAnsi"/>
          <w:color w:val="548DD4" w:themeColor="text2" w:themeTint="99"/>
        </w:rPr>
      </w:pPr>
      <w:r w:rsidRPr="002C726F">
        <w:rPr>
          <w:rFonts w:asciiTheme="minorHAnsi" w:hAnsiTheme="minorHAnsi" w:cstheme="minorHAnsi"/>
          <w:color w:val="548DD4" w:themeColor="text2" w:themeTint="99"/>
        </w:rPr>
        <w:t>Por tanto, en el presente supuesto la obligatoriedad de disponer del Seguro Obligatorio de Viajeros (SOVI), dependerá de quién preste efectivamente el servicio de transporte de los usuarios, ya que</w:t>
      </w:r>
      <w:r w:rsidRPr="002C726F">
        <w:rPr>
          <w:rFonts w:asciiTheme="minorHAnsi" w:hAnsiTheme="minorHAnsi" w:cstheme="minorHAnsi"/>
          <w:b/>
          <w:color w:val="548DD4" w:themeColor="text2" w:themeTint="99"/>
        </w:rPr>
        <w:t>, si lo realiza la propia entidad asistencial como actividad accesoria</w:t>
      </w:r>
      <w:r w:rsidRPr="002C726F">
        <w:rPr>
          <w:rFonts w:asciiTheme="minorHAnsi" w:hAnsiTheme="minorHAnsi" w:cstheme="minorHAnsi"/>
          <w:color w:val="548DD4" w:themeColor="text2" w:themeTint="99"/>
        </w:rPr>
        <w:t xml:space="preserve"> de su actividad principal (residencia, centro de día …) y los vehículos y conductores están integrados en la organización de la misma, se consideraría como un transporte privado complementario (autorización VPC), y por tanto, no sería obligatorio, conforme a la citada normativa, el Seguro Obligatorio de Viajeros (SOVI).</w:t>
      </w:r>
    </w:p>
    <w:p w:rsidR="002C726F" w:rsidRPr="002C726F" w:rsidRDefault="002C726F" w:rsidP="002C726F">
      <w:pPr>
        <w:spacing w:before="120" w:after="120"/>
        <w:jc w:val="both"/>
        <w:rPr>
          <w:rFonts w:asciiTheme="minorHAnsi" w:hAnsiTheme="minorHAnsi" w:cstheme="minorHAnsi"/>
          <w:color w:val="548DD4" w:themeColor="text2" w:themeTint="99"/>
        </w:rPr>
      </w:pPr>
    </w:p>
    <w:p w:rsidR="00C0632A" w:rsidRPr="002C726F" w:rsidRDefault="002C726F" w:rsidP="002C726F">
      <w:pPr>
        <w:spacing w:before="120" w:after="120"/>
        <w:jc w:val="both"/>
        <w:rPr>
          <w:rFonts w:asciiTheme="minorHAnsi" w:hAnsiTheme="minorHAnsi" w:cstheme="minorHAnsi"/>
          <w:color w:val="548DD4" w:themeColor="text2" w:themeTint="99"/>
        </w:rPr>
      </w:pPr>
      <w:r w:rsidRPr="002C726F">
        <w:rPr>
          <w:rFonts w:asciiTheme="minorHAnsi" w:hAnsiTheme="minorHAnsi" w:cstheme="minorHAnsi"/>
          <w:color w:val="548DD4" w:themeColor="text2" w:themeTint="99"/>
        </w:rPr>
        <w:t>Sin embargo</w:t>
      </w:r>
      <w:r w:rsidRPr="002C726F">
        <w:rPr>
          <w:rFonts w:asciiTheme="minorHAnsi" w:hAnsiTheme="minorHAnsi" w:cstheme="minorHAnsi"/>
          <w:b/>
          <w:color w:val="548DD4" w:themeColor="text2" w:themeTint="99"/>
        </w:rPr>
        <w:t>, si la entidad asistencial recurre a contratar a una empresa o entidad externa</w:t>
      </w:r>
      <w:r w:rsidRPr="002C726F">
        <w:rPr>
          <w:rFonts w:asciiTheme="minorHAnsi" w:hAnsiTheme="minorHAnsi" w:cstheme="minorHAnsi"/>
          <w:color w:val="548DD4" w:themeColor="text2" w:themeTint="99"/>
        </w:rPr>
        <w:t xml:space="preserve"> para realizar el transporte de sus usuarios en vehículos con capacidad superior a nueve plazas </w:t>
      </w:r>
      <w:r w:rsidRPr="002C726F">
        <w:rPr>
          <w:rFonts w:asciiTheme="minorHAnsi" w:hAnsiTheme="minorHAnsi" w:cstheme="minorHAnsi"/>
          <w:color w:val="548DD4" w:themeColor="text2" w:themeTint="99"/>
        </w:rPr>
        <w:lastRenderedPageBreak/>
        <w:t>o realiza el servicio de transporte para otra entidad, ésta empresa o entidad sí deberá contar con el Seguro Obligatorio de Viajeros (SOVI).</w:t>
      </w:r>
      <w:bookmarkStart w:id="0" w:name="_GoBack"/>
      <w:bookmarkEnd w:id="0"/>
    </w:p>
    <w:sectPr w:rsidR="00C0632A" w:rsidRPr="002C72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51320"/>
    <w:multiLevelType w:val="hybridMultilevel"/>
    <w:tmpl w:val="D02479EE"/>
    <w:lvl w:ilvl="0" w:tplc="25F0AE10">
      <w:start w:val="1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B9B160D"/>
    <w:multiLevelType w:val="hybridMultilevel"/>
    <w:tmpl w:val="2C9A55A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2D9E4963"/>
    <w:multiLevelType w:val="hybridMultilevel"/>
    <w:tmpl w:val="B4A80F3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0706475"/>
    <w:multiLevelType w:val="multilevel"/>
    <w:tmpl w:val="5C8A9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6016C7"/>
    <w:multiLevelType w:val="multilevel"/>
    <w:tmpl w:val="FDFC3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4E75AD"/>
    <w:multiLevelType w:val="hybridMultilevel"/>
    <w:tmpl w:val="1CB81EDE"/>
    <w:lvl w:ilvl="0" w:tplc="0C0A0011">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num w:numId="1">
    <w:abstractNumId w:val="1"/>
  </w:num>
  <w:num w:numId="2">
    <w:abstractNumId w:val="3"/>
  </w:num>
  <w:num w:numId="3">
    <w:abstractNumId w:val="4"/>
  </w:num>
  <w:num w:numId="4">
    <w:abstractNumId w:val="1"/>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16A"/>
    <w:rsid w:val="00005AA0"/>
    <w:rsid w:val="000221F0"/>
    <w:rsid w:val="00116BF1"/>
    <w:rsid w:val="001B0928"/>
    <w:rsid w:val="001B3154"/>
    <w:rsid w:val="001E085E"/>
    <w:rsid w:val="00217DDE"/>
    <w:rsid w:val="00222859"/>
    <w:rsid w:val="00262542"/>
    <w:rsid w:val="00276D9D"/>
    <w:rsid w:val="002C726F"/>
    <w:rsid w:val="002F395A"/>
    <w:rsid w:val="0035098F"/>
    <w:rsid w:val="00397C1A"/>
    <w:rsid w:val="003A135D"/>
    <w:rsid w:val="004A2DB2"/>
    <w:rsid w:val="00524C3E"/>
    <w:rsid w:val="0059148A"/>
    <w:rsid w:val="005C63C0"/>
    <w:rsid w:val="0067469C"/>
    <w:rsid w:val="00727858"/>
    <w:rsid w:val="00767D1C"/>
    <w:rsid w:val="007B772E"/>
    <w:rsid w:val="007D6AD2"/>
    <w:rsid w:val="008014B6"/>
    <w:rsid w:val="0085216A"/>
    <w:rsid w:val="008E2A31"/>
    <w:rsid w:val="0090022D"/>
    <w:rsid w:val="009453E3"/>
    <w:rsid w:val="009774CC"/>
    <w:rsid w:val="009D2A26"/>
    <w:rsid w:val="009E71E2"/>
    <w:rsid w:val="00A70328"/>
    <w:rsid w:val="00A77F57"/>
    <w:rsid w:val="00AE2FE6"/>
    <w:rsid w:val="00B21217"/>
    <w:rsid w:val="00B22173"/>
    <w:rsid w:val="00B349C3"/>
    <w:rsid w:val="00B65DAB"/>
    <w:rsid w:val="00B82993"/>
    <w:rsid w:val="00C0632A"/>
    <w:rsid w:val="00C35DDA"/>
    <w:rsid w:val="00D02D23"/>
    <w:rsid w:val="00D872B1"/>
    <w:rsid w:val="00EB5EDD"/>
    <w:rsid w:val="00F151C5"/>
    <w:rsid w:val="00F251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CBBD9"/>
  <w15:chartTrackingRefBased/>
  <w15:docId w15:val="{E3712DF3-CB38-48D7-9E3C-9A96B0A51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542"/>
    <w:pPr>
      <w:spacing w:after="0" w:line="240" w:lineRule="auto"/>
    </w:pPr>
    <w:rPr>
      <w:rFonts w:ascii="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62542"/>
    <w:rPr>
      <w:color w:val="0000FF"/>
      <w:u w:val="single"/>
    </w:rPr>
  </w:style>
  <w:style w:type="paragraph" w:styleId="Prrafodelista">
    <w:name w:val="List Paragraph"/>
    <w:basedOn w:val="Normal"/>
    <w:uiPriority w:val="99"/>
    <w:qFormat/>
    <w:rsid w:val="00262542"/>
    <w:pPr>
      <w:ind w:left="720"/>
    </w:pPr>
  </w:style>
  <w:style w:type="character" w:styleId="Textoennegrita">
    <w:name w:val="Strong"/>
    <w:basedOn w:val="Fuentedeprrafopredeter"/>
    <w:uiPriority w:val="22"/>
    <w:qFormat/>
    <w:rsid w:val="00524C3E"/>
    <w:rPr>
      <w:b/>
      <w:bCs/>
    </w:rPr>
  </w:style>
  <w:style w:type="character" w:styleId="nfasis">
    <w:name w:val="Emphasis"/>
    <w:basedOn w:val="Fuentedeprrafopredeter"/>
    <w:uiPriority w:val="20"/>
    <w:qFormat/>
    <w:rsid w:val="00524C3E"/>
    <w:rPr>
      <w:i/>
      <w:iCs/>
    </w:rPr>
  </w:style>
  <w:style w:type="paragraph" w:styleId="Textoindependiente">
    <w:name w:val="Body Text"/>
    <w:basedOn w:val="Normal"/>
    <w:link w:val="TextoindependienteCar"/>
    <w:uiPriority w:val="1"/>
    <w:qFormat/>
    <w:rsid w:val="00524C3E"/>
    <w:pPr>
      <w:widowControl w:val="0"/>
      <w:autoSpaceDE w:val="0"/>
      <w:autoSpaceDN w:val="0"/>
    </w:pPr>
    <w:rPr>
      <w:rFonts w:ascii="Arial MT" w:eastAsia="Arial MT" w:hAnsi="Arial MT" w:cs="Arial MT"/>
      <w:sz w:val="24"/>
      <w:szCs w:val="24"/>
    </w:rPr>
  </w:style>
  <w:style w:type="character" w:customStyle="1" w:styleId="TextoindependienteCar">
    <w:name w:val="Texto independiente Car"/>
    <w:basedOn w:val="Fuentedeprrafopredeter"/>
    <w:link w:val="Textoindependiente"/>
    <w:uiPriority w:val="1"/>
    <w:rsid w:val="00524C3E"/>
    <w:rPr>
      <w:rFonts w:ascii="Arial MT" w:eastAsia="Arial MT" w:hAnsi="Arial MT" w:cs="Arial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82244">
      <w:bodyDiv w:val="1"/>
      <w:marLeft w:val="0"/>
      <w:marRight w:val="0"/>
      <w:marTop w:val="0"/>
      <w:marBottom w:val="0"/>
      <w:divBdr>
        <w:top w:val="none" w:sz="0" w:space="0" w:color="auto"/>
        <w:left w:val="none" w:sz="0" w:space="0" w:color="auto"/>
        <w:bottom w:val="none" w:sz="0" w:space="0" w:color="auto"/>
        <w:right w:val="none" w:sz="0" w:space="0" w:color="auto"/>
      </w:divBdr>
    </w:div>
    <w:div w:id="45030261">
      <w:bodyDiv w:val="1"/>
      <w:marLeft w:val="0"/>
      <w:marRight w:val="0"/>
      <w:marTop w:val="0"/>
      <w:marBottom w:val="0"/>
      <w:divBdr>
        <w:top w:val="none" w:sz="0" w:space="0" w:color="auto"/>
        <w:left w:val="none" w:sz="0" w:space="0" w:color="auto"/>
        <w:bottom w:val="none" w:sz="0" w:space="0" w:color="auto"/>
        <w:right w:val="none" w:sz="0" w:space="0" w:color="auto"/>
      </w:divBdr>
    </w:div>
    <w:div w:id="221061301">
      <w:bodyDiv w:val="1"/>
      <w:marLeft w:val="0"/>
      <w:marRight w:val="0"/>
      <w:marTop w:val="0"/>
      <w:marBottom w:val="0"/>
      <w:divBdr>
        <w:top w:val="none" w:sz="0" w:space="0" w:color="auto"/>
        <w:left w:val="none" w:sz="0" w:space="0" w:color="auto"/>
        <w:bottom w:val="none" w:sz="0" w:space="0" w:color="auto"/>
        <w:right w:val="none" w:sz="0" w:space="0" w:color="auto"/>
      </w:divBdr>
    </w:div>
    <w:div w:id="402220893">
      <w:bodyDiv w:val="1"/>
      <w:marLeft w:val="0"/>
      <w:marRight w:val="0"/>
      <w:marTop w:val="0"/>
      <w:marBottom w:val="0"/>
      <w:divBdr>
        <w:top w:val="none" w:sz="0" w:space="0" w:color="auto"/>
        <w:left w:val="none" w:sz="0" w:space="0" w:color="auto"/>
        <w:bottom w:val="none" w:sz="0" w:space="0" w:color="auto"/>
        <w:right w:val="none" w:sz="0" w:space="0" w:color="auto"/>
      </w:divBdr>
    </w:div>
    <w:div w:id="517233734">
      <w:bodyDiv w:val="1"/>
      <w:marLeft w:val="0"/>
      <w:marRight w:val="0"/>
      <w:marTop w:val="0"/>
      <w:marBottom w:val="0"/>
      <w:divBdr>
        <w:top w:val="none" w:sz="0" w:space="0" w:color="auto"/>
        <w:left w:val="none" w:sz="0" w:space="0" w:color="auto"/>
        <w:bottom w:val="none" w:sz="0" w:space="0" w:color="auto"/>
        <w:right w:val="none" w:sz="0" w:space="0" w:color="auto"/>
      </w:divBdr>
    </w:div>
    <w:div w:id="528878180">
      <w:bodyDiv w:val="1"/>
      <w:marLeft w:val="0"/>
      <w:marRight w:val="0"/>
      <w:marTop w:val="0"/>
      <w:marBottom w:val="0"/>
      <w:divBdr>
        <w:top w:val="none" w:sz="0" w:space="0" w:color="auto"/>
        <w:left w:val="none" w:sz="0" w:space="0" w:color="auto"/>
        <w:bottom w:val="none" w:sz="0" w:space="0" w:color="auto"/>
        <w:right w:val="none" w:sz="0" w:space="0" w:color="auto"/>
      </w:divBdr>
    </w:div>
    <w:div w:id="672685479">
      <w:bodyDiv w:val="1"/>
      <w:marLeft w:val="0"/>
      <w:marRight w:val="0"/>
      <w:marTop w:val="0"/>
      <w:marBottom w:val="0"/>
      <w:divBdr>
        <w:top w:val="none" w:sz="0" w:space="0" w:color="auto"/>
        <w:left w:val="none" w:sz="0" w:space="0" w:color="auto"/>
        <w:bottom w:val="none" w:sz="0" w:space="0" w:color="auto"/>
        <w:right w:val="none" w:sz="0" w:space="0" w:color="auto"/>
      </w:divBdr>
    </w:div>
    <w:div w:id="990331653">
      <w:bodyDiv w:val="1"/>
      <w:marLeft w:val="0"/>
      <w:marRight w:val="0"/>
      <w:marTop w:val="0"/>
      <w:marBottom w:val="0"/>
      <w:divBdr>
        <w:top w:val="none" w:sz="0" w:space="0" w:color="auto"/>
        <w:left w:val="none" w:sz="0" w:space="0" w:color="auto"/>
        <w:bottom w:val="none" w:sz="0" w:space="0" w:color="auto"/>
        <w:right w:val="none" w:sz="0" w:space="0" w:color="auto"/>
      </w:divBdr>
    </w:div>
    <w:div w:id="990985698">
      <w:bodyDiv w:val="1"/>
      <w:marLeft w:val="0"/>
      <w:marRight w:val="0"/>
      <w:marTop w:val="0"/>
      <w:marBottom w:val="0"/>
      <w:divBdr>
        <w:top w:val="none" w:sz="0" w:space="0" w:color="auto"/>
        <w:left w:val="none" w:sz="0" w:space="0" w:color="auto"/>
        <w:bottom w:val="none" w:sz="0" w:space="0" w:color="auto"/>
        <w:right w:val="none" w:sz="0" w:space="0" w:color="auto"/>
      </w:divBdr>
    </w:div>
    <w:div w:id="1327130340">
      <w:bodyDiv w:val="1"/>
      <w:marLeft w:val="0"/>
      <w:marRight w:val="0"/>
      <w:marTop w:val="0"/>
      <w:marBottom w:val="0"/>
      <w:divBdr>
        <w:top w:val="none" w:sz="0" w:space="0" w:color="auto"/>
        <w:left w:val="none" w:sz="0" w:space="0" w:color="auto"/>
        <w:bottom w:val="none" w:sz="0" w:space="0" w:color="auto"/>
        <w:right w:val="none" w:sz="0" w:space="0" w:color="auto"/>
      </w:divBdr>
    </w:div>
    <w:div w:id="1364861919">
      <w:bodyDiv w:val="1"/>
      <w:marLeft w:val="0"/>
      <w:marRight w:val="0"/>
      <w:marTop w:val="0"/>
      <w:marBottom w:val="0"/>
      <w:divBdr>
        <w:top w:val="none" w:sz="0" w:space="0" w:color="auto"/>
        <w:left w:val="none" w:sz="0" w:space="0" w:color="auto"/>
        <w:bottom w:val="none" w:sz="0" w:space="0" w:color="auto"/>
        <w:right w:val="none" w:sz="0" w:space="0" w:color="auto"/>
      </w:divBdr>
    </w:div>
    <w:div w:id="1371343278">
      <w:bodyDiv w:val="1"/>
      <w:marLeft w:val="0"/>
      <w:marRight w:val="0"/>
      <w:marTop w:val="0"/>
      <w:marBottom w:val="0"/>
      <w:divBdr>
        <w:top w:val="none" w:sz="0" w:space="0" w:color="auto"/>
        <w:left w:val="none" w:sz="0" w:space="0" w:color="auto"/>
        <w:bottom w:val="none" w:sz="0" w:space="0" w:color="auto"/>
        <w:right w:val="none" w:sz="0" w:space="0" w:color="auto"/>
      </w:divBdr>
    </w:div>
    <w:div w:id="1499273733">
      <w:bodyDiv w:val="1"/>
      <w:marLeft w:val="0"/>
      <w:marRight w:val="0"/>
      <w:marTop w:val="0"/>
      <w:marBottom w:val="0"/>
      <w:divBdr>
        <w:top w:val="none" w:sz="0" w:space="0" w:color="auto"/>
        <w:left w:val="none" w:sz="0" w:space="0" w:color="auto"/>
        <w:bottom w:val="none" w:sz="0" w:space="0" w:color="auto"/>
        <w:right w:val="none" w:sz="0" w:space="0" w:color="auto"/>
      </w:divBdr>
    </w:div>
    <w:div w:id="1794521238">
      <w:bodyDiv w:val="1"/>
      <w:marLeft w:val="0"/>
      <w:marRight w:val="0"/>
      <w:marTop w:val="0"/>
      <w:marBottom w:val="0"/>
      <w:divBdr>
        <w:top w:val="none" w:sz="0" w:space="0" w:color="auto"/>
        <w:left w:val="none" w:sz="0" w:space="0" w:color="auto"/>
        <w:bottom w:val="none" w:sz="0" w:space="0" w:color="auto"/>
        <w:right w:val="none" w:sz="0" w:space="0" w:color="auto"/>
      </w:divBdr>
    </w:div>
    <w:div w:id="1955020045">
      <w:bodyDiv w:val="1"/>
      <w:marLeft w:val="0"/>
      <w:marRight w:val="0"/>
      <w:marTop w:val="0"/>
      <w:marBottom w:val="0"/>
      <w:divBdr>
        <w:top w:val="none" w:sz="0" w:space="0" w:color="auto"/>
        <w:left w:val="none" w:sz="0" w:space="0" w:color="auto"/>
        <w:bottom w:val="none" w:sz="0" w:space="0" w:color="auto"/>
        <w:right w:val="none" w:sz="0" w:space="0" w:color="auto"/>
      </w:divBdr>
    </w:div>
    <w:div w:id="204396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563</TotalTime>
  <Pages>9</Pages>
  <Words>2941</Words>
  <Characters>16177</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19080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Rubio Ortega, Cristina (ANADP)</dc:creator>
  <cp:keywords/>
  <dc:description/>
  <cp:lastModifiedBy>Sainz de Vicuña Gil, Nieves (ANADP)</cp:lastModifiedBy>
  <cp:revision>28</cp:revision>
  <dcterms:created xsi:type="dcterms:W3CDTF">2026-09-17T09:51:00Z</dcterms:created>
  <dcterms:modified xsi:type="dcterms:W3CDTF">2026-09-25T07:39:00Z</dcterms:modified>
</cp:coreProperties>
</file>