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13077" w14:textId="4211EE2F" w:rsidR="00BB04E8" w:rsidRPr="00EC6664" w:rsidRDefault="00BB04E8" w:rsidP="0069562F">
      <w:pPr>
        <w:rPr>
          <w:rFonts w:ascii="Aptos" w:hAnsi="Aptos"/>
        </w:rPr>
      </w:pPr>
    </w:p>
    <w:p w14:paraId="1387E9F6" w14:textId="726F1858" w:rsidR="0069562F" w:rsidRPr="00DD7BCB" w:rsidRDefault="0012393D" w:rsidP="0069562F">
      <w:pPr>
        <w:pStyle w:val="Ttulo1"/>
        <w:rPr>
          <w:rFonts w:ascii="Arial" w:hAnsi="Arial" w:cs="Arial"/>
        </w:rPr>
      </w:pPr>
      <w:r>
        <w:rPr>
          <w:rFonts w:ascii="Arial" w:hAnsi="Arial" w:cs="Arial"/>
        </w:rPr>
        <w:t>P</w:t>
      </w:r>
      <w:r w:rsidR="000A1814">
        <w:rPr>
          <w:rFonts w:ascii="Arial" w:hAnsi="Arial" w:cs="Arial"/>
        </w:rPr>
        <w:t>reguntas</w:t>
      </w:r>
      <w:r>
        <w:rPr>
          <w:rFonts w:ascii="Arial" w:hAnsi="Arial" w:cs="Arial"/>
        </w:rPr>
        <w:t xml:space="preserve"> sobre los pliegos</w:t>
      </w:r>
    </w:p>
    <w:p w14:paraId="1DAAD0E9" w14:textId="77777777" w:rsidR="00E9526C" w:rsidRPr="00DD7BCB" w:rsidRDefault="00E9526C" w:rsidP="00424C0F"/>
    <w:p w14:paraId="4A9EFE0A" w14:textId="77777777" w:rsidR="000E20B4" w:rsidRPr="000E20B4" w:rsidRDefault="000E20B4" w:rsidP="000E20B4">
      <w:pPr>
        <w:rPr>
          <w:rFonts w:ascii="Aptos" w:hAnsi="Aptos"/>
        </w:rPr>
      </w:pPr>
      <w:r w:rsidRPr="000E20B4">
        <w:rPr>
          <w:rFonts w:ascii="Aptos" w:hAnsi="Aptos"/>
        </w:rPr>
        <w:t xml:space="preserve">En base a la respuesta de la pregunta contestada el 4 de febrero: </w:t>
      </w:r>
    </w:p>
    <w:p w14:paraId="50849654" w14:textId="16BA8765" w:rsidR="000E20B4" w:rsidRPr="000E20B4" w:rsidRDefault="000E20B4" w:rsidP="000E20B4">
      <w:pPr>
        <w:pStyle w:val="Prrafodelista"/>
        <w:rPr>
          <w:rFonts w:ascii="Aptos" w:hAnsi="Aptos"/>
        </w:rPr>
      </w:pPr>
      <w:proofErr w:type="gramStart"/>
      <w:r>
        <w:rPr>
          <w:rFonts w:ascii="Aptos" w:hAnsi="Aptos"/>
        </w:rPr>
        <w:t>“</w:t>
      </w:r>
      <w:r w:rsidRPr="000E20B4">
        <w:rPr>
          <w:rFonts w:ascii="Aptos" w:hAnsi="Aptos"/>
        </w:rPr>
        <w:t xml:space="preserve"> En</w:t>
      </w:r>
      <w:proofErr w:type="gramEnd"/>
      <w:r w:rsidRPr="000E20B4">
        <w:rPr>
          <w:rFonts w:ascii="Aptos" w:hAnsi="Aptos"/>
        </w:rPr>
        <w:t xml:space="preserve"> la página 29 en el punto 3 EXPERIENCIA se menciona: Experiencia del personal adscrito a la ejecución del contrato en realización de servicios de apoyo en destino para empresas, de entre los que se licitan, en el país del lote al que se opta, en los últimos 5 años (no se deben indicar los que se presenten para cumplir los criterios de solvencia, puesto que no puntuaran en ese apartado). ¿A qué se refieren con lo indicado entre paréntesis?</w:t>
      </w:r>
    </w:p>
    <w:p w14:paraId="09880669" w14:textId="77777777" w:rsidR="000E20B4" w:rsidRPr="000E20B4" w:rsidRDefault="000E20B4" w:rsidP="000E20B4">
      <w:pPr>
        <w:pStyle w:val="Prrafodelista"/>
        <w:rPr>
          <w:rFonts w:ascii="Aptos" w:hAnsi="Aptos"/>
        </w:rPr>
      </w:pPr>
    </w:p>
    <w:p w14:paraId="426AA138" w14:textId="77777777" w:rsidR="000E20B4" w:rsidRPr="000E20B4" w:rsidRDefault="000E20B4" w:rsidP="000E20B4">
      <w:pPr>
        <w:pStyle w:val="Prrafodelista"/>
        <w:rPr>
          <w:rFonts w:ascii="Aptos" w:hAnsi="Aptos"/>
          <w:i/>
          <w:iCs/>
        </w:rPr>
      </w:pPr>
      <w:r w:rsidRPr="000E20B4">
        <w:rPr>
          <w:rFonts w:ascii="Aptos" w:hAnsi="Aptos"/>
          <w:i/>
          <w:iCs/>
        </w:rPr>
        <w:t>Respuesta: Para poder optar al contrato, en el apartado 2 del punto 11 del pliego sobre la “Solvencia técnica o profesional”, se dispone lo siguiente:</w:t>
      </w:r>
    </w:p>
    <w:p w14:paraId="0FB7A83B" w14:textId="77777777" w:rsidR="000E20B4" w:rsidRPr="000E20B4" w:rsidRDefault="000E20B4" w:rsidP="000E20B4">
      <w:pPr>
        <w:pStyle w:val="Prrafodelista"/>
        <w:rPr>
          <w:rFonts w:ascii="Aptos" w:hAnsi="Aptos"/>
          <w:i/>
          <w:iCs/>
        </w:rPr>
      </w:pPr>
      <w:r w:rsidRPr="000E20B4">
        <w:rPr>
          <w:rFonts w:ascii="Aptos" w:hAnsi="Aptos"/>
          <w:i/>
          <w:iCs/>
        </w:rPr>
        <w:t xml:space="preserve">“Experiencia del equipo asignado al proyecto </w:t>
      </w:r>
    </w:p>
    <w:p w14:paraId="13BD8C78" w14:textId="77777777" w:rsidR="000E20B4" w:rsidRPr="000E20B4" w:rsidRDefault="000E20B4" w:rsidP="000E20B4">
      <w:pPr>
        <w:pStyle w:val="Prrafodelista"/>
        <w:rPr>
          <w:rFonts w:ascii="Aptos" w:hAnsi="Aptos"/>
          <w:i/>
          <w:iCs/>
        </w:rPr>
      </w:pPr>
    </w:p>
    <w:p w14:paraId="69C29170" w14:textId="77777777" w:rsidR="000E20B4" w:rsidRPr="000E20B4" w:rsidRDefault="000E20B4" w:rsidP="000E20B4">
      <w:pPr>
        <w:pStyle w:val="Prrafodelista"/>
        <w:rPr>
          <w:rFonts w:ascii="Aptos" w:hAnsi="Aptos"/>
          <w:i/>
          <w:iCs/>
        </w:rPr>
      </w:pPr>
      <w:r w:rsidRPr="000E20B4">
        <w:rPr>
          <w:rFonts w:ascii="Aptos" w:hAnsi="Aptos"/>
          <w:i/>
          <w:iCs/>
        </w:rPr>
        <w:t>Será requisito que las personas del equipo asignado dispongan de experiencia anterior (directa, contrastada y demostrable) en los servicios de apoyo en destino que se licitan en cada uno de los 3 últimos años (2022, 2023 y 2024). En concreto, será necesario que cada uno de los perfiles exigidos haya realizado un mínimo de 25 servicios de apoyo a la internacionalización, correspondientes a las labores del perfil exigido que cubran, durante los 3 últimos años (2022, 2023 y 2024).”</w:t>
      </w:r>
    </w:p>
    <w:p w14:paraId="68525837" w14:textId="77777777" w:rsidR="000E20B4" w:rsidRPr="000E20B4" w:rsidRDefault="000E20B4" w:rsidP="000E20B4">
      <w:pPr>
        <w:pStyle w:val="Prrafodelista"/>
        <w:rPr>
          <w:rFonts w:ascii="Aptos" w:hAnsi="Aptos"/>
          <w:i/>
          <w:iCs/>
        </w:rPr>
      </w:pPr>
      <w:r w:rsidRPr="000E20B4">
        <w:rPr>
          <w:rFonts w:ascii="Aptos" w:hAnsi="Aptos"/>
          <w:i/>
          <w:iCs/>
        </w:rPr>
        <w:t xml:space="preserve">El párrafo indicado en la pregunta “No se deben indicar los que se presenten para cumplir los criterios de solvencia, puesto que no puntuaran en ese apartado” quiere decir que aquellos servicios presentados para cumplir con la solvencia técnica o profesional indicada en el párrafo, NO se tienen en cuenta a la hora de sumar puntos en el punto referido a la “Experiencia” de los criterios a valorar mediante fórmulas.  </w:t>
      </w:r>
    </w:p>
    <w:p w14:paraId="62C036B2" w14:textId="77777777" w:rsidR="000E20B4" w:rsidRDefault="000E20B4" w:rsidP="000E20B4">
      <w:pPr>
        <w:pStyle w:val="Prrafodelista"/>
        <w:rPr>
          <w:rFonts w:ascii="Aptos" w:hAnsi="Aptos"/>
        </w:rPr>
      </w:pPr>
    </w:p>
    <w:p w14:paraId="12CBD244" w14:textId="7ABB395A" w:rsidR="003F1838" w:rsidRPr="008B11B3" w:rsidRDefault="003F1838" w:rsidP="00D545BB">
      <w:pPr>
        <w:rPr>
          <w:rFonts w:ascii="Aptos" w:hAnsi="Aptos"/>
          <w:b/>
          <w:bCs/>
        </w:rPr>
      </w:pPr>
    </w:p>
    <w:p w14:paraId="581D67BA" w14:textId="0D4C0A15" w:rsidR="0016488E" w:rsidRDefault="0016488E" w:rsidP="00B355B8">
      <w:pPr>
        <w:pStyle w:val="Prrafodelista"/>
        <w:numPr>
          <w:ilvl w:val="0"/>
          <w:numId w:val="17"/>
        </w:numPr>
        <w:spacing w:after="160" w:line="259" w:lineRule="auto"/>
        <w:jc w:val="both"/>
        <w:rPr>
          <w:rFonts w:ascii="Aptos" w:hAnsi="Aptos" w:cs="Arial"/>
          <w:b/>
          <w:bCs/>
          <w:szCs w:val="20"/>
        </w:rPr>
      </w:pPr>
      <w:r w:rsidRPr="00B355B8">
        <w:rPr>
          <w:rFonts w:ascii="Aptos" w:hAnsi="Aptos" w:cs="Arial"/>
          <w:b/>
          <w:bCs/>
          <w:szCs w:val="20"/>
        </w:rPr>
        <w:t>En el entendido que la solvencia técnica y profesional se debe acreditar</w:t>
      </w:r>
      <w:r w:rsidR="00C71987" w:rsidRPr="00B355B8">
        <w:rPr>
          <w:rFonts w:ascii="Aptos" w:hAnsi="Aptos" w:cs="Arial"/>
          <w:b/>
          <w:bCs/>
          <w:szCs w:val="20"/>
        </w:rPr>
        <w:t xml:space="preserve"> por perfil </w:t>
      </w:r>
      <w:r w:rsidR="00366E61" w:rsidRPr="00B355B8">
        <w:rPr>
          <w:rFonts w:ascii="Aptos" w:hAnsi="Aptos" w:cs="Arial"/>
          <w:b/>
          <w:bCs/>
          <w:szCs w:val="20"/>
        </w:rPr>
        <w:t xml:space="preserve">con </w:t>
      </w:r>
      <w:r w:rsidRPr="00B355B8">
        <w:rPr>
          <w:rFonts w:ascii="Aptos" w:hAnsi="Aptos" w:cs="Arial"/>
          <w:b/>
          <w:bCs/>
          <w:szCs w:val="20"/>
        </w:rPr>
        <w:t xml:space="preserve">al menos 25 servicios diferentes a los 75 servicios que se presentan el sobre 2 para la valoración mediante </w:t>
      </w:r>
      <w:proofErr w:type="spellStart"/>
      <w:r w:rsidRPr="00B355B8">
        <w:rPr>
          <w:rFonts w:ascii="Aptos" w:hAnsi="Aptos" w:cs="Arial"/>
          <w:b/>
          <w:bCs/>
          <w:szCs w:val="20"/>
        </w:rPr>
        <w:t>formulas</w:t>
      </w:r>
      <w:proofErr w:type="spellEnd"/>
      <w:r w:rsidRPr="00B355B8">
        <w:rPr>
          <w:rFonts w:ascii="Aptos" w:hAnsi="Aptos" w:cs="Arial"/>
          <w:b/>
          <w:bCs/>
          <w:szCs w:val="20"/>
        </w:rPr>
        <w:t xml:space="preserve"> del equipo. ¿</w:t>
      </w:r>
      <w:r w:rsidR="00C71987" w:rsidRPr="00B355B8">
        <w:rPr>
          <w:rFonts w:ascii="Aptos" w:hAnsi="Aptos" w:cs="Arial"/>
          <w:b/>
          <w:bCs/>
          <w:szCs w:val="20"/>
        </w:rPr>
        <w:t xml:space="preserve">En </w:t>
      </w:r>
      <w:r w:rsidR="000E20B4" w:rsidRPr="00B355B8">
        <w:rPr>
          <w:rFonts w:ascii="Aptos" w:hAnsi="Aptos" w:cs="Arial"/>
          <w:b/>
          <w:bCs/>
          <w:szCs w:val="20"/>
        </w:rPr>
        <w:t>qué</w:t>
      </w:r>
      <w:r w:rsidR="00C71987" w:rsidRPr="00B355B8">
        <w:rPr>
          <w:rFonts w:ascii="Aptos" w:hAnsi="Aptos" w:cs="Arial"/>
          <w:b/>
          <w:bCs/>
          <w:szCs w:val="20"/>
        </w:rPr>
        <w:t xml:space="preserve"> sobre</w:t>
      </w:r>
      <w:r w:rsidRPr="00B355B8">
        <w:rPr>
          <w:rFonts w:ascii="Aptos" w:hAnsi="Aptos" w:cs="Arial"/>
          <w:b/>
          <w:bCs/>
          <w:szCs w:val="20"/>
        </w:rPr>
        <w:t xml:space="preserve"> deben presentarse esos 25 servicios por perfil?</w:t>
      </w:r>
    </w:p>
    <w:p w14:paraId="392B7051" w14:textId="45453545" w:rsidR="00C35468" w:rsidRDefault="00C35468" w:rsidP="00C35468">
      <w:pPr>
        <w:pStyle w:val="Prrafodelista"/>
        <w:spacing w:after="160" w:line="259" w:lineRule="auto"/>
        <w:jc w:val="both"/>
        <w:rPr>
          <w:rFonts w:ascii="Aptos" w:hAnsi="Aptos" w:cs="Arial"/>
          <w:b/>
          <w:bCs/>
          <w:szCs w:val="20"/>
        </w:rPr>
      </w:pPr>
    </w:p>
    <w:p w14:paraId="4E47E1AF" w14:textId="34B756D6" w:rsidR="00C35468" w:rsidRDefault="00C35468" w:rsidP="00C35468">
      <w:pPr>
        <w:pStyle w:val="Prrafodelista"/>
        <w:spacing w:after="160" w:line="259" w:lineRule="auto"/>
        <w:jc w:val="both"/>
        <w:rPr>
          <w:rFonts w:ascii="Aptos" w:hAnsi="Aptos" w:cs="Arial"/>
          <w:bCs/>
          <w:szCs w:val="20"/>
        </w:rPr>
      </w:pPr>
      <w:r>
        <w:rPr>
          <w:rFonts w:ascii="Aptos" w:hAnsi="Aptos" w:cs="Arial"/>
          <w:bCs/>
          <w:szCs w:val="20"/>
        </w:rPr>
        <w:t xml:space="preserve">Existen dos sobres. Sobre nº1 “Declaración responsable y oferta técnica” y sobre nº2 “Proposición a valorar mediante fórmulas”. </w:t>
      </w:r>
    </w:p>
    <w:p w14:paraId="788B138D" w14:textId="7A13F984" w:rsidR="00C35468" w:rsidRDefault="00C35468" w:rsidP="00C35468">
      <w:pPr>
        <w:pStyle w:val="Prrafodelista"/>
        <w:spacing w:after="160" w:line="259" w:lineRule="auto"/>
        <w:jc w:val="both"/>
        <w:rPr>
          <w:rFonts w:ascii="Aptos" w:hAnsi="Aptos" w:cs="Arial"/>
          <w:bCs/>
          <w:szCs w:val="20"/>
        </w:rPr>
      </w:pPr>
    </w:p>
    <w:p w14:paraId="027D71D3" w14:textId="779F3AED" w:rsidR="009617EB" w:rsidRDefault="00C35468" w:rsidP="00C35468">
      <w:pPr>
        <w:pStyle w:val="Prrafodelista"/>
        <w:spacing w:after="160" w:line="259" w:lineRule="auto"/>
        <w:jc w:val="both"/>
        <w:rPr>
          <w:rFonts w:ascii="Aptos" w:hAnsi="Aptos" w:cs="Arial"/>
          <w:bCs/>
          <w:szCs w:val="20"/>
        </w:rPr>
      </w:pPr>
      <w:r>
        <w:rPr>
          <w:rFonts w:ascii="Aptos" w:hAnsi="Aptos" w:cs="Arial"/>
          <w:bCs/>
          <w:szCs w:val="20"/>
        </w:rPr>
        <w:t>En el sobre nº1, debéis rellenar y adjuntar de Documento Europeo Único de Contratación (DEUC); siguiendo las instrucciones del Anexo II</w:t>
      </w:r>
      <w:r w:rsidR="009617EB">
        <w:rPr>
          <w:rFonts w:ascii="Aptos" w:hAnsi="Aptos" w:cs="Arial"/>
          <w:bCs/>
          <w:szCs w:val="20"/>
        </w:rPr>
        <w:t xml:space="preserve"> del pliego, además de vuestra oferta técnica. En un apartado </w:t>
      </w:r>
      <w:r w:rsidR="0085556F">
        <w:rPr>
          <w:rFonts w:ascii="Aptos" w:hAnsi="Aptos" w:cs="Arial"/>
          <w:bCs/>
          <w:szCs w:val="20"/>
        </w:rPr>
        <w:t>del DEUC</w:t>
      </w:r>
      <w:r w:rsidR="009617EB">
        <w:rPr>
          <w:rFonts w:ascii="Aptos" w:hAnsi="Aptos" w:cs="Arial"/>
          <w:bCs/>
          <w:szCs w:val="20"/>
        </w:rPr>
        <w:t>, deberéis indicar que cumplís con todos los criterios de selección requeridos</w:t>
      </w:r>
      <w:r w:rsidR="0085556F">
        <w:rPr>
          <w:rFonts w:ascii="Aptos" w:hAnsi="Aptos" w:cs="Arial"/>
          <w:bCs/>
          <w:szCs w:val="20"/>
        </w:rPr>
        <w:t xml:space="preserve">. </w:t>
      </w:r>
    </w:p>
    <w:p w14:paraId="44765C78" w14:textId="77777777" w:rsidR="009617EB" w:rsidRDefault="009617EB" w:rsidP="00C35468">
      <w:pPr>
        <w:pStyle w:val="Prrafodelista"/>
        <w:spacing w:after="160" w:line="259" w:lineRule="auto"/>
        <w:jc w:val="both"/>
        <w:rPr>
          <w:rFonts w:ascii="Aptos" w:hAnsi="Aptos" w:cs="Arial"/>
          <w:bCs/>
          <w:szCs w:val="20"/>
        </w:rPr>
      </w:pPr>
    </w:p>
    <w:p w14:paraId="6B5831B0" w14:textId="27D6EE95" w:rsidR="00C35468" w:rsidRDefault="009617EB" w:rsidP="00C35468">
      <w:pPr>
        <w:pStyle w:val="Prrafodelista"/>
        <w:spacing w:after="160" w:line="259" w:lineRule="auto"/>
        <w:jc w:val="both"/>
        <w:rPr>
          <w:rFonts w:ascii="Aptos" w:hAnsi="Aptos" w:cs="Arial"/>
          <w:bCs/>
          <w:szCs w:val="20"/>
        </w:rPr>
      </w:pPr>
      <w:r>
        <w:rPr>
          <w:rFonts w:ascii="Aptos" w:hAnsi="Aptos" w:cs="Arial"/>
          <w:bCs/>
          <w:szCs w:val="20"/>
        </w:rPr>
        <w:lastRenderedPageBreak/>
        <w:t xml:space="preserve">En el sobre nº2, debéis rellenar y adjuntar el Anexo III del pliego, </w:t>
      </w:r>
      <w:bookmarkStart w:id="0" w:name="_GoBack"/>
      <w:bookmarkEnd w:id="0"/>
      <w:r>
        <w:rPr>
          <w:rFonts w:ascii="Aptos" w:hAnsi="Aptos" w:cs="Arial"/>
          <w:bCs/>
          <w:szCs w:val="20"/>
        </w:rPr>
        <w:t xml:space="preserve">indicando todos los campos. </w:t>
      </w:r>
    </w:p>
    <w:p w14:paraId="7E277E2C" w14:textId="77777777" w:rsidR="00C35468" w:rsidRDefault="00C35468" w:rsidP="00C35468">
      <w:pPr>
        <w:pStyle w:val="Prrafodelista"/>
        <w:spacing w:after="160" w:line="259" w:lineRule="auto"/>
        <w:jc w:val="both"/>
        <w:rPr>
          <w:rFonts w:ascii="Aptos" w:hAnsi="Aptos" w:cs="Arial"/>
          <w:bCs/>
          <w:szCs w:val="20"/>
        </w:rPr>
      </w:pPr>
    </w:p>
    <w:p w14:paraId="1D53C932" w14:textId="76C2B7C7" w:rsidR="00C35468" w:rsidRDefault="00C35468" w:rsidP="009617EB">
      <w:pPr>
        <w:pStyle w:val="Prrafodelista"/>
        <w:spacing w:after="160" w:line="259" w:lineRule="auto"/>
        <w:jc w:val="both"/>
        <w:rPr>
          <w:rFonts w:ascii="Aptos" w:hAnsi="Aptos" w:cs="Arial"/>
          <w:bCs/>
          <w:szCs w:val="20"/>
        </w:rPr>
      </w:pPr>
      <w:r w:rsidRPr="00C35468">
        <w:rPr>
          <w:rFonts w:ascii="Aptos" w:hAnsi="Aptos" w:cs="Arial"/>
          <w:bCs/>
          <w:szCs w:val="20"/>
        </w:rPr>
        <w:t>Al solicitar la admisión en el procedimiento de licitación, NO es necesario</w:t>
      </w:r>
      <w:r>
        <w:rPr>
          <w:rFonts w:ascii="Aptos" w:hAnsi="Aptos" w:cs="Arial"/>
          <w:bCs/>
          <w:szCs w:val="20"/>
        </w:rPr>
        <w:t xml:space="preserve"> presentar los documentos que prueben los requisitos de solvencia ni los criterios verificables mediante fórmulas objetivas.</w:t>
      </w:r>
      <w:r w:rsidR="009617EB">
        <w:rPr>
          <w:rFonts w:ascii="Aptos" w:hAnsi="Aptos" w:cs="Arial"/>
          <w:bCs/>
          <w:szCs w:val="20"/>
        </w:rPr>
        <w:t xml:space="preserve"> Por consiguiente, es suficiente con que indiquéis en el DEUC que disponéis de la solvencia </w:t>
      </w:r>
      <w:r w:rsidR="0085556F">
        <w:rPr>
          <w:rFonts w:ascii="Aptos" w:hAnsi="Aptos" w:cs="Arial"/>
          <w:bCs/>
          <w:szCs w:val="20"/>
        </w:rPr>
        <w:t>mínima</w:t>
      </w:r>
      <w:r w:rsidR="009617EB">
        <w:rPr>
          <w:rFonts w:ascii="Aptos" w:hAnsi="Aptos" w:cs="Arial"/>
          <w:bCs/>
          <w:szCs w:val="20"/>
        </w:rPr>
        <w:t xml:space="preserve"> para poder contratar. </w:t>
      </w:r>
    </w:p>
    <w:p w14:paraId="6C7D31D9" w14:textId="09C3D235" w:rsidR="0085556F" w:rsidRDefault="0085556F" w:rsidP="009617EB">
      <w:pPr>
        <w:pStyle w:val="Prrafodelista"/>
        <w:spacing w:after="160" w:line="259" w:lineRule="auto"/>
        <w:jc w:val="both"/>
        <w:rPr>
          <w:rFonts w:ascii="Aptos" w:hAnsi="Aptos" w:cs="Arial"/>
          <w:bCs/>
          <w:szCs w:val="20"/>
        </w:rPr>
      </w:pPr>
    </w:p>
    <w:p w14:paraId="15C2AECE" w14:textId="77BCFAC9" w:rsidR="0085556F" w:rsidRDefault="0085556F" w:rsidP="0085556F">
      <w:pPr>
        <w:pStyle w:val="Prrafodelista"/>
        <w:numPr>
          <w:ilvl w:val="0"/>
          <w:numId w:val="17"/>
        </w:numPr>
        <w:rPr>
          <w:rFonts w:ascii="Aptos" w:hAnsi="Aptos"/>
          <w:b/>
          <w:bCs/>
        </w:rPr>
      </w:pPr>
      <w:r w:rsidRPr="0085556F">
        <w:rPr>
          <w:rFonts w:ascii="Aptos" w:hAnsi="Aptos"/>
          <w:b/>
          <w:bCs/>
        </w:rPr>
        <w:t>Si todos los documentos se presentan después de que se haya anunciado la propuesta de adjudicación entonces en que parte del documento se prueba solvencia profesional.</w:t>
      </w:r>
    </w:p>
    <w:p w14:paraId="27EDD760" w14:textId="72D97A40" w:rsidR="0085556F" w:rsidRDefault="0085556F" w:rsidP="0085556F">
      <w:pPr>
        <w:rPr>
          <w:rFonts w:ascii="Aptos" w:hAnsi="Aptos"/>
          <w:b/>
          <w:bCs/>
        </w:rPr>
      </w:pPr>
    </w:p>
    <w:p w14:paraId="1C33D201" w14:textId="52F2DCBB" w:rsidR="0085556F" w:rsidRPr="0085556F" w:rsidRDefault="0085556F" w:rsidP="0085556F">
      <w:pPr>
        <w:ind w:left="708"/>
        <w:rPr>
          <w:rFonts w:ascii="Aptos" w:hAnsi="Aptos"/>
          <w:bCs/>
        </w:rPr>
      </w:pPr>
      <w:r>
        <w:rPr>
          <w:rFonts w:ascii="Aptos" w:hAnsi="Aptos"/>
          <w:bCs/>
        </w:rPr>
        <w:t xml:space="preserve">Se indica en un apartado del DUEC.  </w:t>
      </w:r>
    </w:p>
    <w:p w14:paraId="709FF651" w14:textId="77777777" w:rsidR="0085556F" w:rsidRDefault="0085556F" w:rsidP="0085556F">
      <w:pPr>
        <w:pStyle w:val="Prrafodelista"/>
        <w:rPr>
          <w:rFonts w:ascii="Aptos" w:hAnsi="Aptos"/>
          <w:b/>
          <w:bCs/>
        </w:rPr>
      </w:pPr>
    </w:p>
    <w:p w14:paraId="00FA022D" w14:textId="13007E87" w:rsidR="0085556F" w:rsidRDefault="0085556F" w:rsidP="0085556F">
      <w:pPr>
        <w:pStyle w:val="Prrafodelista"/>
        <w:numPr>
          <w:ilvl w:val="0"/>
          <w:numId w:val="17"/>
        </w:numPr>
        <w:rPr>
          <w:rFonts w:ascii="Aptos" w:hAnsi="Aptos"/>
          <w:b/>
          <w:bCs/>
        </w:rPr>
      </w:pPr>
      <w:r w:rsidRPr="0085556F">
        <w:rPr>
          <w:rFonts w:ascii="Aptos" w:hAnsi="Aptos"/>
          <w:b/>
          <w:bCs/>
        </w:rPr>
        <w:t>De presentarse con la propuesta el 24 de febrero</w:t>
      </w:r>
      <w:r>
        <w:rPr>
          <w:rFonts w:ascii="Aptos" w:hAnsi="Aptos"/>
          <w:b/>
          <w:bCs/>
        </w:rPr>
        <w:t xml:space="preserve"> </w:t>
      </w:r>
      <w:r w:rsidRPr="0085556F">
        <w:rPr>
          <w:rFonts w:ascii="Aptos" w:hAnsi="Aptos"/>
          <w:b/>
          <w:bCs/>
        </w:rPr>
        <w:t>¿en cuál de los dos sobres deben ir todos los documentos?</w:t>
      </w:r>
    </w:p>
    <w:p w14:paraId="1502C5D5" w14:textId="2F582D32" w:rsidR="0085556F" w:rsidRPr="0085556F" w:rsidRDefault="0085556F" w:rsidP="0085556F">
      <w:pPr>
        <w:rPr>
          <w:rFonts w:ascii="Aptos" w:hAnsi="Aptos"/>
          <w:b/>
          <w:bCs/>
        </w:rPr>
      </w:pPr>
    </w:p>
    <w:p w14:paraId="3863F254" w14:textId="300C05C5" w:rsidR="0085556F" w:rsidRPr="0085556F" w:rsidRDefault="0085556F" w:rsidP="0085556F">
      <w:pPr>
        <w:pStyle w:val="Prrafodelista"/>
        <w:rPr>
          <w:rFonts w:ascii="Aptos" w:hAnsi="Aptos"/>
          <w:bCs/>
        </w:rPr>
      </w:pPr>
      <w:r w:rsidRPr="009617EB">
        <w:rPr>
          <w:rFonts w:ascii="Aptos" w:hAnsi="Aptos"/>
          <w:bCs/>
        </w:rPr>
        <w:t xml:space="preserve">No se presentan el 24 de febrero. </w:t>
      </w:r>
    </w:p>
    <w:p w14:paraId="67E19468" w14:textId="77777777" w:rsidR="001C7F66" w:rsidRPr="00B355B8" w:rsidRDefault="001C7F66" w:rsidP="003B726B">
      <w:pPr>
        <w:rPr>
          <w:rFonts w:ascii="Aptos" w:hAnsi="Aptos"/>
          <w:b/>
          <w:bCs/>
        </w:rPr>
      </w:pPr>
    </w:p>
    <w:p w14:paraId="09782598" w14:textId="061D5EBA" w:rsidR="009415AD" w:rsidRPr="009617EB" w:rsidRDefault="00E564D6" w:rsidP="006D06E8">
      <w:pPr>
        <w:pStyle w:val="Prrafodelista"/>
        <w:numPr>
          <w:ilvl w:val="0"/>
          <w:numId w:val="17"/>
        </w:numPr>
        <w:rPr>
          <w:rFonts w:ascii="Aptos" w:hAnsi="Aptos"/>
        </w:rPr>
      </w:pPr>
      <w:r w:rsidRPr="009617EB">
        <w:rPr>
          <w:rFonts w:ascii="Aptos" w:hAnsi="Aptos"/>
          <w:b/>
          <w:bCs/>
        </w:rPr>
        <w:t xml:space="preserve">Para una mejor explicación de la metodología propuesta, requeriríamos </w:t>
      </w:r>
      <w:r w:rsidR="0012248D" w:rsidRPr="009617EB">
        <w:rPr>
          <w:rFonts w:ascii="Aptos" w:hAnsi="Aptos"/>
          <w:b/>
          <w:bCs/>
        </w:rPr>
        <w:t xml:space="preserve">explicarlo a través de </w:t>
      </w:r>
      <w:r w:rsidR="00B355B8" w:rsidRPr="009617EB">
        <w:rPr>
          <w:rFonts w:ascii="Aptos" w:hAnsi="Aptos"/>
          <w:b/>
          <w:bCs/>
        </w:rPr>
        <w:t xml:space="preserve">un </w:t>
      </w:r>
      <w:proofErr w:type="gramStart"/>
      <w:r w:rsidR="00B355B8" w:rsidRPr="009617EB">
        <w:rPr>
          <w:rFonts w:ascii="Aptos" w:hAnsi="Aptos"/>
          <w:b/>
          <w:bCs/>
        </w:rPr>
        <w:t>organigrama</w:t>
      </w:r>
      <w:r w:rsidR="00391272" w:rsidRPr="009617EB">
        <w:rPr>
          <w:rFonts w:ascii="Aptos" w:hAnsi="Aptos"/>
          <w:b/>
          <w:bCs/>
        </w:rPr>
        <w:t xml:space="preserve"> </w:t>
      </w:r>
      <w:r w:rsidR="002F3ABC" w:rsidRPr="009617EB">
        <w:rPr>
          <w:rFonts w:ascii="Aptos" w:hAnsi="Aptos"/>
          <w:b/>
          <w:bCs/>
        </w:rPr>
        <w:t>,</w:t>
      </w:r>
      <w:proofErr w:type="gramEnd"/>
      <w:r w:rsidR="002F3ABC" w:rsidRPr="009617EB">
        <w:rPr>
          <w:rFonts w:ascii="Aptos" w:hAnsi="Aptos"/>
          <w:b/>
          <w:bCs/>
        </w:rPr>
        <w:t xml:space="preserve"> </w:t>
      </w:r>
      <w:r w:rsidR="00325E48" w:rsidRPr="009617EB">
        <w:rPr>
          <w:rFonts w:ascii="Aptos" w:hAnsi="Aptos"/>
          <w:b/>
          <w:bCs/>
        </w:rPr>
        <w:t>entendemos que los perfiles</w:t>
      </w:r>
      <w:r w:rsidR="002F3ABC" w:rsidRPr="009617EB">
        <w:rPr>
          <w:rFonts w:ascii="Aptos" w:hAnsi="Aptos"/>
          <w:b/>
          <w:bCs/>
        </w:rPr>
        <w:t xml:space="preserve"> y su experiencia detallada</w:t>
      </w:r>
      <w:r w:rsidR="00325E48" w:rsidRPr="009617EB">
        <w:rPr>
          <w:rFonts w:ascii="Aptos" w:hAnsi="Aptos"/>
          <w:b/>
          <w:bCs/>
        </w:rPr>
        <w:t xml:space="preserve"> </w:t>
      </w:r>
      <w:r w:rsidR="002F3ABC" w:rsidRPr="009617EB">
        <w:rPr>
          <w:rFonts w:ascii="Aptos" w:hAnsi="Aptos"/>
          <w:b/>
          <w:bCs/>
        </w:rPr>
        <w:t xml:space="preserve">deben ir </w:t>
      </w:r>
      <w:r w:rsidR="00325E48" w:rsidRPr="009617EB">
        <w:rPr>
          <w:rFonts w:ascii="Aptos" w:hAnsi="Aptos"/>
          <w:b/>
          <w:bCs/>
        </w:rPr>
        <w:t xml:space="preserve">el sobre 2 </w:t>
      </w:r>
      <w:r w:rsidR="002F3ABC" w:rsidRPr="009617EB">
        <w:rPr>
          <w:rFonts w:ascii="Aptos" w:hAnsi="Aptos"/>
          <w:b/>
          <w:bCs/>
        </w:rPr>
        <w:t xml:space="preserve"> para puntuar</w:t>
      </w:r>
      <w:r w:rsidR="009415AD" w:rsidRPr="009617EB">
        <w:rPr>
          <w:rFonts w:ascii="Aptos" w:hAnsi="Aptos"/>
          <w:b/>
          <w:bCs/>
        </w:rPr>
        <w:t xml:space="preserve">, pero </w:t>
      </w:r>
      <w:r w:rsidR="002F3ABC" w:rsidRPr="009617EB">
        <w:rPr>
          <w:rFonts w:ascii="Aptos" w:hAnsi="Aptos"/>
          <w:b/>
          <w:bCs/>
        </w:rPr>
        <w:t xml:space="preserve"> ¿se permite exponer el organigrama en el sobre 1 junto con metodología y plazos?</w:t>
      </w:r>
    </w:p>
    <w:p w14:paraId="2FC7A63E" w14:textId="17024B12" w:rsidR="009617EB" w:rsidRDefault="009617EB" w:rsidP="009617EB">
      <w:pPr>
        <w:pStyle w:val="Prrafodelista"/>
        <w:rPr>
          <w:rFonts w:ascii="Aptos" w:hAnsi="Aptos"/>
          <w:b/>
          <w:bCs/>
        </w:rPr>
      </w:pPr>
    </w:p>
    <w:p w14:paraId="4E06B0B4" w14:textId="2970A16E" w:rsidR="009617EB" w:rsidRPr="009617EB" w:rsidRDefault="009617EB" w:rsidP="009617EB">
      <w:pPr>
        <w:pStyle w:val="Prrafodelista"/>
        <w:rPr>
          <w:rFonts w:ascii="Aptos" w:hAnsi="Aptos"/>
        </w:rPr>
      </w:pPr>
      <w:r w:rsidRPr="009617EB">
        <w:rPr>
          <w:rFonts w:ascii="Aptos" w:hAnsi="Aptos"/>
          <w:bCs/>
        </w:rPr>
        <w:t xml:space="preserve">No hay problema en que expongáis </w:t>
      </w:r>
      <w:r>
        <w:rPr>
          <w:rFonts w:ascii="Aptos" w:hAnsi="Aptos"/>
          <w:bCs/>
        </w:rPr>
        <w:t>el organigrama de la empresa en la oferta técnica a adjuntar en el sobre 1.</w:t>
      </w:r>
      <w:r w:rsidRPr="009617EB">
        <w:rPr>
          <w:rFonts w:ascii="Aptos" w:hAnsi="Aptos"/>
          <w:bCs/>
        </w:rPr>
        <w:t xml:space="preserve"> </w:t>
      </w:r>
    </w:p>
    <w:p w14:paraId="77A1EAC8" w14:textId="77777777" w:rsidR="009415AD" w:rsidRDefault="009415AD" w:rsidP="003B726B">
      <w:pPr>
        <w:rPr>
          <w:rFonts w:ascii="Aptos" w:hAnsi="Aptos"/>
        </w:rPr>
      </w:pPr>
    </w:p>
    <w:p w14:paraId="69685110" w14:textId="77777777" w:rsidR="009415AD" w:rsidRDefault="009415AD" w:rsidP="003B726B">
      <w:pPr>
        <w:rPr>
          <w:rFonts w:ascii="Aptos" w:hAnsi="Aptos"/>
        </w:rPr>
      </w:pPr>
    </w:p>
    <w:sectPr w:rsidR="009415AD" w:rsidSect="00ED38B0">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BD5C6" w14:textId="77777777" w:rsidR="001556D8" w:rsidRPr="00EC6664" w:rsidRDefault="001556D8" w:rsidP="00DA1914">
      <w:r w:rsidRPr="00EC6664">
        <w:separator/>
      </w:r>
    </w:p>
  </w:endnote>
  <w:endnote w:type="continuationSeparator" w:id="0">
    <w:p w14:paraId="64AE0878" w14:textId="77777777" w:rsidR="001556D8" w:rsidRPr="00EC6664" w:rsidRDefault="001556D8" w:rsidP="00DA1914">
      <w:r w:rsidRPr="00EC6664">
        <w:continuationSeparator/>
      </w:r>
    </w:p>
  </w:endnote>
  <w:endnote w:type="continuationNotice" w:id="1">
    <w:p w14:paraId="0D5AD062" w14:textId="77777777" w:rsidR="001556D8" w:rsidRDefault="00155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323694"/>
      <w:docPartObj>
        <w:docPartGallery w:val="Page Numbers (Bottom of Page)"/>
        <w:docPartUnique/>
      </w:docPartObj>
    </w:sdtPr>
    <w:sdtEndPr/>
    <w:sdtContent>
      <w:p w14:paraId="2D2552B3" w14:textId="412794C8" w:rsidR="00A43049" w:rsidRDefault="00A43049">
        <w:pPr>
          <w:pStyle w:val="Piedepgina"/>
          <w:jc w:val="right"/>
        </w:pPr>
        <w:r>
          <w:fldChar w:fldCharType="begin"/>
        </w:r>
        <w:r>
          <w:instrText>PAGE   \* MERGEFORMAT</w:instrText>
        </w:r>
        <w:r>
          <w:fldChar w:fldCharType="separate"/>
        </w:r>
        <w:r w:rsidR="00CD660C">
          <w:rPr>
            <w:noProof/>
          </w:rPr>
          <w:t>1</w:t>
        </w:r>
        <w:r>
          <w:fldChar w:fldCharType="end"/>
        </w:r>
      </w:p>
    </w:sdtContent>
  </w:sdt>
  <w:p w14:paraId="63D0458B" w14:textId="145EBFBC" w:rsidR="00C16462" w:rsidRPr="00EC6664" w:rsidRDefault="00C16462" w:rsidP="00A576AD">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9DAB3" w14:textId="77777777" w:rsidR="001556D8" w:rsidRPr="00EC6664" w:rsidRDefault="001556D8" w:rsidP="00DA1914">
      <w:r w:rsidRPr="00EC6664">
        <w:separator/>
      </w:r>
    </w:p>
  </w:footnote>
  <w:footnote w:type="continuationSeparator" w:id="0">
    <w:p w14:paraId="02954239" w14:textId="77777777" w:rsidR="001556D8" w:rsidRPr="00EC6664" w:rsidRDefault="001556D8" w:rsidP="00DA1914">
      <w:r w:rsidRPr="00EC6664">
        <w:continuationSeparator/>
      </w:r>
    </w:p>
  </w:footnote>
  <w:footnote w:type="continuationNotice" w:id="1">
    <w:p w14:paraId="0D4F52C1" w14:textId="77777777" w:rsidR="001556D8" w:rsidRDefault="001556D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AA1"/>
    <w:multiLevelType w:val="hybridMultilevel"/>
    <w:tmpl w:val="2954E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A0B0461"/>
    <w:multiLevelType w:val="hybridMultilevel"/>
    <w:tmpl w:val="7C46EED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DA7810"/>
    <w:multiLevelType w:val="hybridMultilevel"/>
    <w:tmpl w:val="9A308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82142C"/>
    <w:multiLevelType w:val="hybridMultilevel"/>
    <w:tmpl w:val="BB7AD268"/>
    <w:lvl w:ilvl="0" w:tplc="DF5C5336">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3D751F"/>
    <w:multiLevelType w:val="hybridMultilevel"/>
    <w:tmpl w:val="E0EA2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1C12D6"/>
    <w:multiLevelType w:val="hybridMultilevel"/>
    <w:tmpl w:val="14B82B56"/>
    <w:lvl w:ilvl="0" w:tplc="0652F0DE">
      <w:numFmt w:val="bullet"/>
      <w:lvlText w:val=""/>
      <w:lvlJc w:val="left"/>
      <w:pPr>
        <w:ind w:left="720" w:hanging="360"/>
      </w:pPr>
      <w:rPr>
        <w:rFonts w:ascii="Symbol" w:eastAsiaTheme="minorEastAsia"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B855CE"/>
    <w:multiLevelType w:val="hybridMultilevel"/>
    <w:tmpl w:val="981C0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EB15FE"/>
    <w:multiLevelType w:val="hybridMultilevel"/>
    <w:tmpl w:val="57A48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A442C2"/>
    <w:multiLevelType w:val="hybridMultilevel"/>
    <w:tmpl w:val="6A188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3027C7"/>
    <w:multiLevelType w:val="hybridMultilevel"/>
    <w:tmpl w:val="4588E8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7E29FB"/>
    <w:multiLevelType w:val="hybridMultilevel"/>
    <w:tmpl w:val="7FE61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99C4A13"/>
    <w:multiLevelType w:val="hybridMultilevel"/>
    <w:tmpl w:val="026E9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2529C2"/>
    <w:multiLevelType w:val="hybridMultilevel"/>
    <w:tmpl w:val="CDC225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8CB5B6C"/>
    <w:multiLevelType w:val="hybridMultilevel"/>
    <w:tmpl w:val="02AE0C0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79C2519B"/>
    <w:multiLevelType w:val="hybridMultilevel"/>
    <w:tmpl w:val="FCD067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4"/>
  </w:num>
  <w:num w:numId="3">
    <w:abstractNumId w:val="12"/>
  </w:num>
  <w:num w:numId="4">
    <w:abstractNumId w:val="4"/>
  </w:num>
  <w:num w:numId="5">
    <w:abstractNumId w:val="13"/>
  </w:num>
  <w:num w:numId="6">
    <w:abstractNumId w:val="8"/>
  </w:num>
  <w:num w:numId="7">
    <w:abstractNumId w:val="1"/>
  </w:num>
  <w:num w:numId="8">
    <w:abstractNumId w:val="2"/>
  </w:num>
  <w:num w:numId="9">
    <w:abstractNumId w:val="5"/>
  </w:num>
  <w:num w:numId="10">
    <w:abstractNumId w:val="3"/>
  </w:num>
  <w:num w:numId="11">
    <w:abstractNumId w:val="0"/>
  </w:num>
  <w:num w:numId="12">
    <w:abstractNumId w:val="5"/>
  </w:num>
  <w:num w:numId="13">
    <w:abstractNumId w:val="7"/>
  </w:num>
  <w:num w:numId="14">
    <w:abstractNumId w:val="10"/>
  </w:num>
  <w:num w:numId="15">
    <w:abstractNumId w:val="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9E"/>
    <w:rsid w:val="0000264D"/>
    <w:rsid w:val="00014EB7"/>
    <w:rsid w:val="0002078C"/>
    <w:rsid w:val="0002455B"/>
    <w:rsid w:val="00027827"/>
    <w:rsid w:val="000325A7"/>
    <w:rsid w:val="000356BE"/>
    <w:rsid w:val="00046E73"/>
    <w:rsid w:val="000913DF"/>
    <w:rsid w:val="00097A00"/>
    <w:rsid w:val="000A1285"/>
    <w:rsid w:val="000A1814"/>
    <w:rsid w:val="000B3D18"/>
    <w:rsid w:val="000C68D3"/>
    <w:rsid w:val="000D0D96"/>
    <w:rsid w:val="000D2E91"/>
    <w:rsid w:val="000E20B4"/>
    <w:rsid w:val="00102113"/>
    <w:rsid w:val="0010558E"/>
    <w:rsid w:val="00106A89"/>
    <w:rsid w:val="0012248D"/>
    <w:rsid w:val="0012393D"/>
    <w:rsid w:val="00140343"/>
    <w:rsid w:val="001556D8"/>
    <w:rsid w:val="0016488E"/>
    <w:rsid w:val="001722D6"/>
    <w:rsid w:val="00180FB7"/>
    <w:rsid w:val="001A6FBE"/>
    <w:rsid w:val="001B1846"/>
    <w:rsid w:val="001B53F1"/>
    <w:rsid w:val="001C10B9"/>
    <w:rsid w:val="001C23F2"/>
    <w:rsid w:val="001C2B5D"/>
    <w:rsid w:val="001C5F99"/>
    <w:rsid w:val="001C7F66"/>
    <w:rsid w:val="00201132"/>
    <w:rsid w:val="002050CD"/>
    <w:rsid w:val="00213ED8"/>
    <w:rsid w:val="00240BC5"/>
    <w:rsid w:val="00255E65"/>
    <w:rsid w:val="002722DA"/>
    <w:rsid w:val="002833A5"/>
    <w:rsid w:val="00291060"/>
    <w:rsid w:val="002A4CC8"/>
    <w:rsid w:val="002B4A3C"/>
    <w:rsid w:val="002B4C0A"/>
    <w:rsid w:val="002C139A"/>
    <w:rsid w:val="002C41FB"/>
    <w:rsid w:val="002F3293"/>
    <w:rsid w:val="002F3ABC"/>
    <w:rsid w:val="003051F5"/>
    <w:rsid w:val="00306F02"/>
    <w:rsid w:val="003112CB"/>
    <w:rsid w:val="00314CF9"/>
    <w:rsid w:val="00324061"/>
    <w:rsid w:val="003241BC"/>
    <w:rsid w:val="00325E48"/>
    <w:rsid w:val="0032766C"/>
    <w:rsid w:val="003316B0"/>
    <w:rsid w:val="00350486"/>
    <w:rsid w:val="00356BC0"/>
    <w:rsid w:val="0035720F"/>
    <w:rsid w:val="00362E8B"/>
    <w:rsid w:val="00365FD0"/>
    <w:rsid w:val="00366E61"/>
    <w:rsid w:val="003744ED"/>
    <w:rsid w:val="00376F54"/>
    <w:rsid w:val="00383E2A"/>
    <w:rsid w:val="00390A99"/>
    <w:rsid w:val="00391272"/>
    <w:rsid w:val="003A2FDE"/>
    <w:rsid w:val="003A45A8"/>
    <w:rsid w:val="003B51D2"/>
    <w:rsid w:val="003B726B"/>
    <w:rsid w:val="003C2F4D"/>
    <w:rsid w:val="003E3F08"/>
    <w:rsid w:val="003F1838"/>
    <w:rsid w:val="003F3D69"/>
    <w:rsid w:val="00405B96"/>
    <w:rsid w:val="00416416"/>
    <w:rsid w:val="00424C0F"/>
    <w:rsid w:val="00450829"/>
    <w:rsid w:val="00462B79"/>
    <w:rsid w:val="00463B53"/>
    <w:rsid w:val="004873C5"/>
    <w:rsid w:val="004927D8"/>
    <w:rsid w:val="0049751C"/>
    <w:rsid w:val="004A15FD"/>
    <w:rsid w:val="004A1DA1"/>
    <w:rsid w:val="004B7F6E"/>
    <w:rsid w:val="004C32D1"/>
    <w:rsid w:val="004C5BB7"/>
    <w:rsid w:val="004C70E5"/>
    <w:rsid w:val="004E327C"/>
    <w:rsid w:val="004F79D3"/>
    <w:rsid w:val="005017D6"/>
    <w:rsid w:val="00503336"/>
    <w:rsid w:val="0052048F"/>
    <w:rsid w:val="0053006F"/>
    <w:rsid w:val="00535CA4"/>
    <w:rsid w:val="005404C3"/>
    <w:rsid w:val="0054371D"/>
    <w:rsid w:val="00560F2D"/>
    <w:rsid w:val="00571DC8"/>
    <w:rsid w:val="00587C4B"/>
    <w:rsid w:val="00590488"/>
    <w:rsid w:val="005B4D9E"/>
    <w:rsid w:val="005B5941"/>
    <w:rsid w:val="005C1647"/>
    <w:rsid w:val="005C1EA8"/>
    <w:rsid w:val="005D2558"/>
    <w:rsid w:val="00610A44"/>
    <w:rsid w:val="00633515"/>
    <w:rsid w:val="00634A4B"/>
    <w:rsid w:val="00647FC6"/>
    <w:rsid w:val="006549AF"/>
    <w:rsid w:val="006560F7"/>
    <w:rsid w:val="0068521E"/>
    <w:rsid w:val="00693226"/>
    <w:rsid w:val="0069377C"/>
    <w:rsid w:val="0069562F"/>
    <w:rsid w:val="006C118D"/>
    <w:rsid w:val="006C1731"/>
    <w:rsid w:val="006C4796"/>
    <w:rsid w:val="006C488B"/>
    <w:rsid w:val="006D56D8"/>
    <w:rsid w:val="006D5ED9"/>
    <w:rsid w:val="006E198A"/>
    <w:rsid w:val="006E599E"/>
    <w:rsid w:val="006F2532"/>
    <w:rsid w:val="007045E6"/>
    <w:rsid w:val="00722507"/>
    <w:rsid w:val="00732D6D"/>
    <w:rsid w:val="0074535A"/>
    <w:rsid w:val="00763C10"/>
    <w:rsid w:val="00775BA6"/>
    <w:rsid w:val="007909BC"/>
    <w:rsid w:val="007A1EB1"/>
    <w:rsid w:val="007A2010"/>
    <w:rsid w:val="007A4762"/>
    <w:rsid w:val="007C0179"/>
    <w:rsid w:val="007C0EE7"/>
    <w:rsid w:val="007C48B4"/>
    <w:rsid w:val="007C4EB4"/>
    <w:rsid w:val="007C6035"/>
    <w:rsid w:val="007D41B9"/>
    <w:rsid w:val="007F0E35"/>
    <w:rsid w:val="00814C5F"/>
    <w:rsid w:val="00816693"/>
    <w:rsid w:val="008175B4"/>
    <w:rsid w:val="00831548"/>
    <w:rsid w:val="00831CCE"/>
    <w:rsid w:val="008501FC"/>
    <w:rsid w:val="008551FF"/>
    <w:rsid w:val="0085556F"/>
    <w:rsid w:val="00861360"/>
    <w:rsid w:val="00882210"/>
    <w:rsid w:val="0088300C"/>
    <w:rsid w:val="008865CB"/>
    <w:rsid w:val="00887E48"/>
    <w:rsid w:val="008931B7"/>
    <w:rsid w:val="008A785A"/>
    <w:rsid w:val="008B11B3"/>
    <w:rsid w:val="008C4FA2"/>
    <w:rsid w:val="008D0D36"/>
    <w:rsid w:val="008D7625"/>
    <w:rsid w:val="009003CA"/>
    <w:rsid w:val="00906602"/>
    <w:rsid w:val="00914F36"/>
    <w:rsid w:val="009212BD"/>
    <w:rsid w:val="00922A40"/>
    <w:rsid w:val="009257C4"/>
    <w:rsid w:val="00935E09"/>
    <w:rsid w:val="00941411"/>
    <w:rsid w:val="009415AD"/>
    <w:rsid w:val="00957BFD"/>
    <w:rsid w:val="009617EB"/>
    <w:rsid w:val="00964507"/>
    <w:rsid w:val="009665F6"/>
    <w:rsid w:val="00970301"/>
    <w:rsid w:val="00971A05"/>
    <w:rsid w:val="00972ABE"/>
    <w:rsid w:val="00976D83"/>
    <w:rsid w:val="00981D68"/>
    <w:rsid w:val="00985129"/>
    <w:rsid w:val="009907AB"/>
    <w:rsid w:val="009917DC"/>
    <w:rsid w:val="0099695E"/>
    <w:rsid w:val="009A1DF9"/>
    <w:rsid w:val="009A44FB"/>
    <w:rsid w:val="009B0266"/>
    <w:rsid w:val="009B05D3"/>
    <w:rsid w:val="009B26FA"/>
    <w:rsid w:val="009B4393"/>
    <w:rsid w:val="009B6072"/>
    <w:rsid w:val="009B641C"/>
    <w:rsid w:val="009B7869"/>
    <w:rsid w:val="009C6E44"/>
    <w:rsid w:val="009D2DE6"/>
    <w:rsid w:val="009E2B46"/>
    <w:rsid w:val="009E449C"/>
    <w:rsid w:val="009E6DEE"/>
    <w:rsid w:val="009F596D"/>
    <w:rsid w:val="009F5C52"/>
    <w:rsid w:val="00A0104D"/>
    <w:rsid w:val="00A07371"/>
    <w:rsid w:val="00A14DD4"/>
    <w:rsid w:val="00A15EA1"/>
    <w:rsid w:val="00A21634"/>
    <w:rsid w:val="00A23BA4"/>
    <w:rsid w:val="00A26407"/>
    <w:rsid w:val="00A26A96"/>
    <w:rsid w:val="00A32965"/>
    <w:rsid w:val="00A40D78"/>
    <w:rsid w:val="00A42D90"/>
    <w:rsid w:val="00A43049"/>
    <w:rsid w:val="00A530AE"/>
    <w:rsid w:val="00A53A42"/>
    <w:rsid w:val="00A576AD"/>
    <w:rsid w:val="00A802AD"/>
    <w:rsid w:val="00A87179"/>
    <w:rsid w:val="00A91729"/>
    <w:rsid w:val="00AA643B"/>
    <w:rsid w:val="00AA65FE"/>
    <w:rsid w:val="00AA7307"/>
    <w:rsid w:val="00AA7766"/>
    <w:rsid w:val="00AD06FC"/>
    <w:rsid w:val="00AE7288"/>
    <w:rsid w:val="00AF1A60"/>
    <w:rsid w:val="00AF3BA0"/>
    <w:rsid w:val="00B05F9B"/>
    <w:rsid w:val="00B172DA"/>
    <w:rsid w:val="00B237B8"/>
    <w:rsid w:val="00B276DC"/>
    <w:rsid w:val="00B30BDA"/>
    <w:rsid w:val="00B355B8"/>
    <w:rsid w:val="00B40155"/>
    <w:rsid w:val="00B549BB"/>
    <w:rsid w:val="00B607F6"/>
    <w:rsid w:val="00B73CF6"/>
    <w:rsid w:val="00B77944"/>
    <w:rsid w:val="00B80A45"/>
    <w:rsid w:val="00B839A3"/>
    <w:rsid w:val="00B86FF1"/>
    <w:rsid w:val="00BA01AA"/>
    <w:rsid w:val="00BA2303"/>
    <w:rsid w:val="00BA74C0"/>
    <w:rsid w:val="00BB04E8"/>
    <w:rsid w:val="00BB5E1F"/>
    <w:rsid w:val="00BE0AA6"/>
    <w:rsid w:val="00BE1B59"/>
    <w:rsid w:val="00BE6E57"/>
    <w:rsid w:val="00BE7469"/>
    <w:rsid w:val="00C00CAA"/>
    <w:rsid w:val="00C16462"/>
    <w:rsid w:val="00C22D76"/>
    <w:rsid w:val="00C35468"/>
    <w:rsid w:val="00C417D9"/>
    <w:rsid w:val="00C46319"/>
    <w:rsid w:val="00C56571"/>
    <w:rsid w:val="00C6064A"/>
    <w:rsid w:val="00C675F3"/>
    <w:rsid w:val="00C71987"/>
    <w:rsid w:val="00C72145"/>
    <w:rsid w:val="00C76D11"/>
    <w:rsid w:val="00C831CF"/>
    <w:rsid w:val="00C84139"/>
    <w:rsid w:val="00C86473"/>
    <w:rsid w:val="00CA2EDA"/>
    <w:rsid w:val="00CA3E09"/>
    <w:rsid w:val="00CA6422"/>
    <w:rsid w:val="00CB5466"/>
    <w:rsid w:val="00CB5804"/>
    <w:rsid w:val="00CB7D97"/>
    <w:rsid w:val="00CD660C"/>
    <w:rsid w:val="00CE2619"/>
    <w:rsid w:val="00CE3E9F"/>
    <w:rsid w:val="00CE4741"/>
    <w:rsid w:val="00CF2D34"/>
    <w:rsid w:val="00CF48D8"/>
    <w:rsid w:val="00D17E6E"/>
    <w:rsid w:val="00D27B4A"/>
    <w:rsid w:val="00D545BB"/>
    <w:rsid w:val="00D604C6"/>
    <w:rsid w:val="00D614FC"/>
    <w:rsid w:val="00D824DF"/>
    <w:rsid w:val="00D82BA4"/>
    <w:rsid w:val="00D879EA"/>
    <w:rsid w:val="00D90BDF"/>
    <w:rsid w:val="00D92768"/>
    <w:rsid w:val="00DA1914"/>
    <w:rsid w:val="00DC79ED"/>
    <w:rsid w:val="00DD5195"/>
    <w:rsid w:val="00DD7BCB"/>
    <w:rsid w:val="00DE2E69"/>
    <w:rsid w:val="00DE5B2E"/>
    <w:rsid w:val="00DF54C5"/>
    <w:rsid w:val="00E02F83"/>
    <w:rsid w:val="00E11499"/>
    <w:rsid w:val="00E130F8"/>
    <w:rsid w:val="00E131FC"/>
    <w:rsid w:val="00E263E2"/>
    <w:rsid w:val="00E33EE3"/>
    <w:rsid w:val="00E3469C"/>
    <w:rsid w:val="00E36D87"/>
    <w:rsid w:val="00E47FDE"/>
    <w:rsid w:val="00E564D6"/>
    <w:rsid w:val="00E61089"/>
    <w:rsid w:val="00E62B39"/>
    <w:rsid w:val="00E80F69"/>
    <w:rsid w:val="00E9526C"/>
    <w:rsid w:val="00E973DE"/>
    <w:rsid w:val="00EA164D"/>
    <w:rsid w:val="00EA34FB"/>
    <w:rsid w:val="00EC1CBF"/>
    <w:rsid w:val="00EC6664"/>
    <w:rsid w:val="00ED27A8"/>
    <w:rsid w:val="00ED38B0"/>
    <w:rsid w:val="00EE4C9B"/>
    <w:rsid w:val="00EF4F05"/>
    <w:rsid w:val="00F0027C"/>
    <w:rsid w:val="00F00853"/>
    <w:rsid w:val="00F2273E"/>
    <w:rsid w:val="00F34CB6"/>
    <w:rsid w:val="00F34DA8"/>
    <w:rsid w:val="00F4758B"/>
    <w:rsid w:val="00F53DB8"/>
    <w:rsid w:val="00F72D46"/>
    <w:rsid w:val="00F77B87"/>
    <w:rsid w:val="00F95112"/>
    <w:rsid w:val="00FA4356"/>
    <w:rsid w:val="00FA4D4F"/>
    <w:rsid w:val="00FB0C2C"/>
    <w:rsid w:val="00FB1191"/>
    <w:rsid w:val="00FB7F83"/>
    <w:rsid w:val="00FE2227"/>
    <w:rsid w:val="00FE50E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8EF48"/>
  <w14:defaultImageDpi w14:val="300"/>
  <w15:docId w15:val="{B39A6412-9D6F-4A9C-93CB-475C9A95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next w:val="Normal"/>
    <w:link w:val="Ttulo1Car"/>
    <w:uiPriority w:val="9"/>
    <w:qFormat/>
    <w:rsid w:val="006E599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1C10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4D9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B4D9E"/>
    <w:rPr>
      <w:rFonts w:ascii="Lucida Grande" w:hAnsi="Lucida Grande" w:cs="Lucida Grande"/>
      <w:sz w:val="18"/>
      <w:szCs w:val="18"/>
    </w:rPr>
  </w:style>
  <w:style w:type="paragraph" w:styleId="Citadestacada">
    <w:name w:val="Intense Quote"/>
    <w:basedOn w:val="Normal"/>
    <w:next w:val="Normal"/>
    <w:link w:val="CitadestacadaCar"/>
    <w:uiPriority w:val="30"/>
    <w:qFormat/>
    <w:rsid w:val="001C10B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C10B9"/>
    <w:rPr>
      <w:b/>
      <w:bCs/>
      <w:i/>
      <w:iCs/>
      <w:color w:val="4F81BD" w:themeColor="accent1"/>
    </w:rPr>
  </w:style>
  <w:style w:type="character" w:styleId="Textoennegrita">
    <w:name w:val="Strong"/>
    <w:basedOn w:val="Fuentedeprrafopredeter"/>
    <w:uiPriority w:val="22"/>
    <w:qFormat/>
    <w:rsid w:val="001C10B9"/>
  </w:style>
  <w:style w:type="paragraph" w:styleId="Subttulo">
    <w:name w:val="Subtitle"/>
    <w:basedOn w:val="Normal"/>
    <w:next w:val="Normal"/>
    <w:link w:val="SubttuloCar"/>
    <w:uiPriority w:val="11"/>
    <w:qFormat/>
    <w:rsid w:val="001C10B9"/>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1C10B9"/>
    <w:rPr>
      <w:rFonts w:asciiTheme="majorHAnsi" w:eastAsiaTheme="majorEastAsia" w:hAnsiTheme="majorHAnsi" w:cstheme="majorBidi"/>
      <w:i/>
      <w:iCs/>
      <w:color w:val="4F81BD" w:themeColor="accent1"/>
      <w:spacing w:val="15"/>
    </w:rPr>
  </w:style>
  <w:style w:type="character" w:styleId="nfasisintenso">
    <w:name w:val="Intense Emphasis"/>
    <w:basedOn w:val="Fuentedeprrafopredeter"/>
    <w:autoRedefine/>
    <w:uiPriority w:val="21"/>
    <w:qFormat/>
    <w:rsid w:val="001C10B9"/>
  </w:style>
  <w:style w:type="character" w:customStyle="1" w:styleId="Ttulo2Car">
    <w:name w:val="Título 2 Car"/>
    <w:basedOn w:val="Fuentedeprrafopredeter"/>
    <w:link w:val="Ttulo2"/>
    <w:uiPriority w:val="9"/>
    <w:rsid w:val="001C10B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B30BDA"/>
    <w:pPr>
      <w:ind w:left="720"/>
      <w:contextualSpacing/>
    </w:pPr>
  </w:style>
  <w:style w:type="paragraph" w:styleId="Encabezado">
    <w:name w:val="header"/>
    <w:basedOn w:val="Normal"/>
    <w:link w:val="EncabezadoCar"/>
    <w:uiPriority w:val="99"/>
    <w:unhideWhenUsed/>
    <w:rsid w:val="00DA1914"/>
    <w:pPr>
      <w:tabs>
        <w:tab w:val="center" w:pos="4252"/>
        <w:tab w:val="right" w:pos="8504"/>
      </w:tabs>
    </w:pPr>
  </w:style>
  <w:style w:type="character" w:customStyle="1" w:styleId="EncabezadoCar">
    <w:name w:val="Encabezado Car"/>
    <w:basedOn w:val="Fuentedeprrafopredeter"/>
    <w:link w:val="Encabezado"/>
    <w:uiPriority w:val="99"/>
    <w:rsid w:val="00DA1914"/>
  </w:style>
  <w:style w:type="paragraph" w:styleId="Piedepgina">
    <w:name w:val="footer"/>
    <w:basedOn w:val="Normal"/>
    <w:link w:val="PiedepginaCar"/>
    <w:uiPriority w:val="99"/>
    <w:unhideWhenUsed/>
    <w:rsid w:val="00DA1914"/>
    <w:pPr>
      <w:tabs>
        <w:tab w:val="center" w:pos="4252"/>
        <w:tab w:val="right" w:pos="8504"/>
      </w:tabs>
    </w:pPr>
  </w:style>
  <w:style w:type="character" w:customStyle="1" w:styleId="PiedepginaCar">
    <w:name w:val="Pie de página Car"/>
    <w:basedOn w:val="Fuentedeprrafopredeter"/>
    <w:link w:val="Piedepgina"/>
    <w:uiPriority w:val="99"/>
    <w:rsid w:val="00DA1914"/>
  </w:style>
  <w:style w:type="character" w:styleId="Nmerodepgina">
    <w:name w:val="page number"/>
    <w:basedOn w:val="Fuentedeprrafopredeter"/>
    <w:uiPriority w:val="99"/>
    <w:semiHidden/>
    <w:unhideWhenUsed/>
    <w:rsid w:val="00A576AD"/>
  </w:style>
  <w:style w:type="character" w:customStyle="1" w:styleId="Ttulo1Car">
    <w:name w:val="Título 1 Car"/>
    <w:basedOn w:val="Fuentedeprrafopredeter"/>
    <w:link w:val="Ttulo1"/>
    <w:uiPriority w:val="9"/>
    <w:rsid w:val="006E599E"/>
    <w:rPr>
      <w:rFonts w:asciiTheme="majorHAnsi" w:eastAsiaTheme="majorEastAsia" w:hAnsiTheme="majorHAnsi" w:cstheme="majorBidi"/>
      <w:b/>
      <w:bCs/>
      <w:color w:val="345A8A" w:themeColor="accent1" w:themeShade="B5"/>
      <w:sz w:val="32"/>
      <w:szCs w:val="32"/>
    </w:rPr>
  </w:style>
  <w:style w:type="table" w:styleId="Sombreadoclaro-nfasis6">
    <w:name w:val="Light Shading Accent 6"/>
    <w:basedOn w:val="Tablanormal"/>
    <w:uiPriority w:val="60"/>
    <w:rsid w:val="00981D6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cuadrcula">
    <w:name w:val="Table Grid"/>
    <w:basedOn w:val="Tablanormal"/>
    <w:uiPriority w:val="59"/>
    <w:rsid w:val="0098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0913DF"/>
  </w:style>
  <w:style w:type="character" w:customStyle="1" w:styleId="TextonotapieCar">
    <w:name w:val="Texto nota pie Car"/>
    <w:basedOn w:val="Fuentedeprrafopredeter"/>
    <w:link w:val="Textonotapie"/>
    <w:uiPriority w:val="99"/>
    <w:rsid w:val="000913DF"/>
  </w:style>
  <w:style w:type="character" w:styleId="Refdenotaalpie">
    <w:name w:val="footnote reference"/>
    <w:basedOn w:val="Fuentedeprrafopredeter"/>
    <w:uiPriority w:val="99"/>
    <w:unhideWhenUsed/>
    <w:rsid w:val="000913DF"/>
    <w:rPr>
      <w:vertAlign w:val="superscript"/>
    </w:rPr>
  </w:style>
  <w:style w:type="paragraph" w:styleId="Sinespaciado">
    <w:name w:val="No Spacing"/>
    <w:link w:val="SinespaciadoCar"/>
    <w:uiPriority w:val="1"/>
    <w:qFormat/>
    <w:rsid w:val="00180FB7"/>
    <w:rPr>
      <w:sz w:val="22"/>
      <w:szCs w:val="22"/>
      <w:lang w:val="en-US" w:eastAsia="en-US"/>
    </w:rPr>
  </w:style>
  <w:style w:type="character" w:customStyle="1" w:styleId="SinespaciadoCar">
    <w:name w:val="Sin espaciado Car"/>
    <w:basedOn w:val="Fuentedeprrafopredeter"/>
    <w:link w:val="Sinespaciado"/>
    <w:uiPriority w:val="1"/>
    <w:rsid w:val="00180FB7"/>
    <w:rPr>
      <w:sz w:val="22"/>
      <w:szCs w:val="22"/>
      <w:lang w:val="en-US" w:eastAsia="en-US"/>
    </w:rPr>
  </w:style>
  <w:style w:type="paragraph" w:styleId="TtuloTDC">
    <w:name w:val="TOC Heading"/>
    <w:basedOn w:val="Ttulo1"/>
    <w:next w:val="Normal"/>
    <w:uiPriority w:val="39"/>
    <w:unhideWhenUsed/>
    <w:qFormat/>
    <w:rsid w:val="00A07371"/>
    <w:pPr>
      <w:spacing w:before="240" w:line="259" w:lineRule="auto"/>
      <w:outlineLvl w:val="9"/>
    </w:pPr>
    <w:rPr>
      <w:b w:val="0"/>
      <w:bCs w:val="0"/>
      <w:color w:val="365F91" w:themeColor="accent1" w:themeShade="BF"/>
      <w:lang w:val="en-US" w:eastAsia="en-US"/>
    </w:rPr>
  </w:style>
  <w:style w:type="paragraph" w:styleId="TDC1">
    <w:name w:val="toc 1"/>
    <w:basedOn w:val="Normal"/>
    <w:next w:val="Normal"/>
    <w:autoRedefine/>
    <w:uiPriority w:val="39"/>
    <w:unhideWhenUsed/>
    <w:rsid w:val="00A07371"/>
    <w:pPr>
      <w:spacing w:after="100"/>
    </w:pPr>
  </w:style>
  <w:style w:type="character" w:styleId="Hipervnculo">
    <w:name w:val="Hyperlink"/>
    <w:basedOn w:val="Fuentedeprrafopredeter"/>
    <w:uiPriority w:val="99"/>
    <w:unhideWhenUsed/>
    <w:rsid w:val="00A07371"/>
    <w:rPr>
      <w:color w:val="0000FF" w:themeColor="hyperlink"/>
      <w:u w:val="single"/>
    </w:rPr>
  </w:style>
  <w:style w:type="paragraph" w:customStyle="1" w:styleId="Default">
    <w:name w:val="Default"/>
    <w:rsid w:val="00882210"/>
    <w:pPr>
      <w:autoSpaceDE w:val="0"/>
      <w:autoSpaceDN w:val="0"/>
      <w:adjustRightInd w:val="0"/>
    </w:pPr>
    <w:rPr>
      <w:rFonts w:ascii="Arial" w:hAnsi="Arial" w:cs="Arial"/>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6107">
      <w:bodyDiv w:val="1"/>
      <w:marLeft w:val="0"/>
      <w:marRight w:val="0"/>
      <w:marTop w:val="0"/>
      <w:marBottom w:val="0"/>
      <w:divBdr>
        <w:top w:val="none" w:sz="0" w:space="0" w:color="auto"/>
        <w:left w:val="none" w:sz="0" w:space="0" w:color="auto"/>
        <w:bottom w:val="none" w:sz="0" w:space="0" w:color="auto"/>
        <w:right w:val="none" w:sz="0" w:space="0" w:color="auto"/>
      </w:divBdr>
    </w:div>
    <w:div w:id="502404671">
      <w:bodyDiv w:val="1"/>
      <w:marLeft w:val="0"/>
      <w:marRight w:val="0"/>
      <w:marTop w:val="0"/>
      <w:marBottom w:val="0"/>
      <w:divBdr>
        <w:top w:val="none" w:sz="0" w:space="0" w:color="auto"/>
        <w:left w:val="none" w:sz="0" w:space="0" w:color="auto"/>
        <w:bottom w:val="none" w:sz="0" w:space="0" w:color="auto"/>
        <w:right w:val="none" w:sz="0" w:space="0" w:color="auto"/>
      </w:divBdr>
      <w:divsChild>
        <w:div w:id="357857853">
          <w:marLeft w:val="0"/>
          <w:marRight w:val="0"/>
          <w:marTop w:val="0"/>
          <w:marBottom w:val="0"/>
          <w:divBdr>
            <w:top w:val="none" w:sz="0" w:space="0" w:color="auto"/>
            <w:left w:val="none" w:sz="0" w:space="0" w:color="auto"/>
            <w:bottom w:val="none" w:sz="0" w:space="0" w:color="auto"/>
            <w:right w:val="none" w:sz="0" w:space="0" w:color="auto"/>
          </w:divBdr>
          <w:divsChild>
            <w:div w:id="2102025890">
              <w:marLeft w:val="0"/>
              <w:marRight w:val="0"/>
              <w:marTop w:val="0"/>
              <w:marBottom w:val="0"/>
              <w:divBdr>
                <w:top w:val="none" w:sz="0" w:space="0" w:color="auto"/>
                <w:left w:val="none" w:sz="0" w:space="0" w:color="auto"/>
                <w:bottom w:val="none" w:sz="0" w:space="0" w:color="auto"/>
                <w:right w:val="none" w:sz="0" w:space="0" w:color="auto"/>
              </w:divBdr>
              <w:divsChild>
                <w:div w:id="1941208840">
                  <w:marLeft w:val="0"/>
                  <w:marRight w:val="0"/>
                  <w:marTop w:val="0"/>
                  <w:marBottom w:val="0"/>
                  <w:divBdr>
                    <w:top w:val="none" w:sz="0" w:space="0" w:color="auto"/>
                    <w:left w:val="none" w:sz="0" w:space="0" w:color="auto"/>
                    <w:bottom w:val="none" w:sz="0" w:space="0" w:color="auto"/>
                    <w:right w:val="none" w:sz="0" w:space="0" w:color="auto"/>
                  </w:divBdr>
                  <w:divsChild>
                    <w:div w:id="989483614">
                      <w:marLeft w:val="0"/>
                      <w:marRight w:val="0"/>
                      <w:marTop w:val="0"/>
                      <w:marBottom w:val="0"/>
                      <w:divBdr>
                        <w:top w:val="none" w:sz="0" w:space="0" w:color="auto"/>
                        <w:left w:val="none" w:sz="0" w:space="0" w:color="auto"/>
                        <w:bottom w:val="none" w:sz="0" w:space="0" w:color="auto"/>
                        <w:right w:val="none" w:sz="0" w:space="0" w:color="auto"/>
                      </w:divBdr>
                      <w:divsChild>
                        <w:div w:id="1246498428">
                          <w:marLeft w:val="0"/>
                          <w:marRight w:val="0"/>
                          <w:marTop w:val="0"/>
                          <w:marBottom w:val="0"/>
                          <w:divBdr>
                            <w:top w:val="none" w:sz="0" w:space="0" w:color="auto"/>
                            <w:left w:val="none" w:sz="0" w:space="0" w:color="auto"/>
                            <w:bottom w:val="none" w:sz="0" w:space="0" w:color="auto"/>
                            <w:right w:val="none" w:sz="0" w:space="0" w:color="auto"/>
                          </w:divBdr>
                          <w:divsChild>
                            <w:div w:id="800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676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DA58DE35158F4AA3D4C4E601D01A3C" ma:contentTypeVersion="11" ma:contentTypeDescription="Create a new document." ma:contentTypeScope="" ma:versionID="14351346ead2f28c0fc12293d96f5273">
  <xsd:schema xmlns:xsd="http://www.w3.org/2001/XMLSchema" xmlns:xs="http://www.w3.org/2001/XMLSchema" xmlns:p="http://schemas.microsoft.com/office/2006/metadata/properties" xmlns:ns2="41c02332-548b-4f1f-be26-afae8cf7b03b" xmlns:ns3="ff835221-d2c1-43ba-8d5c-33830dd73e60" targetNamespace="http://schemas.microsoft.com/office/2006/metadata/properties" ma:root="true" ma:fieldsID="23b31ffbef44d210b233195df6acab0f" ns2:_="" ns3:_="">
    <xsd:import namespace="41c02332-548b-4f1f-be26-afae8cf7b03b"/>
    <xsd:import namespace="ff835221-d2c1-43ba-8d5c-33830dd73e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02332-548b-4f1f-be26-afae8cf7b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a13986-39f3-4743-afba-c43af57456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35221-d2c1-43ba-8d5c-33830dd73e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890dde-5f03-4265-9b96-89c46d757fe8}" ma:internalName="TaxCatchAll" ma:showField="CatchAllData" ma:web="ff835221-d2c1-43ba-8d5c-33830dd73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c02332-548b-4f1f-be26-afae8cf7b03b">
      <Terms xmlns="http://schemas.microsoft.com/office/infopath/2007/PartnerControls"/>
    </lcf76f155ced4ddcb4097134ff3c332f>
    <TaxCatchAll xmlns="ff835221-d2c1-43ba-8d5c-33830dd73e6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790554-2E26-42DB-B1EC-1F18DD18C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02332-548b-4f1f-be26-afae8cf7b03b"/>
    <ds:schemaRef ds:uri="ff835221-d2c1-43ba-8d5c-33830dd73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779A8-7A3D-4CDF-9331-B8441ABF3BCE}">
  <ds:schemaRefs>
    <ds:schemaRef ds:uri="http://schemas.microsoft.com/sharepoint/v3/contenttype/forms"/>
  </ds:schemaRefs>
</ds:datastoreItem>
</file>

<file path=customXml/itemProps4.xml><?xml version="1.0" encoding="utf-8"?>
<ds:datastoreItem xmlns:ds="http://schemas.openxmlformats.org/officeDocument/2006/customXml" ds:itemID="{54AADFA3-A5A4-4535-B092-8B677F1F21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1c02332-548b-4f1f-be26-afae8cf7b03b"/>
    <ds:schemaRef ds:uri="http://purl.org/dc/terms/"/>
    <ds:schemaRef ds:uri="http://schemas.openxmlformats.org/package/2006/metadata/core-properties"/>
    <ds:schemaRef ds:uri="ff835221-d2c1-43ba-8d5c-33830dd73e60"/>
    <ds:schemaRef ds:uri="http://www.w3.org/XML/1998/namespace"/>
    <ds:schemaRef ds:uri="http://purl.org/dc/dcmitype/"/>
  </ds:schemaRefs>
</ds:datastoreItem>
</file>

<file path=customXml/itemProps5.xml><?xml version="1.0" encoding="utf-8"?>
<ds:datastoreItem xmlns:ds="http://schemas.openxmlformats.org/officeDocument/2006/customXml" ds:itemID="{E794C766-2A77-4854-B1E7-744C6945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Licitación de la contratación de servicios personalizados en destino en México, India y EE.UU</vt:lpstr>
    </vt:vector>
  </TitlesOfParts>
  <Company>personal</Company>
  <LinksUpToDate>false</LinksUpToDate>
  <CharactersWithSpaces>3511</CharactersWithSpaces>
  <SharedDoc>false</SharedDoc>
  <HLinks>
    <vt:vector size="18" baseType="variant">
      <vt:variant>
        <vt:i4>1048637</vt:i4>
      </vt:variant>
      <vt:variant>
        <vt:i4>11</vt:i4>
      </vt:variant>
      <vt:variant>
        <vt:i4>0</vt:i4>
      </vt:variant>
      <vt:variant>
        <vt:i4>5</vt:i4>
      </vt:variant>
      <vt:variant>
        <vt:lpwstr/>
      </vt:variant>
      <vt:variant>
        <vt:lpwstr>_Toc158033717</vt:lpwstr>
      </vt:variant>
      <vt:variant>
        <vt:i4>1048637</vt:i4>
      </vt:variant>
      <vt:variant>
        <vt:i4>8</vt:i4>
      </vt:variant>
      <vt:variant>
        <vt:i4>0</vt:i4>
      </vt:variant>
      <vt:variant>
        <vt:i4>5</vt:i4>
      </vt:variant>
      <vt:variant>
        <vt:lpwstr/>
      </vt:variant>
      <vt:variant>
        <vt:lpwstr>_Toc158033716</vt:lpwstr>
      </vt:variant>
      <vt:variant>
        <vt:i4>1048637</vt:i4>
      </vt:variant>
      <vt:variant>
        <vt:i4>2</vt:i4>
      </vt:variant>
      <vt:variant>
        <vt:i4>0</vt:i4>
      </vt:variant>
      <vt:variant>
        <vt:i4>5</vt:i4>
      </vt:variant>
      <vt:variant>
        <vt:lpwstr/>
      </vt:variant>
      <vt:variant>
        <vt:lpwstr>_Toc158033715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de la contratación de servicios personalizados en destino en México, India y EE.UU</dc:title>
  <dc:subject>4to documento de preguntas sobre los pliegos</dc:subject>
  <dc:creator>Biarai</dc:creator>
  <cp:keywords/>
  <dc:description/>
  <cp:lastModifiedBy>Escudero Goldaracena, Borja (Servicio de Proyección Internaciona</cp:lastModifiedBy>
  <cp:revision>4</cp:revision>
  <cp:lastPrinted>2023-05-02T03:40:00Z</cp:lastPrinted>
  <dcterms:created xsi:type="dcterms:W3CDTF">2025-02-06T08:34:00Z</dcterms:created>
  <dcterms:modified xsi:type="dcterms:W3CDTF">2025-02-06T13:12:00Z</dcterms:modified>
  <cp:category>Ciudad de México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0x0101008DDA58DE35158F4AA3D4C4E601D01A3C</vt:lpwstr>
  </property>
  <property fmtid="{D5CDD505-2E9C-101B-9397-08002B2CF9AE}" pid="3" name="MediaServiceImageTags">
    <vt:lpwstr/>
  </property>
</Properties>
</file>