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3077" w14:textId="5B036F8B" w:rsidR="00BB04E8" w:rsidRPr="00EC6664" w:rsidRDefault="00BB04E8" w:rsidP="0069562F">
      <w:pPr>
        <w:rPr>
          <w:rFonts w:ascii="Aptos" w:hAnsi="Aptos"/>
        </w:rPr>
      </w:pPr>
    </w:p>
    <w:p w14:paraId="1387E9F6" w14:textId="08431474" w:rsidR="0069562F" w:rsidRPr="00DD7BCB" w:rsidRDefault="0012393D" w:rsidP="0069562F">
      <w:pPr>
        <w:pStyle w:val="Ttulo1"/>
        <w:rPr>
          <w:rFonts w:ascii="Arial" w:hAnsi="Arial" w:cs="Arial"/>
        </w:rPr>
      </w:pPr>
      <w:r>
        <w:rPr>
          <w:rFonts w:ascii="Arial" w:hAnsi="Arial" w:cs="Arial"/>
        </w:rPr>
        <w:t>P</w:t>
      </w:r>
      <w:r w:rsidR="003E3F08" w:rsidRPr="00DD7BCB">
        <w:rPr>
          <w:rFonts w:ascii="Arial" w:hAnsi="Arial" w:cs="Arial"/>
        </w:rPr>
        <w:t>reguntas</w:t>
      </w:r>
      <w:r w:rsidR="0012707F">
        <w:rPr>
          <w:rFonts w:ascii="Arial" w:hAnsi="Arial" w:cs="Arial"/>
        </w:rPr>
        <w:t xml:space="preserve"> sobr</w:t>
      </w:r>
      <w:r>
        <w:rPr>
          <w:rFonts w:ascii="Arial" w:hAnsi="Arial" w:cs="Arial"/>
        </w:rPr>
        <w:t>e los pliegos</w:t>
      </w:r>
    </w:p>
    <w:p w14:paraId="1DAAD0E9" w14:textId="77777777" w:rsidR="00E9526C" w:rsidRPr="00DD7BCB" w:rsidRDefault="00E9526C" w:rsidP="00424C0F"/>
    <w:p w14:paraId="01CA9FC4" w14:textId="4023B5B6" w:rsidR="008D67BA" w:rsidRPr="008D67BA" w:rsidRDefault="003B726B" w:rsidP="008D67BA">
      <w:pPr>
        <w:pStyle w:val="Prrafodelista"/>
        <w:numPr>
          <w:ilvl w:val="0"/>
          <w:numId w:val="13"/>
        </w:numPr>
        <w:rPr>
          <w:rFonts w:ascii="Aptos" w:hAnsi="Aptos"/>
          <w:b/>
          <w:bCs/>
        </w:rPr>
      </w:pPr>
      <w:r w:rsidRPr="008D67BA">
        <w:rPr>
          <w:rFonts w:ascii="Aptos" w:hAnsi="Aptos"/>
          <w:b/>
        </w:rPr>
        <w:t xml:space="preserve">En la </w:t>
      </w:r>
      <w:r w:rsidR="00014EB7" w:rsidRPr="008D67BA">
        <w:rPr>
          <w:rFonts w:ascii="Aptos" w:hAnsi="Aptos"/>
          <w:b/>
        </w:rPr>
        <w:t>página</w:t>
      </w:r>
      <w:r w:rsidRPr="008D67BA">
        <w:rPr>
          <w:rFonts w:ascii="Aptos" w:hAnsi="Aptos"/>
          <w:b/>
        </w:rPr>
        <w:t xml:space="preserve"> 14 en el apartado 3.2 Experiencia en áreas </w:t>
      </w:r>
      <w:r w:rsidR="00AA65FE" w:rsidRPr="008D67BA">
        <w:rPr>
          <w:rFonts w:ascii="Aptos" w:hAnsi="Aptos"/>
          <w:b/>
        </w:rPr>
        <w:t>específicas</w:t>
      </w:r>
      <w:r w:rsidRPr="008D67BA">
        <w:rPr>
          <w:rFonts w:ascii="Aptos" w:hAnsi="Aptos"/>
          <w:b/>
        </w:rPr>
        <w:t xml:space="preserve"> del país del lote correspondiente se menciona “Se sumaran las puntuaciones de las áreas en las que el equipo haya realzado al menos 25 servicios de entre los que se licitan” . </w:t>
      </w:r>
      <w:r w:rsidRPr="008D67BA">
        <w:rPr>
          <w:rFonts w:ascii="Aptos" w:hAnsi="Aptos"/>
          <w:b/>
          <w:bCs/>
        </w:rPr>
        <w:t>esto quiere decir para el caso de México que para sumar los 2.5 puntos de Ciudad de México se tendrían que haber realizado 25 servicios en esa locación o cada 25 servic</w:t>
      </w:r>
      <w:r w:rsidR="008D67BA" w:rsidRPr="008D67BA">
        <w:rPr>
          <w:rFonts w:ascii="Aptos" w:hAnsi="Aptos"/>
          <w:b/>
          <w:bCs/>
        </w:rPr>
        <w:t>ios dan un punto como en el 3.1.</w:t>
      </w:r>
    </w:p>
    <w:p w14:paraId="34FEE621" w14:textId="3BDDCA9E" w:rsidR="008D67BA" w:rsidRDefault="008D67BA" w:rsidP="008D67BA">
      <w:pPr>
        <w:ind w:left="360"/>
        <w:rPr>
          <w:rFonts w:ascii="Aptos" w:hAnsi="Aptos"/>
          <w:b/>
          <w:bCs/>
        </w:rPr>
      </w:pPr>
    </w:p>
    <w:p w14:paraId="46B2EEC8" w14:textId="1AC8B4AF" w:rsidR="008D67BA" w:rsidRPr="008D67BA" w:rsidRDefault="008D67BA" w:rsidP="008D67BA">
      <w:pPr>
        <w:ind w:left="708"/>
        <w:rPr>
          <w:rFonts w:ascii="Aptos" w:hAnsi="Aptos"/>
          <w:bCs/>
        </w:rPr>
      </w:pPr>
      <w:r w:rsidRPr="008D67BA">
        <w:rPr>
          <w:rFonts w:ascii="Aptos" w:hAnsi="Aptos"/>
          <w:bCs/>
        </w:rPr>
        <w:t xml:space="preserve">Esto quiere decir que cada 25 servicios que el equipo haya realizado en cada área (Ej: Ciudad de México), se sumarán 2,5 puntos. </w:t>
      </w:r>
    </w:p>
    <w:p w14:paraId="3A388CDD" w14:textId="77777777" w:rsidR="003B726B" w:rsidRPr="00AA65FE" w:rsidRDefault="003B726B" w:rsidP="003B726B">
      <w:pPr>
        <w:rPr>
          <w:rFonts w:ascii="Aptos" w:hAnsi="Aptos"/>
        </w:rPr>
      </w:pPr>
    </w:p>
    <w:p w14:paraId="2680D7B9" w14:textId="5A40D2B4" w:rsidR="003B726B" w:rsidRDefault="003B726B" w:rsidP="001C7F66">
      <w:pPr>
        <w:pStyle w:val="Prrafodelista"/>
        <w:numPr>
          <w:ilvl w:val="0"/>
          <w:numId w:val="13"/>
        </w:numPr>
        <w:rPr>
          <w:rFonts w:ascii="Aptos" w:hAnsi="Aptos"/>
        </w:rPr>
      </w:pPr>
      <w:r w:rsidRPr="001C7F66">
        <w:rPr>
          <w:rFonts w:ascii="Aptos" w:hAnsi="Aptos"/>
        </w:rPr>
        <w:t xml:space="preserve">Para el apartado 3.1 Número de servicios realizados de entre los que se licitan </w:t>
      </w:r>
      <w:r w:rsidRPr="001C7F66">
        <w:rPr>
          <w:rFonts w:ascii="Aptos" w:hAnsi="Aptos"/>
          <w:b/>
          <w:bCs/>
        </w:rPr>
        <w:t>¿pueden dos personas puntuar para el mismo perfil?</w:t>
      </w:r>
      <w:r w:rsidRPr="001C7F66">
        <w:rPr>
          <w:rFonts w:ascii="Aptos" w:hAnsi="Aptos"/>
        </w:rPr>
        <w:t xml:space="preserve"> Es deci</w:t>
      </w:r>
      <w:r w:rsidR="00014EB7">
        <w:rPr>
          <w:rFonts w:ascii="Aptos" w:hAnsi="Aptos"/>
        </w:rPr>
        <w:t>r,</w:t>
      </w:r>
      <w:r w:rsidRPr="001C7F66">
        <w:rPr>
          <w:rFonts w:ascii="Aptos" w:hAnsi="Aptos"/>
        </w:rPr>
        <w:t xml:space="preserve"> por </w:t>
      </w:r>
      <w:r w:rsidR="000C190C" w:rsidRPr="001C7F66">
        <w:rPr>
          <w:rFonts w:ascii="Aptos" w:hAnsi="Aptos"/>
        </w:rPr>
        <w:t>ejemplo,</w:t>
      </w:r>
      <w:r w:rsidRPr="001C7F66">
        <w:rPr>
          <w:rFonts w:ascii="Aptos" w:hAnsi="Aptos"/>
        </w:rPr>
        <w:t xml:space="preserve"> que perfil de senior en energías renovable lo tenga una persona A con 50 servicios en el sector y una persona B con otros 25 servicios en el sector obteniendo así el máximo puntaje de 3 puntos por perfil o cada perfil se debe “llenar” con la experiencia de una sola persona</w:t>
      </w:r>
    </w:p>
    <w:p w14:paraId="03E02CF8" w14:textId="0EC2B0A7" w:rsidR="008D67BA" w:rsidRDefault="008D67BA" w:rsidP="008D67BA">
      <w:pPr>
        <w:pStyle w:val="Prrafodelista"/>
        <w:rPr>
          <w:rFonts w:ascii="Aptos" w:hAnsi="Aptos"/>
        </w:rPr>
      </w:pPr>
    </w:p>
    <w:p w14:paraId="7CF42CDD" w14:textId="27547ECB" w:rsidR="004D1C01" w:rsidRPr="00F233B5" w:rsidRDefault="004D1C01" w:rsidP="004D1C01">
      <w:pPr>
        <w:pStyle w:val="Prrafodelista"/>
        <w:jc w:val="both"/>
        <w:rPr>
          <w:rFonts w:ascii="Aptos" w:hAnsi="Aptos"/>
        </w:rPr>
      </w:pPr>
      <w:r w:rsidRPr="00F233B5">
        <w:rPr>
          <w:rFonts w:ascii="Aptos" w:hAnsi="Aptos"/>
        </w:rPr>
        <w:t>Si en un perfil existen dos personas senior que lo cubran, para obtener puntos cada uno de ellos deben haber realizado, al menos, 25 servicios para obtener 1 puntos.  En el ejemplo dado, la persona A obtendría 1 puntos y la persona B ob</w:t>
      </w:r>
      <w:r w:rsidR="00F233B5" w:rsidRPr="00F233B5">
        <w:rPr>
          <w:rFonts w:ascii="Aptos" w:hAnsi="Aptos"/>
        </w:rPr>
        <w:t>tiene 2 puntos, siempre y cuando fueran requisitos adicionales a los solicitados en la solvencia profesional.</w:t>
      </w:r>
    </w:p>
    <w:p w14:paraId="30034C0C" w14:textId="2E67A911" w:rsidR="008D67BA" w:rsidRPr="00F233B5" w:rsidRDefault="008D67BA" w:rsidP="00F233B5">
      <w:pPr>
        <w:jc w:val="both"/>
        <w:rPr>
          <w:rFonts w:ascii="Aptos" w:hAnsi="Aptos"/>
        </w:rPr>
      </w:pPr>
    </w:p>
    <w:p w14:paraId="3EAA94C0" w14:textId="77777777" w:rsidR="003B726B" w:rsidRPr="00AA65FE" w:rsidRDefault="003B726B" w:rsidP="004D1C01">
      <w:pPr>
        <w:jc w:val="both"/>
        <w:rPr>
          <w:rFonts w:ascii="Aptos" w:hAnsi="Aptos"/>
        </w:rPr>
      </w:pPr>
    </w:p>
    <w:p w14:paraId="58AD7177" w14:textId="161E7427" w:rsidR="001C7F66" w:rsidRPr="00AE6911" w:rsidRDefault="00F16F37" w:rsidP="004D1C01">
      <w:pPr>
        <w:numPr>
          <w:ilvl w:val="0"/>
          <w:numId w:val="12"/>
        </w:numPr>
        <w:spacing w:after="160" w:line="278" w:lineRule="auto"/>
        <w:jc w:val="both"/>
        <w:rPr>
          <w:rFonts w:ascii="Aptos" w:hAnsi="Aptos"/>
          <w:b/>
        </w:rPr>
      </w:pPr>
      <w:r w:rsidRPr="00AE6911">
        <w:rPr>
          <w:rFonts w:ascii="Aptos" w:hAnsi="Aptos"/>
          <w:b/>
        </w:rPr>
        <w:t>Con</w:t>
      </w:r>
      <w:r w:rsidR="003B726B" w:rsidRPr="00AE6911">
        <w:rPr>
          <w:rFonts w:ascii="Aptos" w:hAnsi="Aptos"/>
          <w:b/>
        </w:rPr>
        <w:t xml:space="preserve"> base a la respuesta de la pregunta </w:t>
      </w:r>
      <w:r w:rsidR="001C7F66" w:rsidRPr="00AE6911">
        <w:rPr>
          <w:rFonts w:ascii="Aptos" w:hAnsi="Aptos"/>
          <w:b/>
        </w:rPr>
        <w:t xml:space="preserve">contestada el </w:t>
      </w:r>
      <w:r w:rsidRPr="00AE6911">
        <w:rPr>
          <w:rFonts w:ascii="Aptos" w:hAnsi="Aptos"/>
          <w:b/>
        </w:rPr>
        <w:t>3</w:t>
      </w:r>
      <w:r w:rsidR="001C7F66" w:rsidRPr="00AE6911">
        <w:rPr>
          <w:rFonts w:ascii="Aptos" w:hAnsi="Aptos"/>
          <w:b/>
        </w:rPr>
        <w:t xml:space="preserve"> de febrero</w:t>
      </w:r>
      <w:r w:rsidR="00014EB7" w:rsidRPr="00AE6911">
        <w:rPr>
          <w:rFonts w:ascii="Aptos" w:hAnsi="Aptos"/>
          <w:b/>
        </w:rPr>
        <w:t xml:space="preserve">: </w:t>
      </w:r>
    </w:p>
    <w:p w14:paraId="311969F6" w14:textId="10E6CA02" w:rsidR="003B726B" w:rsidRPr="00AE6911" w:rsidRDefault="003B726B" w:rsidP="001C7F66">
      <w:pPr>
        <w:spacing w:after="160" w:line="278" w:lineRule="auto"/>
        <w:ind w:left="720"/>
        <w:rPr>
          <w:rFonts w:ascii="Aptos" w:hAnsi="Aptos"/>
          <w:b/>
        </w:rPr>
      </w:pPr>
      <w:r w:rsidRPr="00AE6911">
        <w:rPr>
          <w:rFonts w:ascii="Aptos" w:hAnsi="Aptos"/>
          <w:b/>
        </w:rPr>
        <w:t xml:space="preserve"> En la página 29 en el punto 3 EXPERIENCIA se menciona: Experiencia del personal adscrito a la ejecución del contrato en realización de servicios de apoyo en destino para empresas, de entre los que se licitan, en el país del lote al que se opta, en los últimos 5 años (no se deben indicar los que se presenten para cumplir los criterios de solvencia, puesto que no puntuaran en ese apartado). ¿A qué se refieren con lo indicado entre paréntesis?</w:t>
      </w:r>
    </w:p>
    <w:p w14:paraId="3702BE89" w14:textId="77777777" w:rsidR="003B726B" w:rsidRPr="00AE6911" w:rsidRDefault="003B726B" w:rsidP="003B726B">
      <w:pPr>
        <w:spacing w:line="278" w:lineRule="auto"/>
        <w:rPr>
          <w:rFonts w:ascii="Aptos" w:hAnsi="Aptos"/>
          <w:b/>
        </w:rPr>
      </w:pPr>
    </w:p>
    <w:p w14:paraId="7F546223" w14:textId="31EFF85E" w:rsidR="003B726B" w:rsidRPr="00AE6911" w:rsidRDefault="001C7F66" w:rsidP="003B726B">
      <w:pPr>
        <w:spacing w:line="278" w:lineRule="auto"/>
        <w:rPr>
          <w:rFonts w:ascii="Aptos" w:hAnsi="Aptos"/>
          <w:b/>
        </w:rPr>
      </w:pPr>
      <w:r w:rsidRPr="00AE6911">
        <w:rPr>
          <w:rFonts w:ascii="Aptos" w:hAnsi="Aptos"/>
          <w:b/>
        </w:rPr>
        <w:t xml:space="preserve">Respuesta: </w:t>
      </w:r>
      <w:r w:rsidR="003B726B" w:rsidRPr="00AE6911">
        <w:rPr>
          <w:rFonts w:ascii="Aptos" w:hAnsi="Aptos"/>
          <w:b/>
        </w:rPr>
        <w:t>Para poder optar al contrato, en el apartado 2 del punto 11 del pliego sobre la “Solvencia técnica o profesional”, se dispone lo siguiente:</w:t>
      </w:r>
    </w:p>
    <w:p w14:paraId="6345C6C8" w14:textId="77777777" w:rsidR="003B726B" w:rsidRPr="00AE6911" w:rsidRDefault="003B726B" w:rsidP="003B726B">
      <w:pPr>
        <w:spacing w:after="160" w:line="278" w:lineRule="auto"/>
        <w:rPr>
          <w:rFonts w:ascii="Aptos" w:hAnsi="Aptos"/>
          <w:b/>
        </w:rPr>
      </w:pPr>
      <w:r w:rsidRPr="00AE6911">
        <w:rPr>
          <w:rFonts w:ascii="Aptos" w:hAnsi="Aptos"/>
          <w:b/>
        </w:rPr>
        <w:t xml:space="preserve">“Experiencia del equipo asignado al proyecto </w:t>
      </w:r>
    </w:p>
    <w:p w14:paraId="06E7E06B" w14:textId="77777777" w:rsidR="003B726B" w:rsidRPr="00AE6911" w:rsidRDefault="003B726B" w:rsidP="003B726B">
      <w:pPr>
        <w:spacing w:after="160" w:line="278" w:lineRule="auto"/>
        <w:rPr>
          <w:rFonts w:ascii="Aptos" w:hAnsi="Aptos"/>
          <w:b/>
        </w:rPr>
      </w:pPr>
    </w:p>
    <w:p w14:paraId="089922B8" w14:textId="77777777" w:rsidR="003B726B" w:rsidRPr="00AE6911" w:rsidRDefault="003B726B" w:rsidP="003B726B">
      <w:pPr>
        <w:spacing w:line="278" w:lineRule="auto"/>
        <w:rPr>
          <w:rFonts w:ascii="Aptos" w:hAnsi="Aptos"/>
          <w:b/>
        </w:rPr>
      </w:pPr>
      <w:r w:rsidRPr="00AE6911">
        <w:rPr>
          <w:rFonts w:ascii="Aptos" w:hAnsi="Aptos"/>
          <w:b/>
        </w:rPr>
        <w:lastRenderedPageBreak/>
        <w:t xml:space="preserve">Será requisito que las personas del equipo asignado dispongan de </w:t>
      </w:r>
      <w:bookmarkStart w:id="0" w:name="_GoBack"/>
      <w:bookmarkEnd w:id="0"/>
      <w:r w:rsidRPr="00AE6911">
        <w:rPr>
          <w:rFonts w:ascii="Aptos" w:hAnsi="Aptos"/>
          <w:b/>
        </w:rPr>
        <w:t>experiencia anterior (directa, contrastada y demostrable) en los servicios de apoyo en destino que se licitan en cada uno de los 3 últimos años (2022, 2023 y 2024). En concreto, será necesario que cada uno de los perfiles exigidos haya realizado un mínimo de 25 servicios de apoyo a la internacionalización, correspondientes a las labores del perfil exigido que cubran, durante los 3 últimos años (2022, 2023 y 2024).”</w:t>
      </w:r>
    </w:p>
    <w:p w14:paraId="75D5A902" w14:textId="77777777" w:rsidR="003B726B" w:rsidRPr="00AE6911" w:rsidRDefault="003B726B" w:rsidP="003B726B">
      <w:pPr>
        <w:spacing w:line="278" w:lineRule="auto"/>
        <w:rPr>
          <w:rFonts w:ascii="Aptos" w:hAnsi="Aptos"/>
          <w:b/>
        </w:rPr>
      </w:pPr>
      <w:r w:rsidRPr="00AE6911">
        <w:rPr>
          <w:rFonts w:ascii="Aptos" w:hAnsi="Aptos"/>
          <w:b/>
        </w:rPr>
        <w:t xml:space="preserve">El párrafo indicado en la pregunta “No se deben indicar los que se presenten para cumplir los criterios de solvencia, puesto que no puntuaran en ese apartado” quiere decir que aquellos servicios presentados para cumplir con la solvencia técnica o profesional indicada en el párrafo, NO se tienen en cuenta a la hora de sumar puntos en el punto referido a la “Experiencia” de los criterios a valorar mediante fórmulas.  </w:t>
      </w:r>
    </w:p>
    <w:p w14:paraId="20C1AC76" w14:textId="55412DEB" w:rsidR="003B726B" w:rsidRPr="00AE6911" w:rsidRDefault="003B726B" w:rsidP="003B726B">
      <w:pPr>
        <w:rPr>
          <w:rFonts w:ascii="Aptos" w:hAnsi="Aptos"/>
          <w:b/>
          <w:bCs/>
        </w:rPr>
      </w:pPr>
      <w:r w:rsidRPr="00AE6911">
        <w:rPr>
          <w:rFonts w:ascii="Aptos" w:hAnsi="Aptos"/>
          <w:b/>
          <w:bCs/>
        </w:rPr>
        <w:t>¿Esto quiere decir que por perfil se deben presentar 100 servicios?</w:t>
      </w:r>
      <w:r w:rsidR="001C7F66" w:rsidRPr="00AE6911">
        <w:rPr>
          <w:rFonts w:ascii="Aptos" w:hAnsi="Aptos"/>
          <w:b/>
          <w:bCs/>
        </w:rPr>
        <w:t xml:space="preserve"> </w:t>
      </w:r>
      <w:r w:rsidRPr="00AE6911">
        <w:rPr>
          <w:rFonts w:ascii="Aptos" w:hAnsi="Aptos"/>
          <w:b/>
          <w:bCs/>
        </w:rPr>
        <w:t xml:space="preserve"> 25 de los últimos 3 años para acreditar la solvencia y otros 75 servicios diferentes en los </w:t>
      </w:r>
      <w:r w:rsidR="001C7F66" w:rsidRPr="00AE6911">
        <w:rPr>
          <w:rFonts w:ascii="Aptos" w:hAnsi="Aptos"/>
          <w:b/>
          <w:bCs/>
        </w:rPr>
        <w:t>últimos</w:t>
      </w:r>
      <w:r w:rsidRPr="00AE6911">
        <w:rPr>
          <w:rFonts w:ascii="Aptos" w:hAnsi="Aptos"/>
          <w:b/>
          <w:bCs/>
        </w:rPr>
        <w:t xml:space="preserve"> 5 años para puntuar?</w:t>
      </w:r>
    </w:p>
    <w:p w14:paraId="408B79B8" w14:textId="2EE6B619" w:rsidR="008D67BA" w:rsidRPr="00AE6911" w:rsidRDefault="008D67BA" w:rsidP="003B726B">
      <w:pPr>
        <w:rPr>
          <w:rFonts w:ascii="Aptos" w:hAnsi="Aptos"/>
          <w:b/>
          <w:bCs/>
        </w:rPr>
      </w:pPr>
    </w:p>
    <w:p w14:paraId="63E4A59C" w14:textId="51EB9B47" w:rsidR="008D67BA" w:rsidRDefault="008D67BA" w:rsidP="003B726B">
      <w:pPr>
        <w:rPr>
          <w:rFonts w:ascii="Aptos" w:hAnsi="Aptos"/>
          <w:bCs/>
        </w:rPr>
      </w:pPr>
      <w:r>
        <w:rPr>
          <w:rFonts w:ascii="Aptos" w:hAnsi="Aptos"/>
          <w:bCs/>
        </w:rPr>
        <w:t xml:space="preserve">Esto quiere decir que </w:t>
      </w:r>
      <w:r w:rsidRPr="00F233B5">
        <w:rPr>
          <w:rFonts w:ascii="Aptos" w:hAnsi="Aptos"/>
          <w:b/>
          <w:bCs/>
          <w:u w:val="single"/>
        </w:rPr>
        <w:t>como mínimo</w:t>
      </w:r>
      <w:r>
        <w:rPr>
          <w:rFonts w:ascii="Aptos" w:hAnsi="Aptos"/>
          <w:bCs/>
        </w:rPr>
        <w:t xml:space="preserve">, para poder ser elegida como adjudicataria, habrá que </w:t>
      </w:r>
      <w:r w:rsidR="0012707F">
        <w:rPr>
          <w:rFonts w:ascii="Aptos" w:hAnsi="Aptos"/>
          <w:bCs/>
        </w:rPr>
        <w:t>tener una experiencia previa contrastable de 25 servicios por cada uno de los perfiles (apartado 11.2 de los pliegos)</w:t>
      </w:r>
    </w:p>
    <w:p w14:paraId="262B4889" w14:textId="62787EAF" w:rsidR="0012707F" w:rsidRDefault="0012707F" w:rsidP="003B726B">
      <w:pPr>
        <w:rPr>
          <w:rFonts w:ascii="Aptos" w:hAnsi="Aptos"/>
          <w:bCs/>
        </w:rPr>
      </w:pPr>
    </w:p>
    <w:p w14:paraId="43A0EFBE" w14:textId="7F114F90" w:rsidR="0012707F" w:rsidRDefault="0012707F" w:rsidP="003B726B">
      <w:pPr>
        <w:rPr>
          <w:rFonts w:ascii="Aptos" w:hAnsi="Aptos"/>
          <w:bCs/>
        </w:rPr>
      </w:pPr>
      <w:r>
        <w:rPr>
          <w:rFonts w:ascii="Aptos" w:hAnsi="Aptos"/>
          <w:bCs/>
        </w:rPr>
        <w:t xml:space="preserve">Para “añadir” puntos por experiencia previa (apartado 19.3 de los pliegos), se debe tener experiencia previa contrastable diferentes de la ya “utilizada” para la solvencia técnica. </w:t>
      </w:r>
    </w:p>
    <w:p w14:paraId="56265168" w14:textId="2ACACB21" w:rsidR="0012707F" w:rsidRPr="008D67BA" w:rsidRDefault="0012707F" w:rsidP="003B726B">
      <w:pPr>
        <w:rPr>
          <w:rFonts w:ascii="Aptos" w:hAnsi="Aptos"/>
          <w:bCs/>
        </w:rPr>
      </w:pPr>
      <w:r>
        <w:rPr>
          <w:rFonts w:ascii="Aptos" w:hAnsi="Aptos"/>
          <w:bCs/>
        </w:rPr>
        <w:br/>
        <w:t>Esto no quiere decir que sea “obligatorio” tene</w:t>
      </w:r>
      <w:r w:rsidR="00122569">
        <w:rPr>
          <w:rFonts w:ascii="Aptos" w:hAnsi="Aptos"/>
          <w:bCs/>
        </w:rPr>
        <w:t>r más experiencia que la solvencia mínima dispuesta en el apartado 11.2 de los pliegos.</w:t>
      </w:r>
      <w:r>
        <w:rPr>
          <w:rFonts w:ascii="Aptos" w:hAnsi="Aptos"/>
          <w:bCs/>
        </w:rPr>
        <w:t xml:space="preserve"> SI no se dispone de más experiencia que la “mí</w:t>
      </w:r>
      <w:r w:rsidR="00122569">
        <w:rPr>
          <w:rFonts w:ascii="Aptos" w:hAnsi="Aptos"/>
          <w:bCs/>
        </w:rPr>
        <w:t xml:space="preserve">nima” obligatoria, no se puntuará nada por ese apartado. </w:t>
      </w:r>
      <w:r>
        <w:rPr>
          <w:rFonts w:ascii="Aptos" w:hAnsi="Aptos"/>
          <w:bCs/>
        </w:rPr>
        <w:t xml:space="preserve"> </w:t>
      </w:r>
    </w:p>
    <w:p w14:paraId="58CC7F8A" w14:textId="77777777" w:rsidR="001C7F66" w:rsidRDefault="001C7F66" w:rsidP="003B726B">
      <w:pPr>
        <w:rPr>
          <w:rFonts w:ascii="Aptos" w:hAnsi="Aptos"/>
        </w:rPr>
      </w:pPr>
    </w:p>
    <w:p w14:paraId="604ADC15" w14:textId="77777777" w:rsidR="000B3D18" w:rsidRDefault="000B3D18" w:rsidP="003B726B">
      <w:pPr>
        <w:rPr>
          <w:rFonts w:ascii="Aptos" w:hAnsi="Aptos"/>
        </w:rPr>
      </w:pPr>
    </w:p>
    <w:p w14:paraId="53E6E1A9" w14:textId="77777777" w:rsidR="000B3D18" w:rsidRDefault="000B3D18" w:rsidP="003B726B">
      <w:pPr>
        <w:rPr>
          <w:rFonts w:ascii="Aptos" w:hAnsi="Aptos"/>
        </w:rPr>
      </w:pPr>
    </w:p>
    <w:p w14:paraId="67E19468" w14:textId="77777777" w:rsidR="001C7F66" w:rsidRDefault="001C7F66" w:rsidP="003B726B">
      <w:pPr>
        <w:rPr>
          <w:rFonts w:ascii="Aptos" w:hAnsi="Aptos"/>
        </w:rPr>
      </w:pPr>
    </w:p>
    <w:p w14:paraId="3556B549" w14:textId="77777777" w:rsidR="001C7F66" w:rsidRDefault="001C7F66" w:rsidP="003B726B">
      <w:pPr>
        <w:rPr>
          <w:rFonts w:ascii="Aptos" w:hAnsi="Aptos"/>
        </w:rPr>
      </w:pPr>
    </w:p>
    <w:p w14:paraId="690E8A00" w14:textId="77777777" w:rsidR="001C7F66" w:rsidRPr="00AA65FE" w:rsidRDefault="001C7F66" w:rsidP="003B726B">
      <w:pPr>
        <w:rPr>
          <w:rFonts w:ascii="Aptos" w:hAnsi="Aptos"/>
        </w:rPr>
      </w:pPr>
    </w:p>
    <w:p w14:paraId="4F68C663" w14:textId="77777777" w:rsidR="00882210" w:rsidRPr="00882210" w:rsidRDefault="00882210" w:rsidP="00882210">
      <w:pPr>
        <w:spacing w:after="160" w:line="259" w:lineRule="auto"/>
        <w:jc w:val="both"/>
        <w:rPr>
          <w:rFonts w:ascii="Arial" w:hAnsi="Arial" w:cs="Arial"/>
          <w:szCs w:val="20"/>
        </w:rPr>
      </w:pPr>
    </w:p>
    <w:p w14:paraId="0F034B4C" w14:textId="77777777" w:rsidR="00882210" w:rsidRPr="00882210" w:rsidRDefault="00882210" w:rsidP="00882210">
      <w:pPr>
        <w:spacing w:after="160" w:line="259" w:lineRule="auto"/>
        <w:jc w:val="both"/>
        <w:rPr>
          <w:rFonts w:ascii="Times New Roman" w:hAnsi="Times New Roman" w:cs="Times New Roman"/>
          <w:sz w:val="32"/>
        </w:rPr>
      </w:pPr>
    </w:p>
    <w:sectPr w:rsidR="00882210" w:rsidRPr="00882210" w:rsidSect="00ED38B0">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90F7" w14:textId="77777777" w:rsidR="009F596D" w:rsidRPr="00EC6664" w:rsidRDefault="009F596D" w:rsidP="00DA1914">
      <w:r w:rsidRPr="00EC6664">
        <w:separator/>
      </w:r>
    </w:p>
  </w:endnote>
  <w:endnote w:type="continuationSeparator" w:id="0">
    <w:p w14:paraId="5B7C949E" w14:textId="77777777" w:rsidR="009F596D" w:rsidRPr="00EC6664" w:rsidRDefault="009F596D" w:rsidP="00DA1914">
      <w:r w:rsidRPr="00EC6664">
        <w:continuationSeparator/>
      </w:r>
    </w:p>
  </w:endnote>
  <w:endnote w:type="continuationNotice" w:id="1">
    <w:p w14:paraId="1EC6A5D5" w14:textId="77777777" w:rsidR="009F596D" w:rsidRDefault="009F5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323694"/>
      <w:docPartObj>
        <w:docPartGallery w:val="Page Numbers (Bottom of Page)"/>
        <w:docPartUnique/>
      </w:docPartObj>
    </w:sdtPr>
    <w:sdtEndPr/>
    <w:sdtContent>
      <w:p w14:paraId="2D2552B3" w14:textId="3ADB9675" w:rsidR="00A43049" w:rsidRDefault="00A43049">
        <w:pPr>
          <w:pStyle w:val="Piedepgina"/>
          <w:jc w:val="right"/>
        </w:pPr>
        <w:r>
          <w:fldChar w:fldCharType="begin"/>
        </w:r>
        <w:r>
          <w:instrText>PAGE   \* MERGEFORMAT</w:instrText>
        </w:r>
        <w:r>
          <w:fldChar w:fldCharType="separate"/>
        </w:r>
        <w:r w:rsidR="00613289">
          <w:rPr>
            <w:noProof/>
          </w:rPr>
          <w:t>1</w:t>
        </w:r>
        <w:r>
          <w:fldChar w:fldCharType="end"/>
        </w:r>
      </w:p>
    </w:sdtContent>
  </w:sdt>
  <w:p w14:paraId="63D0458B" w14:textId="145EBFBC" w:rsidR="00C16462" w:rsidRPr="00EC6664" w:rsidRDefault="00C16462" w:rsidP="00A576AD">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8B170" w14:textId="77777777" w:rsidR="009F596D" w:rsidRPr="00EC6664" w:rsidRDefault="009F596D" w:rsidP="00DA1914">
      <w:r w:rsidRPr="00EC6664">
        <w:separator/>
      </w:r>
    </w:p>
  </w:footnote>
  <w:footnote w:type="continuationSeparator" w:id="0">
    <w:p w14:paraId="7B7435CF" w14:textId="77777777" w:rsidR="009F596D" w:rsidRPr="00EC6664" w:rsidRDefault="009F596D" w:rsidP="00DA1914">
      <w:r w:rsidRPr="00EC6664">
        <w:continuationSeparator/>
      </w:r>
    </w:p>
  </w:footnote>
  <w:footnote w:type="continuationNotice" w:id="1">
    <w:p w14:paraId="484AA2C0" w14:textId="77777777" w:rsidR="009F596D" w:rsidRDefault="009F59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AA1"/>
    <w:multiLevelType w:val="hybridMultilevel"/>
    <w:tmpl w:val="2954E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A0B0461"/>
    <w:multiLevelType w:val="hybridMultilevel"/>
    <w:tmpl w:val="7C46EE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A7810"/>
    <w:multiLevelType w:val="hybridMultilevel"/>
    <w:tmpl w:val="9A308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2142C"/>
    <w:multiLevelType w:val="hybridMultilevel"/>
    <w:tmpl w:val="BB7AD268"/>
    <w:lvl w:ilvl="0" w:tplc="DF5C5336">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3D751F"/>
    <w:multiLevelType w:val="hybridMultilevel"/>
    <w:tmpl w:val="E0EA2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1C12D6"/>
    <w:multiLevelType w:val="hybridMultilevel"/>
    <w:tmpl w:val="14B82B56"/>
    <w:lvl w:ilvl="0" w:tplc="0652F0DE">
      <w:numFmt w:val="bullet"/>
      <w:lvlText w:val=""/>
      <w:lvlJc w:val="left"/>
      <w:pPr>
        <w:ind w:left="720" w:hanging="360"/>
      </w:pPr>
      <w:rPr>
        <w:rFonts w:ascii="Symbol" w:eastAsiaTheme="minorEastAsia"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EB15FE"/>
    <w:multiLevelType w:val="hybridMultilevel"/>
    <w:tmpl w:val="57A48F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A442C2"/>
    <w:multiLevelType w:val="hybridMultilevel"/>
    <w:tmpl w:val="6A188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99C4A13"/>
    <w:multiLevelType w:val="hybridMultilevel"/>
    <w:tmpl w:val="026E9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B2529C2"/>
    <w:multiLevelType w:val="hybridMultilevel"/>
    <w:tmpl w:val="CDC225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CB5B6C"/>
    <w:multiLevelType w:val="hybridMultilevel"/>
    <w:tmpl w:val="02AE0C0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9C2519B"/>
    <w:multiLevelType w:val="hybridMultilevel"/>
    <w:tmpl w:val="FCD067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4"/>
  </w:num>
  <w:num w:numId="5">
    <w:abstractNumId w:val="10"/>
  </w:num>
  <w:num w:numId="6">
    <w:abstractNumId w:val="7"/>
  </w:num>
  <w:num w:numId="7">
    <w:abstractNumId w:val="1"/>
  </w:num>
  <w:num w:numId="8">
    <w:abstractNumId w:val="2"/>
  </w:num>
  <w:num w:numId="9">
    <w:abstractNumId w:val="5"/>
  </w:num>
  <w:num w:numId="10">
    <w:abstractNumId w:val="3"/>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9E"/>
    <w:rsid w:val="0000264D"/>
    <w:rsid w:val="00014EB7"/>
    <w:rsid w:val="0002078C"/>
    <w:rsid w:val="0002455B"/>
    <w:rsid w:val="00027827"/>
    <w:rsid w:val="000325A7"/>
    <w:rsid w:val="000356BE"/>
    <w:rsid w:val="00046E73"/>
    <w:rsid w:val="000913DF"/>
    <w:rsid w:val="00097A00"/>
    <w:rsid w:val="000A1285"/>
    <w:rsid w:val="000B3D18"/>
    <w:rsid w:val="000C190C"/>
    <w:rsid w:val="000C68D3"/>
    <w:rsid w:val="000D0D96"/>
    <w:rsid w:val="000D2E91"/>
    <w:rsid w:val="00102113"/>
    <w:rsid w:val="0010558E"/>
    <w:rsid w:val="00106A89"/>
    <w:rsid w:val="00122569"/>
    <w:rsid w:val="0012393D"/>
    <w:rsid w:val="0012707F"/>
    <w:rsid w:val="00140343"/>
    <w:rsid w:val="001722D6"/>
    <w:rsid w:val="00180FB7"/>
    <w:rsid w:val="001A6FBE"/>
    <w:rsid w:val="001B1846"/>
    <w:rsid w:val="001B53F1"/>
    <w:rsid w:val="001C10B9"/>
    <w:rsid w:val="001C23F2"/>
    <w:rsid w:val="001C2B5D"/>
    <w:rsid w:val="001C5F99"/>
    <w:rsid w:val="001C7F66"/>
    <w:rsid w:val="00201132"/>
    <w:rsid w:val="00213ED8"/>
    <w:rsid w:val="00240BC5"/>
    <w:rsid w:val="00255E65"/>
    <w:rsid w:val="002722DA"/>
    <w:rsid w:val="00291060"/>
    <w:rsid w:val="002A4CC8"/>
    <w:rsid w:val="002B4A3C"/>
    <w:rsid w:val="002B4C0A"/>
    <w:rsid w:val="002C139A"/>
    <w:rsid w:val="002C41FB"/>
    <w:rsid w:val="002F3293"/>
    <w:rsid w:val="003051F5"/>
    <w:rsid w:val="003112CB"/>
    <w:rsid w:val="00314CF9"/>
    <w:rsid w:val="00324061"/>
    <w:rsid w:val="003241BC"/>
    <w:rsid w:val="0032766C"/>
    <w:rsid w:val="003316B0"/>
    <w:rsid w:val="00350486"/>
    <w:rsid w:val="00356BC0"/>
    <w:rsid w:val="0035720F"/>
    <w:rsid w:val="00362E8B"/>
    <w:rsid w:val="00365FD0"/>
    <w:rsid w:val="00376F54"/>
    <w:rsid w:val="00383E2A"/>
    <w:rsid w:val="00390A99"/>
    <w:rsid w:val="003A2FDE"/>
    <w:rsid w:val="003B51D2"/>
    <w:rsid w:val="003B726B"/>
    <w:rsid w:val="003C2F4D"/>
    <w:rsid w:val="003E3F08"/>
    <w:rsid w:val="003F3D69"/>
    <w:rsid w:val="00405B96"/>
    <w:rsid w:val="00416416"/>
    <w:rsid w:val="00424C0F"/>
    <w:rsid w:val="00450829"/>
    <w:rsid w:val="00463B53"/>
    <w:rsid w:val="004873C5"/>
    <w:rsid w:val="004927D8"/>
    <w:rsid w:val="0049751C"/>
    <w:rsid w:val="004A15FD"/>
    <w:rsid w:val="004B7F6E"/>
    <w:rsid w:val="004C32D1"/>
    <w:rsid w:val="004C5BB7"/>
    <w:rsid w:val="004D1C01"/>
    <w:rsid w:val="004E327C"/>
    <w:rsid w:val="004F79D3"/>
    <w:rsid w:val="00503336"/>
    <w:rsid w:val="0052048F"/>
    <w:rsid w:val="0053006F"/>
    <w:rsid w:val="00535CA4"/>
    <w:rsid w:val="0054371D"/>
    <w:rsid w:val="00560F2D"/>
    <w:rsid w:val="00571DC8"/>
    <w:rsid w:val="00587C4B"/>
    <w:rsid w:val="00590488"/>
    <w:rsid w:val="005B4D9E"/>
    <w:rsid w:val="005B5941"/>
    <w:rsid w:val="005C1647"/>
    <w:rsid w:val="005C1EA8"/>
    <w:rsid w:val="005D2558"/>
    <w:rsid w:val="00610A44"/>
    <w:rsid w:val="00613289"/>
    <w:rsid w:val="00633515"/>
    <w:rsid w:val="00647FC6"/>
    <w:rsid w:val="006549AF"/>
    <w:rsid w:val="006560F7"/>
    <w:rsid w:val="0068521E"/>
    <w:rsid w:val="00693226"/>
    <w:rsid w:val="0069377C"/>
    <w:rsid w:val="0069562F"/>
    <w:rsid w:val="006C118D"/>
    <w:rsid w:val="006C1731"/>
    <w:rsid w:val="006C4796"/>
    <w:rsid w:val="006C488B"/>
    <w:rsid w:val="006D56D8"/>
    <w:rsid w:val="006D5ED9"/>
    <w:rsid w:val="006E198A"/>
    <w:rsid w:val="006E599E"/>
    <w:rsid w:val="006F2532"/>
    <w:rsid w:val="007045E6"/>
    <w:rsid w:val="00722507"/>
    <w:rsid w:val="0074535A"/>
    <w:rsid w:val="00763C10"/>
    <w:rsid w:val="007909BC"/>
    <w:rsid w:val="007A1EB1"/>
    <w:rsid w:val="007A2010"/>
    <w:rsid w:val="007A4762"/>
    <w:rsid w:val="007A6EBD"/>
    <w:rsid w:val="007C0179"/>
    <w:rsid w:val="007C0EE7"/>
    <w:rsid w:val="007C48B4"/>
    <w:rsid w:val="007C4EB4"/>
    <w:rsid w:val="007C6035"/>
    <w:rsid w:val="007D41B9"/>
    <w:rsid w:val="007F0E35"/>
    <w:rsid w:val="00814C5F"/>
    <w:rsid w:val="00816693"/>
    <w:rsid w:val="008175B4"/>
    <w:rsid w:val="00831548"/>
    <w:rsid w:val="00831CCE"/>
    <w:rsid w:val="008501FC"/>
    <w:rsid w:val="008551FF"/>
    <w:rsid w:val="00861360"/>
    <w:rsid w:val="00882210"/>
    <w:rsid w:val="0088300C"/>
    <w:rsid w:val="008865CB"/>
    <w:rsid w:val="008931B7"/>
    <w:rsid w:val="008A785A"/>
    <w:rsid w:val="008D0D36"/>
    <w:rsid w:val="008D67BA"/>
    <w:rsid w:val="008D7625"/>
    <w:rsid w:val="009003CA"/>
    <w:rsid w:val="00906602"/>
    <w:rsid w:val="00914F36"/>
    <w:rsid w:val="009212BD"/>
    <w:rsid w:val="00922A40"/>
    <w:rsid w:val="009257C4"/>
    <w:rsid w:val="00935E09"/>
    <w:rsid w:val="00941411"/>
    <w:rsid w:val="00957BFD"/>
    <w:rsid w:val="00964507"/>
    <w:rsid w:val="009665F6"/>
    <w:rsid w:val="00970301"/>
    <w:rsid w:val="00971A05"/>
    <w:rsid w:val="00972ABE"/>
    <w:rsid w:val="00976D83"/>
    <w:rsid w:val="00981D68"/>
    <w:rsid w:val="00985129"/>
    <w:rsid w:val="009907AB"/>
    <w:rsid w:val="009917DC"/>
    <w:rsid w:val="0099695E"/>
    <w:rsid w:val="009A1DF9"/>
    <w:rsid w:val="009A44FB"/>
    <w:rsid w:val="009B0266"/>
    <w:rsid w:val="009B05D3"/>
    <w:rsid w:val="009B26FA"/>
    <w:rsid w:val="009B4393"/>
    <w:rsid w:val="009B6072"/>
    <w:rsid w:val="009B641C"/>
    <w:rsid w:val="009B7869"/>
    <w:rsid w:val="009C6E44"/>
    <w:rsid w:val="009D2DE6"/>
    <w:rsid w:val="009E2B46"/>
    <w:rsid w:val="009E449C"/>
    <w:rsid w:val="009E6DEE"/>
    <w:rsid w:val="009F596D"/>
    <w:rsid w:val="009F5C52"/>
    <w:rsid w:val="00A0104D"/>
    <w:rsid w:val="00A07371"/>
    <w:rsid w:val="00A14DD4"/>
    <w:rsid w:val="00A15EA1"/>
    <w:rsid w:val="00A21634"/>
    <w:rsid w:val="00A23BA4"/>
    <w:rsid w:val="00A26407"/>
    <w:rsid w:val="00A26A96"/>
    <w:rsid w:val="00A32965"/>
    <w:rsid w:val="00A42D90"/>
    <w:rsid w:val="00A43049"/>
    <w:rsid w:val="00A530AE"/>
    <w:rsid w:val="00A53A42"/>
    <w:rsid w:val="00A576AD"/>
    <w:rsid w:val="00A802AD"/>
    <w:rsid w:val="00A87179"/>
    <w:rsid w:val="00A91729"/>
    <w:rsid w:val="00AA643B"/>
    <w:rsid w:val="00AA65FE"/>
    <w:rsid w:val="00AA7307"/>
    <w:rsid w:val="00AD06FC"/>
    <w:rsid w:val="00AE6911"/>
    <w:rsid w:val="00AE7288"/>
    <w:rsid w:val="00AF1A60"/>
    <w:rsid w:val="00AF3BA0"/>
    <w:rsid w:val="00B05F9B"/>
    <w:rsid w:val="00B172DA"/>
    <w:rsid w:val="00B237B8"/>
    <w:rsid w:val="00B276DC"/>
    <w:rsid w:val="00B30BDA"/>
    <w:rsid w:val="00B607F6"/>
    <w:rsid w:val="00B73CF6"/>
    <w:rsid w:val="00B77944"/>
    <w:rsid w:val="00B80A45"/>
    <w:rsid w:val="00B839A3"/>
    <w:rsid w:val="00B86FF1"/>
    <w:rsid w:val="00BA01AA"/>
    <w:rsid w:val="00BA2303"/>
    <w:rsid w:val="00BA74C0"/>
    <w:rsid w:val="00BB04E8"/>
    <w:rsid w:val="00BB5E1F"/>
    <w:rsid w:val="00BE0AA6"/>
    <w:rsid w:val="00BE1B59"/>
    <w:rsid w:val="00BE6E57"/>
    <w:rsid w:val="00BE7469"/>
    <w:rsid w:val="00C00CAA"/>
    <w:rsid w:val="00C16462"/>
    <w:rsid w:val="00C22D76"/>
    <w:rsid w:val="00C417D9"/>
    <w:rsid w:val="00C41CA5"/>
    <w:rsid w:val="00C46319"/>
    <w:rsid w:val="00C56571"/>
    <w:rsid w:val="00C6064A"/>
    <w:rsid w:val="00C675F3"/>
    <w:rsid w:val="00C72145"/>
    <w:rsid w:val="00C831CF"/>
    <w:rsid w:val="00C84139"/>
    <w:rsid w:val="00C86473"/>
    <w:rsid w:val="00CA2EDA"/>
    <w:rsid w:val="00CA3E09"/>
    <w:rsid w:val="00CA6422"/>
    <w:rsid w:val="00CB5466"/>
    <w:rsid w:val="00CB5804"/>
    <w:rsid w:val="00CB7D97"/>
    <w:rsid w:val="00CE2619"/>
    <w:rsid w:val="00CE3E9F"/>
    <w:rsid w:val="00CE4741"/>
    <w:rsid w:val="00CF48D8"/>
    <w:rsid w:val="00D17E6E"/>
    <w:rsid w:val="00D27B4A"/>
    <w:rsid w:val="00D604C6"/>
    <w:rsid w:val="00D614FC"/>
    <w:rsid w:val="00D824DF"/>
    <w:rsid w:val="00D82BA4"/>
    <w:rsid w:val="00D879EA"/>
    <w:rsid w:val="00D90BDF"/>
    <w:rsid w:val="00D92768"/>
    <w:rsid w:val="00DA1914"/>
    <w:rsid w:val="00DC79ED"/>
    <w:rsid w:val="00DD5195"/>
    <w:rsid w:val="00DD7BCB"/>
    <w:rsid w:val="00DE2E69"/>
    <w:rsid w:val="00DE5B2E"/>
    <w:rsid w:val="00DF54C5"/>
    <w:rsid w:val="00E02F83"/>
    <w:rsid w:val="00E11499"/>
    <w:rsid w:val="00E130F8"/>
    <w:rsid w:val="00E131FC"/>
    <w:rsid w:val="00E263E2"/>
    <w:rsid w:val="00E33EE3"/>
    <w:rsid w:val="00E3469C"/>
    <w:rsid w:val="00E36D87"/>
    <w:rsid w:val="00E80F69"/>
    <w:rsid w:val="00E9526C"/>
    <w:rsid w:val="00E973DE"/>
    <w:rsid w:val="00EA164D"/>
    <w:rsid w:val="00EA34FB"/>
    <w:rsid w:val="00EC1CBF"/>
    <w:rsid w:val="00EC2E55"/>
    <w:rsid w:val="00EC6664"/>
    <w:rsid w:val="00ED27A8"/>
    <w:rsid w:val="00ED38B0"/>
    <w:rsid w:val="00EE4C9B"/>
    <w:rsid w:val="00EF4F05"/>
    <w:rsid w:val="00F0027C"/>
    <w:rsid w:val="00F00853"/>
    <w:rsid w:val="00F16F37"/>
    <w:rsid w:val="00F2273E"/>
    <w:rsid w:val="00F233B5"/>
    <w:rsid w:val="00F34CB6"/>
    <w:rsid w:val="00F34DA8"/>
    <w:rsid w:val="00F4758B"/>
    <w:rsid w:val="00F53DB8"/>
    <w:rsid w:val="00F72D46"/>
    <w:rsid w:val="00F77B87"/>
    <w:rsid w:val="00F95112"/>
    <w:rsid w:val="00FA4356"/>
    <w:rsid w:val="00FA4D4F"/>
    <w:rsid w:val="00FB0C2C"/>
    <w:rsid w:val="00FB1191"/>
    <w:rsid w:val="00FB7F83"/>
    <w:rsid w:val="00FE2227"/>
    <w:rsid w:val="00FE50E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8EF48"/>
  <w14:defaultImageDpi w14:val="300"/>
  <w15:docId w15:val="{B39A6412-9D6F-4A9C-93CB-475C9A95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next w:val="Normal"/>
    <w:link w:val="Ttulo1Car"/>
    <w:uiPriority w:val="9"/>
    <w:qFormat/>
    <w:rsid w:val="006E59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1C10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4D9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4D9E"/>
    <w:rPr>
      <w:rFonts w:ascii="Lucida Grande" w:hAnsi="Lucida Grande" w:cs="Lucida Grande"/>
      <w:sz w:val="18"/>
      <w:szCs w:val="18"/>
    </w:rPr>
  </w:style>
  <w:style w:type="paragraph" w:styleId="Citadestacada">
    <w:name w:val="Intense Quote"/>
    <w:basedOn w:val="Normal"/>
    <w:next w:val="Normal"/>
    <w:link w:val="CitadestacadaCar"/>
    <w:uiPriority w:val="30"/>
    <w:qFormat/>
    <w:rsid w:val="001C10B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C10B9"/>
    <w:rPr>
      <w:b/>
      <w:bCs/>
      <w:i/>
      <w:iCs/>
      <w:color w:val="4F81BD" w:themeColor="accent1"/>
    </w:rPr>
  </w:style>
  <w:style w:type="character" w:styleId="Textoennegrita">
    <w:name w:val="Strong"/>
    <w:basedOn w:val="Fuentedeprrafopredeter"/>
    <w:uiPriority w:val="22"/>
    <w:qFormat/>
    <w:rsid w:val="001C10B9"/>
  </w:style>
  <w:style w:type="paragraph" w:styleId="Subttulo">
    <w:name w:val="Subtitle"/>
    <w:basedOn w:val="Normal"/>
    <w:next w:val="Normal"/>
    <w:link w:val="SubttuloCar"/>
    <w:uiPriority w:val="11"/>
    <w:qFormat/>
    <w:rsid w:val="001C10B9"/>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1C10B9"/>
    <w:rPr>
      <w:rFonts w:asciiTheme="majorHAnsi" w:eastAsiaTheme="majorEastAsia" w:hAnsiTheme="majorHAnsi" w:cstheme="majorBidi"/>
      <w:i/>
      <w:iCs/>
      <w:color w:val="4F81BD" w:themeColor="accent1"/>
      <w:spacing w:val="15"/>
    </w:rPr>
  </w:style>
  <w:style w:type="character" w:styleId="nfasisintenso">
    <w:name w:val="Intense Emphasis"/>
    <w:basedOn w:val="Fuentedeprrafopredeter"/>
    <w:autoRedefine/>
    <w:uiPriority w:val="21"/>
    <w:qFormat/>
    <w:rsid w:val="001C10B9"/>
  </w:style>
  <w:style w:type="character" w:customStyle="1" w:styleId="Ttulo2Car">
    <w:name w:val="Título 2 Car"/>
    <w:basedOn w:val="Fuentedeprrafopredeter"/>
    <w:link w:val="Ttulo2"/>
    <w:uiPriority w:val="9"/>
    <w:rsid w:val="001C10B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30BDA"/>
    <w:pPr>
      <w:ind w:left="720"/>
      <w:contextualSpacing/>
    </w:pPr>
  </w:style>
  <w:style w:type="paragraph" w:styleId="Encabezado">
    <w:name w:val="header"/>
    <w:basedOn w:val="Normal"/>
    <w:link w:val="EncabezadoCar"/>
    <w:uiPriority w:val="99"/>
    <w:unhideWhenUsed/>
    <w:rsid w:val="00DA1914"/>
    <w:pPr>
      <w:tabs>
        <w:tab w:val="center" w:pos="4252"/>
        <w:tab w:val="right" w:pos="8504"/>
      </w:tabs>
    </w:pPr>
  </w:style>
  <w:style w:type="character" w:customStyle="1" w:styleId="EncabezadoCar">
    <w:name w:val="Encabezado Car"/>
    <w:basedOn w:val="Fuentedeprrafopredeter"/>
    <w:link w:val="Encabezado"/>
    <w:uiPriority w:val="99"/>
    <w:rsid w:val="00DA1914"/>
  </w:style>
  <w:style w:type="paragraph" w:styleId="Piedepgina">
    <w:name w:val="footer"/>
    <w:basedOn w:val="Normal"/>
    <w:link w:val="PiedepginaCar"/>
    <w:uiPriority w:val="99"/>
    <w:unhideWhenUsed/>
    <w:rsid w:val="00DA1914"/>
    <w:pPr>
      <w:tabs>
        <w:tab w:val="center" w:pos="4252"/>
        <w:tab w:val="right" w:pos="8504"/>
      </w:tabs>
    </w:pPr>
  </w:style>
  <w:style w:type="character" w:customStyle="1" w:styleId="PiedepginaCar">
    <w:name w:val="Pie de página Car"/>
    <w:basedOn w:val="Fuentedeprrafopredeter"/>
    <w:link w:val="Piedepgina"/>
    <w:uiPriority w:val="99"/>
    <w:rsid w:val="00DA1914"/>
  </w:style>
  <w:style w:type="character" w:styleId="Nmerodepgina">
    <w:name w:val="page number"/>
    <w:basedOn w:val="Fuentedeprrafopredeter"/>
    <w:uiPriority w:val="99"/>
    <w:semiHidden/>
    <w:unhideWhenUsed/>
    <w:rsid w:val="00A576AD"/>
  </w:style>
  <w:style w:type="character" w:customStyle="1" w:styleId="Ttulo1Car">
    <w:name w:val="Título 1 Car"/>
    <w:basedOn w:val="Fuentedeprrafopredeter"/>
    <w:link w:val="Ttulo1"/>
    <w:uiPriority w:val="9"/>
    <w:rsid w:val="006E599E"/>
    <w:rPr>
      <w:rFonts w:asciiTheme="majorHAnsi" w:eastAsiaTheme="majorEastAsia" w:hAnsiTheme="majorHAnsi" w:cstheme="majorBidi"/>
      <w:b/>
      <w:bCs/>
      <w:color w:val="345A8A" w:themeColor="accent1" w:themeShade="B5"/>
      <w:sz w:val="32"/>
      <w:szCs w:val="32"/>
    </w:rPr>
  </w:style>
  <w:style w:type="table" w:styleId="Sombreadoclaro-nfasis6">
    <w:name w:val="Light Shading Accent 6"/>
    <w:basedOn w:val="Tablanormal"/>
    <w:uiPriority w:val="60"/>
    <w:rsid w:val="00981D6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cuadrcula">
    <w:name w:val="Table Grid"/>
    <w:basedOn w:val="Tablanormal"/>
    <w:uiPriority w:val="59"/>
    <w:rsid w:val="0098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913DF"/>
  </w:style>
  <w:style w:type="character" w:customStyle="1" w:styleId="TextonotapieCar">
    <w:name w:val="Texto nota pie Car"/>
    <w:basedOn w:val="Fuentedeprrafopredeter"/>
    <w:link w:val="Textonotapie"/>
    <w:uiPriority w:val="99"/>
    <w:rsid w:val="000913DF"/>
  </w:style>
  <w:style w:type="character" w:styleId="Refdenotaalpie">
    <w:name w:val="footnote reference"/>
    <w:basedOn w:val="Fuentedeprrafopredeter"/>
    <w:uiPriority w:val="99"/>
    <w:unhideWhenUsed/>
    <w:rsid w:val="000913DF"/>
    <w:rPr>
      <w:vertAlign w:val="superscript"/>
    </w:rPr>
  </w:style>
  <w:style w:type="paragraph" w:styleId="Sinespaciado">
    <w:name w:val="No Spacing"/>
    <w:link w:val="SinespaciadoCar"/>
    <w:uiPriority w:val="1"/>
    <w:qFormat/>
    <w:rsid w:val="00180FB7"/>
    <w:rPr>
      <w:sz w:val="22"/>
      <w:szCs w:val="22"/>
      <w:lang w:val="en-US" w:eastAsia="en-US"/>
    </w:rPr>
  </w:style>
  <w:style w:type="character" w:customStyle="1" w:styleId="SinespaciadoCar">
    <w:name w:val="Sin espaciado Car"/>
    <w:basedOn w:val="Fuentedeprrafopredeter"/>
    <w:link w:val="Sinespaciado"/>
    <w:uiPriority w:val="1"/>
    <w:rsid w:val="00180FB7"/>
    <w:rPr>
      <w:sz w:val="22"/>
      <w:szCs w:val="22"/>
      <w:lang w:val="en-US" w:eastAsia="en-US"/>
    </w:rPr>
  </w:style>
  <w:style w:type="paragraph" w:styleId="TtuloTDC">
    <w:name w:val="TOC Heading"/>
    <w:basedOn w:val="Ttulo1"/>
    <w:next w:val="Normal"/>
    <w:uiPriority w:val="39"/>
    <w:unhideWhenUsed/>
    <w:qFormat/>
    <w:rsid w:val="00A07371"/>
    <w:pPr>
      <w:spacing w:before="240" w:line="259" w:lineRule="auto"/>
      <w:outlineLvl w:val="9"/>
    </w:pPr>
    <w:rPr>
      <w:b w:val="0"/>
      <w:bCs w:val="0"/>
      <w:color w:val="365F91" w:themeColor="accent1" w:themeShade="BF"/>
      <w:lang w:val="en-US" w:eastAsia="en-US"/>
    </w:rPr>
  </w:style>
  <w:style w:type="paragraph" w:styleId="TDC1">
    <w:name w:val="toc 1"/>
    <w:basedOn w:val="Normal"/>
    <w:next w:val="Normal"/>
    <w:autoRedefine/>
    <w:uiPriority w:val="39"/>
    <w:unhideWhenUsed/>
    <w:rsid w:val="00A07371"/>
    <w:pPr>
      <w:spacing w:after="100"/>
    </w:pPr>
  </w:style>
  <w:style w:type="character" w:styleId="Hipervnculo">
    <w:name w:val="Hyperlink"/>
    <w:basedOn w:val="Fuentedeprrafopredeter"/>
    <w:uiPriority w:val="99"/>
    <w:unhideWhenUsed/>
    <w:rsid w:val="00A07371"/>
    <w:rPr>
      <w:color w:val="0000FF" w:themeColor="hyperlink"/>
      <w:u w:val="single"/>
    </w:rPr>
  </w:style>
  <w:style w:type="paragraph" w:customStyle="1" w:styleId="Default">
    <w:name w:val="Default"/>
    <w:rsid w:val="00882210"/>
    <w:pPr>
      <w:autoSpaceDE w:val="0"/>
      <w:autoSpaceDN w:val="0"/>
      <w:adjustRightInd w:val="0"/>
    </w:pPr>
    <w:rPr>
      <w:rFonts w:ascii="Arial" w:hAnsi="Arial" w:cs="Arial"/>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04671">
      <w:bodyDiv w:val="1"/>
      <w:marLeft w:val="0"/>
      <w:marRight w:val="0"/>
      <w:marTop w:val="0"/>
      <w:marBottom w:val="0"/>
      <w:divBdr>
        <w:top w:val="none" w:sz="0" w:space="0" w:color="auto"/>
        <w:left w:val="none" w:sz="0" w:space="0" w:color="auto"/>
        <w:bottom w:val="none" w:sz="0" w:space="0" w:color="auto"/>
        <w:right w:val="none" w:sz="0" w:space="0" w:color="auto"/>
      </w:divBdr>
      <w:divsChild>
        <w:div w:id="357857853">
          <w:marLeft w:val="0"/>
          <w:marRight w:val="0"/>
          <w:marTop w:val="0"/>
          <w:marBottom w:val="0"/>
          <w:divBdr>
            <w:top w:val="none" w:sz="0" w:space="0" w:color="auto"/>
            <w:left w:val="none" w:sz="0" w:space="0" w:color="auto"/>
            <w:bottom w:val="none" w:sz="0" w:space="0" w:color="auto"/>
            <w:right w:val="none" w:sz="0" w:space="0" w:color="auto"/>
          </w:divBdr>
          <w:divsChild>
            <w:div w:id="2102025890">
              <w:marLeft w:val="0"/>
              <w:marRight w:val="0"/>
              <w:marTop w:val="0"/>
              <w:marBottom w:val="0"/>
              <w:divBdr>
                <w:top w:val="none" w:sz="0" w:space="0" w:color="auto"/>
                <w:left w:val="none" w:sz="0" w:space="0" w:color="auto"/>
                <w:bottom w:val="none" w:sz="0" w:space="0" w:color="auto"/>
                <w:right w:val="none" w:sz="0" w:space="0" w:color="auto"/>
              </w:divBdr>
              <w:divsChild>
                <w:div w:id="1941208840">
                  <w:marLeft w:val="0"/>
                  <w:marRight w:val="0"/>
                  <w:marTop w:val="0"/>
                  <w:marBottom w:val="0"/>
                  <w:divBdr>
                    <w:top w:val="none" w:sz="0" w:space="0" w:color="auto"/>
                    <w:left w:val="none" w:sz="0" w:space="0" w:color="auto"/>
                    <w:bottom w:val="none" w:sz="0" w:space="0" w:color="auto"/>
                    <w:right w:val="none" w:sz="0" w:space="0" w:color="auto"/>
                  </w:divBdr>
                  <w:divsChild>
                    <w:div w:id="989483614">
                      <w:marLeft w:val="0"/>
                      <w:marRight w:val="0"/>
                      <w:marTop w:val="0"/>
                      <w:marBottom w:val="0"/>
                      <w:divBdr>
                        <w:top w:val="none" w:sz="0" w:space="0" w:color="auto"/>
                        <w:left w:val="none" w:sz="0" w:space="0" w:color="auto"/>
                        <w:bottom w:val="none" w:sz="0" w:space="0" w:color="auto"/>
                        <w:right w:val="none" w:sz="0" w:space="0" w:color="auto"/>
                      </w:divBdr>
                      <w:divsChild>
                        <w:div w:id="1246498428">
                          <w:marLeft w:val="0"/>
                          <w:marRight w:val="0"/>
                          <w:marTop w:val="0"/>
                          <w:marBottom w:val="0"/>
                          <w:divBdr>
                            <w:top w:val="none" w:sz="0" w:space="0" w:color="auto"/>
                            <w:left w:val="none" w:sz="0" w:space="0" w:color="auto"/>
                            <w:bottom w:val="none" w:sz="0" w:space="0" w:color="auto"/>
                            <w:right w:val="none" w:sz="0" w:space="0" w:color="auto"/>
                          </w:divBdr>
                          <w:divsChild>
                            <w:div w:id="800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2025-04-02T00:00:00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A58DE35158F4AA3D4C4E601D01A3C" ma:contentTypeVersion="11" ma:contentTypeDescription="Create a new document." ma:contentTypeScope="" ma:versionID="14351346ead2f28c0fc12293d96f5273">
  <xsd:schema xmlns:xsd="http://www.w3.org/2001/XMLSchema" xmlns:xs="http://www.w3.org/2001/XMLSchema" xmlns:p="http://schemas.microsoft.com/office/2006/metadata/properties" xmlns:ns2="41c02332-548b-4f1f-be26-afae8cf7b03b" xmlns:ns3="ff835221-d2c1-43ba-8d5c-33830dd73e60" targetNamespace="http://schemas.microsoft.com/office/2006/metadata/properties" ma:root="true" ma:fieldsID="23b31ffbef44d210b233195df6acab0f" ns2:_="" ns3:_="">
    <xsd:import namespace="41c02332-548b-4f1f-be26-afae8cf7b03b"/>
    <xsd:import namespace="ff835221-d2c1-43ba-8d5c-33830dd73e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02332-548b-4f1f-be26-afae8cf7b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a13986-39f3-4743-afba-c43af57456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35221-d2c1-43ba-8d5c-33830dd73e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890dde-5f03-4265-9b96-89c46d757fe8}" ma:internalName="TaxCatchAll" ma:showField="CatchAllData" ma:web="ff835221-d2c1-43ba-8d5c-33830dd73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c02332-548b-4f1f-be26-afae8cf7b03b">
      <Terms xmlns="http://schemas.microsoft.com/office/infopath/2007/PartnerControls"/>
    </lcf76f155ced4ddcb4097134ff3c332f>
    <TaxCatchAll xmlns="ff835221-d2c1-43ba-8d5c-33830dd73e6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B779A8-7A3D-4CDF-9331-B8441ABF3BCE}">
  <ds:schemaRefs>
    <ds:schemaRef ds:uri="http://schemas.microsoft.com/sharepoint/v3/contenttype/forms"/>
  </ds:schemaRefs>
</ds:datastoreItem>
</file>

<file path=customXml/itemProps3.xml><?xml version="1.0" encoding="utf-8"?>
<ds:datastoreItem xmlns:ds="http://schemas.openxmlformats.org/officeDocument/2006/customXml" ds:itemID="{25790554-2E26-42DB-B1EC-1F18DD18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02332-548b-4f1f-be26-afae8cf7b03b"/>
    <ds:schemaRef ds:uri="ff835221-d2c1-43ba-8d5c-33830dd73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ADFA3-A5A4-4535-B092-8B677F1F21A6}">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ff835221-d2c1-43ba-8d5c-33830dd73e60"/>
    <ds:schemaRef ds:uri="41c02332-548b-4f1f-be26-afae8cf7b03b"/>
    <ds:schemaRef ds:uri="http://www.w3.org/XML/1998/namespace"/>
    <ds:schemaRef ds:uri="http://purl.org/dc/elements/1.1/"/>
  </ds:schemaRefs>
</ds:datastoreItem>
</file>

<file path=customXml/itemProps5.xml><?xml version="1.0" encoding="utf-8"?>
<ds:datastoreItem xmlns:ds="http://schemas.openxmlformats.org/officeDocument/2006/customXml" ds:itemID="{5C8334C6-01C6-42BC-A907-4EF4A353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589</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Licitación de la contratación de servicios personalizados en destino en México, India y EE.UU</vt:lpstr>
    </vt:vector>
  </TitlesOfParts>
  <Company>personal</Company>
  <LinksUpToDate>false</LinksUpToDate>
  <CharactersWithSpaces>3823</CharactersWithSpaces>
  <SharedDoc>false</SharedDoc>
  <HLinks>
    <vt:vector size="18" baseType="variant">
      <vt:variant>
        <vt:i4>1048637</vt:i4>
      </vt:variant>
      <vt:variant>
        <vt:i4>11</vt:i4>
      </vt:variant>
      <vt:variant>
        <vt:i4>0</vt:i4>
      </vt:variant>
      <vt:variant>
        <vt:i4>5</vt:i4>
      </vt:variant>
      <vt:variant>
        <vt:lpwstr/>
      </vt:variant>
      <vt:variant>
        <vt:lpwstr>_Toc158033717</vt:lpwstr>
      </vt:variant>
      <vt:variant>
        <vt:i4>1048637</vt:i4>
      </vt:variant>
      <vt:variant>
        <vt:i4>8</vt:i4>
      </vt:variant>
      <vt:variant>
        <vt:i4>0</vt:i4>
      </vt:variant>
      <vt:variant>
        <vt:i4>5</vt:i4>
      </vt:variant>
      <vt:variant>
        <vt:lpwstr/>
      </vt:variant>
      <vt:variant>
        <vt:lpwstr>_Toc158033716</vt:lpwstr>
      </vt:variant>
      <vt:variant>
        <vt:i4>1048637</vt:i4>
      </vt:variant>
      <vt:variant>
        <vt:i4>2</vt:i4>
      </vt:variant>
      <vt:variant>
        <vt:i4>0</vt:i4>
      </vt:variant>
      <vt:variant>
        <vt:i4>5</vt:i4>
      </vt:variant>
      <vt:variant>
        <vt:lpwstr/>
      </vt:variant>
      <vt:variant>
        <vt:lpwstr>_Toc158033715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de la contratación de servicios personalizados en destino en México, India y EE.UU</dc:title>
  <dc:subject>3er documento de preguntas sobre los pliegos</dc:subject>
  <dc:creator>Biarai</dc:creator>
  <cp:keywords/>
  <dc:description/>
  <cp:lastModifiedBy>Escudero Goldaracena, Borja (Servicio de Proyección Internaciona</cp:lastModifiedBy>
  <cp:revision>9</cp:revision>
  <cp:lastPrinted>2023-05-02T03:40:00Z</cp:lastPrinted>
  <dcterms:created xsi:type="dcterms:W3CDTF">2025-02-06T08:09:00Z</dcterms:created>
  <dcterms:modified xsi:type="dcterms:W3CDTF">2025-02-06T13:12:00Z</dcterms:modified>
  <cp:category>Ciudad de México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0x0101008DDA58DE35158F4AA3D4C4E601D01A3C</vt:lpwstr>
  </property>
  <property fmtid="{D5CDD505-2E9C-101B-9397-08002B2CF9AE}" pid="3" name="MediaServiceImageTags">
    <vt:lpwstr/>
  </property>
</Properties>
</file>