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F20C10">
      <w:pPr>
        <w:rPr>
          <w:color w:val="000000"/>
          <w:szCs w:val="20"/>
        </w:rPr>
      </w:pPr>
    </w:p>
    <w:p w:rsidR="00F20C10" w:rsidRPr="007767D3" w:rsidRDefault="00F20C10" w:rsidP="00387490">
      <w:pPr>
        <w:pStyle w:val="Lnea"/>
        <w:ind w:left="0"/>
        <w:rPr>
          <w:color w:val="000000"/>
        </w:rPr>
      </w:pPr>
    </w:p>
    <w:p w:rsidR="00F20C10" w:rsidRPr="007767D3" w:rsidRDefault="00F20C10" w:rsidP="00F20C10">
      <w:pPr>
        <w:rPr>
          <w:color w:val="000000"/>
        </w:rPr>
      </w:pPr>
    </w:p>
    <w:p w:rsidR="00F20C10" w:rsidRPr="007767D3" w:rsidRDefault="00F529CE" w:rsidP="00F20C10">
      <w:pPr>
        <w:pStyle w:val="Proyecto"/>
        <w:rPr>
          <w:color w:val="000000"/>
        </w:rPr>
      </w:pPr>
      <w:r w:rsidRPr="00F529CE">
        <w:t xml:space="preserve">Requerimientos técnicos STS </w:t>
      </w:r>
      <w:r w:rsidRPr="00F378F9">
        <w:rPr>
          <w:color w:val="000000" w:themeColor="text1"/>
        </w:rPr>
        <w:t>(OB</w:t>
      </w:r>
      <w:r w:rsidR="001D1DE7">
        <w:rPr>
          <w:color w:val="000000" w:themeColor="text1"/>
        </w:rPr>
        <w:t>5</w:t>
      </w:r>
      <w:r w:rsidRPr="00F378F9">
        <w:rPr>
          <w:color w:val="000000" w:themeColor="text1"/>
        </w:rPr>
        <w:t>-20</w:t>
      </w:r>
      <w:r w:rsidR="001D1DE7">
        <w:rPr>
          <w:color w:val="000000" w:themeColor="text1"/>
        </w:rPr>
        <w:t>23</w:t>
      </w:r>
      <w:bookmarkStart w:id="0" w:name="_GoBack"/>
      <w:bookmarkEnd w:id="0"/>
      <w:r w:rsidR="007B6876" w:rsidRPr="00F378F9">
        <w:rPr>
          <w:color w:val="000000" w:themeColor="text1"/>
        </w:rPr>
        <w:t xml:space="preserve"> </w:t>
      </w:r>
      <w:r w:rsidR="00F378F9" w:rsidRPr="00F378F9">
        <w:rPr>
          <w:color w:val="000000" w:themeColor="text1"/>
        </w:rPr>
        <w:t>RX portátil</w:t>
      </w:r>
      <w:r w:rsidR="007B6876" w:rsidRPr="00F378F9">
        <w:rPr>
          <w:color w:val="000000" w:themeColor="text1"/>
        </w:rPr>
        <w:t xml:space="preserve"> </w:t>
      </w:r>
      <w:r w:rsidR="00F378F9" w:rsidRPr="00F378F9">
        <w:rPr>
          <w:color w:val="000000" w:themeColor="text1"/>
        </w:rPr>
        <w:t>HRS)</w:t>
      </w:r>
    </w:p>
    <w:p w:rsidR="00536F27" w:rsidRPr="001A5096" w:rsidRDefault="00F378F9" w:rsidP="00696410">
      <w:pPr>
        <w:pStyle w:val="Lnea"/>
        <w:ind w:left="0"/>
        <w:jc w:val="right"/>
        <w:rPr>
          <w:color w:val="000000" w:themeColor="text1"/>
          <w:sz w:val="28"/>
          <w:szCs w:val="28"/>
        </w:rPr>
      </w:pPr>
      <w:r w:rsidRPr="001A5096">
        <w:rPr>
          <w:color w:val="000000" w:themeColor="text1"/>
          <w:sz w:val="28"/>
          <w:szCs w:val="28"/>
        </w:rPr>
        <w:t xml:space="preserve">GESPRONA </w:t>
      </w:r>
      <w:r w:rsidR="001A5096" w:rsidRPr="001A5096">
        <w:rPr>
          <w:color w:val="000000" w:themeColor="text1"/>
          <w:sz w:val="28"/>
          <w:szCs w:val="28"/>
        </w:rPr>
        <w:t>38126</w:t>
      </w:r>
    </w:p>
    <w:p w:rsidR="00536F27" w:rsidRPr="007767D3" w:rsidRDefault="00536F27" w:rsidP="00536F27">
      <w:pPr>
        <w:rPr>
          <w:color w:val="000000"/>
        </w:rPr>
      </w:pPr>
    </w:p>
    <w:p w:rsidR="00311BE9" w:rsidRPr="007767D3" w:rsidRDefault="00311BE9" w:rsidP="00490367">
      <w:pPr>
        <w:widowControl/>
        <w:spacing w:before="0"/>
        <w:jc w:val="left"/>
        <w:rPr>
          <w:color w:val="000000"/>
        </w:rPr>
      </w:pPr>
    </w:p>
    <w:p w:rsidR="00311BE9" w:rsidRPr="007767D3" w:rsidRDefault="00311BE9" w:rsidP="00387490">
      <w:pPr>
        <w:pStyle w:val="Indicedecontenidos"/>
        <w:ind w:left="0"/>
        <w:rPr>
          <w:color w:val="000000"/>
        </w:rPr>
      </w:pPr>
      <w:r w:rsidRPr="007767D3">
        <w:rPr>
          <w:color w:val="000000"/>
        </w:rPr>
        <w:lastRenderedPageBreak/>
        <w:t>Índice de contenidos</w:t>
      </w:r>
    </w:p>
    <w:p w:rsidR="009C6426" w:rsidRDefault="001336C3">
      <w:pPr>
        <w:pStyle w:val="TDC1"/>
        <w:rPr>
          <w:rFonts w:asciiTheme="minorHAnsi" w:eastAsiaTheme="minorEastAsia" w:hAnsiTheme="minorHAnsi" w:cstheme="minorBidi"/>
          <w:smallCaps w:val="0"/>
          <w:noProof/>
        </w:rPr>
      </w:pPr>
      <w:r w:rsidRPr="007767D3">
        <w:rPr>
          <w:color w:val="000000"/>
        </w:rPr>
        <w:fldChar w:fldCharType="begin"/>
      </w:r>
      <w:r w:rsidRPr="007767D3">
        <w:rPr>
          <w:color w:val="000000"/>
        </w:rPr>
        <w:instrText xml:space="preserve"> TOC \o "1-3" \h \z \u </w:instrText>
      </w:r>
      <w:r w:rsidRPr="007767D3">
        <w:rPr>
          <w:color w:val="000000"/>
        </w:rPr>
        <w:fldChar w:fldCharType="separate"/>
      </w:r>
      <w:hyperlink w:anchor="_Toc120178924" w:history="1">
        <w:r w:rsidR="009C6426" w:rsidRPr="005E4C6A">
          <w:rPr>
            <w:rStyle w:val="Hipervnculo"/>
            <w:noProof/>
          </w:rPr>
          <w:t>1</w:t>
        </w:r>
        <w:r w:rsidR="009C6426">
          <w:rPr>
            <w:rFonts w:asciiTheme="minorHAnsi" w:eastAsiaTheme="minorEastAsia" w:hAnsiTheme="minorHAnsi" w:cstheme="minorBidi"/>
            <w:smallCaps w:val="0"/>
            <w:noProof/>
          </w:rPr>
          <w:tab/>
        </w:r>
        <w:r w:rsidR="009C6426" w:rsidRPr="005E4C6A">
          <w:rPr>
            <w:rStyle w:val="Hipervnculo"/>
            <w:noProof/>
          </w:rPr>
          <w:t>Requisitos Técnicos STS</w:t>
        </w:r>
        <w:r w:rsidR="009C6426">
          <w:rPr>
            <w:noProof/>
            <w:webHidden/>
          </w:rPr>
          <w:tab/>
        </w:r>
        <w:r w:rsidR="009C6426">
          <w:rPr>
            <w:noProof/>
            <w:webHidden/>
          </w:rPr>
          <w:fldChar w:fldCharType="begin"/>
        </w:r>
        <w:r w:rsidR="009C6426">
          <w:rPr>
            <w:noProof/>
            <w:webHidden/>
          </w:rPr>
          <w:instrText xml:space="preserve"> PAGEREF _Toc120178924 \h </w:instrText>
        </w:r>
        <w:r w:rsidR="009C6426">
          <w:rPr>
            <w:noProof/>
            <w:webHidden/>
          </w:rPr>
        </w:r>
        <w:r w:rsidR="009C6426">
          <w:rPr>
            <w:noProof/>
            <w:webHidden/>
          </w:rPr>
          <w:fldChar w:fldCharType="separate"/>
        </w:r>
        <w:r w:rsidR="009C6426">
          <w:rPr>
            <w:noProof/>
            <w:webHidden/>
          </w:rPr>
          <w:t>3</w:t>
        </w:r>
        <w:r w:rsidR="009C6426">
          <w:rPr>
            <w:noProof/>
            <w:webHidden/>
          </w:rPr>
          <w:fldChar w:fldCharType="end"/>
        </w:r>
      </w:hyperlink>
    </w:p>
    <w:p w:rsidR="009C6426" w:rsidRDefault="001D1DE7">
      <w:pPr>
        <w:pStyle w:val="TDC2"/>
        <w:rPr>
          <w:rFonts w:asciiTheme="minorHAnsi" w:eastAsiaTheme="minorEastAsia" w:hAnsiTheme="minorHAnsi" w:cstheme="minorBidi"/>
          <w:b w:val="0"/>
          <w:noProof/>
          <w:sz w:val="22"/>
        </w:rPr>
      </w:pPr>
      <w:hyperlink w:anchor="_Toc120178925" w:history="1">
        <w:r w:rsidR="009C6426" w:rsidRPr="005E4C6A">
          <w:rPr>
            <w:rStyle w:val="Hipervnculo"/>
            <w:noProof/>
          </w:rPr>
          <w:t>1.1</w:t>
        </w:r>
        <w:r w:rsidR="009C6426">
          <w:rPr>
            <w:rFonts w:asciiTheme="minorHAnsi" w:eastAsiaTheme="minorEastAsia" w:hAnsiTheme="minorHAnsi" w:cstheme="minorBidi"/>
            <w:b w:val="0"/>
            <w:noProof/>
            <w:sz w:val="22"/>
          </w:rPr>
          <w:tab/>
        </w:r>
        <w:r w:rsidR="009C6426" w:rsidRPr="005E4C6A">
          <w:rPr>
            <w:rStyle w:val="Hipervnculo"/>
            <w:noProof/>
          </w:rPr>
          <w:t>Integraciones con los sistemas de información SNS-O</w:t>
        </w:r>
        <w:r w:rsidR="009C6426">
          <w:rPr>
            <w:noProof/>
            <w:webHidden/>
          </w:rPr>
          <w:tab/>
        </w:r>
        <w:r w:rsidR="009C6426">
          <w:rPr>
            <w:noProof/>
            <w:webHidden/>
          </w:rPr>
          <w:fldChar w:fldCharType="begin"/>
        </w:r>
        <w:r w:rsidR="009C6426">
          <w:rPr>
            <w:noProof/>
            <w:webHidden/>
          </w:rPr>
          <w:instrText xml:space="preserve"> PAGEREF _Toc120178925 \h </w:instrText>
        </w:r>
        <w:r w:rsidR="009C6426">
          <w:rPr>
            <w:noProof/>
            <w:webHidden/>
          </w:rPr>
        </w:r>
        <w:r w:rsidR="009C6426">
          <w:rPr>
            <w:noProof/>
            <w:webHidden/>
          </w:rPr>
          <w:fldChar w:fldCharType="separate"/>
        </w:r>
        <w:r w:rsidR="009C6426">
          <w:rPr>
            <w:noProof/>
            <w:webHidden/>
          </w:rPr>
          <w:t>3</w:t>
        </w:r>
        <w:r w:rsidR="009C6426">
          <w:rPr>
            <w:noProof/>
            <w:webHidden/>
          </w:rPr>
          <w:fldChar w:fldCharType="end"/>
        </w:r>
      </w:hyperlink>
    </w:p>
    <w:p w:rsidR="009C6426" w:rsidRDefault="001D1DE7">
      <w:pPr>
        <w:pStyle w:val="TDC2"/>
        <w:rPr>
          <w:rFonts w:asciiTheme="minorHAnsi" w:eastAsiaTheme="minorEastAsia" w:hAnsiTheme="minorHAnsi" w:cstheme="minorBidi"/>
          <w:b w:val="0"/>
          <w:noProof/>
          <w:sz w:val="22"/>
        </w:rPr>
      </w:pPr>
      <w:hyperlink w:anchor="_Toc120178926" w:history="1">
        <w:r w:rsidR="009C6426" w:rsidRPr="005E4C6A">
          <w:rPr>
            <w:rStyle w:val="Hipervnculo"/>
            <w:noProof/>
          </w:rPr>
          <w:t>1.2</w:t>
        </w:r>
        <w:r w:rsidR="009C6426">
          <w:rPr>
            <w:rFonts w:asciiTheme="minorHAnsi" w:eastAsiaTheme="minorEastAsia" w:hAnsiTheme="minorHAnsi" w:cstheme="minorBidi"/>
            <w:b w:val="0"/>
            <w:noProof/>
            <w:sz w:val="22"/>
          </w:rPr>
          <w:tab/>
        </w:r>
        <w:r w:rsidR="009C6426" w:rsidRPr="005E4C6A">
          <w:rPr>
            <w:rStyle w:val="Hipervnculo"/>
            <w:noProof/>
          </w:rPr>
          <w:t>Licenciamiento</w:t>
        </w:r>
        <w:r w:rsidR="009C6426">
          <w:rPr>
            <w:noProof/>
            <w:webHidden/>
          </w:rPr>
          <w:tab/>
        </w:r>
        <w:r w:rsidR="009C6426">
          <w:rPr>
            <w:noProof/>
            <w:webHidden/>
          </w:rPr>
          <w:fldChar w:fldCharType="begin"/>
        </w:r>
        <w:r w:rsidR="009C6426">
          <w:rPr>
            <w:noProof/>
            <w:webHidden/>
          </w:rPr>
          <w:instrText xml:space="preserve"> PAGEREF _Toc120178926 \h </w:instrText>
        </w:r>
        <w:r w:rsidR="009C6426">
          <w:rPr>
            <w:noProof/>
            <w:webHidden/>
          </w:rPr>
        </w:r>
        <w:r w:rsidR="009C6426">
          <w:rPr>
            <w:noProof/>
            <w:webHidden/>
          </w:rPr>
          <w:fldChar w:fldCharType="separate"/>
        </w:r>
        <w:r w:rsidR="009C6426">
          <w:rPr>
            <w:noProof/>
            <w:webHidden/>
          </w:rPr>
          <w:t>3</w:t>
        </w:r>
        <w:r w:rsidR="009C6426">
          <w:rPr>
            <w:noProof/>
            <w:webHidden/>
          </w:rPr>
          <w:fldChar w:fldCharType="end"/>
        </w:r>
      </w:hyperlink>
    </w:p>
    <w:p w:rsidR="009C6426" w:rsidRDefault="001D1DE7">
      <w:pPr>
        <w:pStyle w:val="TDC2"/>
        <w:rPr>
          <w:rFonts w:asciiTheme="minorHAnsi" w:eastAsiaTheme="minorEastAsia" w:hAnsiTheme="minorHAnsi" w:cstheme="minorBidi"/>
          <w:b w:val="0"/>
          <w:noProof/>
          <w:sz w:val="22"/>
        </w:rPr>
      </w:pPr>
      <w:hyperlink w:anchor="_Toc120178927" w:history="1">
        <w:r w:rsidR="009C6426" w:rsidRPr="005E4C6A">
          <w:rPr>
            <w:rStyle w:val="Hipervnculo"/>
            <w:noProof/>
          </w:rPr>
          <w:t>1.3</w:t>
        </w:r>
        <w:r w:rsidR="009C6426">
          <w:rPr>
            <w:rFonts w:asciiTheme="minorHAnsi" w:eastAsiaTheme="minorEastAsia" w:hAnsiTheme="minorHAnsi" w:cstheme="minorBidi"/>
            <w:b w:val="0"/>
            <w:noProof/>
            <w:sz w:val="22"/>
          </w:rPr>
          <w:tab/>
        </w:r>
        <w:r w:rsidR="009C6426" w:rsidRPr="005E4C6A">
          <w:rPr>
            <w:rStyle w:val="Hipervnculo"/>
            <w:noProof/>
          </w:rPr>
          <w:t>Requisitos para la integración con Imagen Médica Digital</w:t>
        </w:r>
        <w:r w:rsidR="009C6426">
          <w:rPr>
            <w:noProof/>
            <w:webHidden/>
          </w:rPr>
          <w:tab/>
        </w:r>
        <w:r w:rsidR="009C6426">
          <w:rPr>
            <w:noProof/>
            <w:webHidden/>
          </w:rPr>
          <w:fldChar w:fldCharType="begin"/>
        </w:r>
        <w:r w:rsidR="009C6426">
          <w:rPr>
            <w:noProof/>
            <w:webHidden/>
          </w:rPr>
          <w:instrText xml:space="preserve"> PAGEREF _Toc120178927 \h </w:instrText>
        </w:r>
        <w:r w:rsidR="009C6426">
          <w:rPr>
            <w:noProof/>
            <w:webHidden/>
          </w:rPr>
        </w:r>
        <w:r w:rsidR="009C6426">
          <w:rPr>
            <w:noProof/>
            <w:webHidden/>
          </w:rPr>
          <w:fldChar w:fldCharType="separate"/>
        </w:r>
        <w:r w:rsidR="009C6426">
          <w:rPr>
            <w:noProof/>
            <w:webHidden/>
          </w:rPr>
          <w:t>3</w:t>
        </w:r>
        <w:r w:rsidR="009C6426">
          <w:rPr>
            <w:noProof/>
            <w:webHidden/>
          </w:rPr>
          <w:fldChar w:fldCharType="end"/>
        </w:r>
      </w:hyperlink>
    </w:p>
    <w:p w:rsidR="009C6426" w:rsidRDefault="001D1DE7">
      <w:pPr>
        <w:pStyle w:val="TDC3"/>
        <w:rPr>
          <w:rFonts w:asciiTheme="minorHAnsi" w:eastAsiaTheme="minorEastAsia" w:hAnsiTheme="minorHAnsi" w:cstheme="minorBidi"/>
          <w:noProof/>
          <w:sz w:val="22"/>
        </w:rPr>
      </w:pPr>
      <w:hyperlink w:anchor="_Toc120178928" w:history="1">
        <w:r w:rsidR="009C6426" w:rsidRPr="005E4C6A">
          <w:rPr>
            <w:rStyle w:val="Hipervnculo"/>
            <w:noProof/>
          </w:rPr>
          <w:t>1.3.1</w:t>
        </w:r>
        <w:r w:rsidR="009C6426">
          <w:rPr>
            <w:rFonts w:asciiTheme="minorHAnsi" w:eastAsiaTheme="minorEastAsia" w:hAnsiTheme="minorHAnsi" w:cstheme="minorBidi"/>
            <w:noProof/>
            <w:sz w:val="22"/>
          </w:rPr>
          <w:tab/>
        </w:r>
        <w:r w:rsidR="009C6426" w:rsidRPr="005E4C6A">
          <w:rPr>
            <w:rStyle w:val="Hipervnculo"/>
            <w:noProof/>
          </w:rPr>
          <w:t>Conectividad</w:t>
        </w:r>
        <w:r w:rsidR="009C6426">
          <w:rPr>
            <w:noProof/>
            <w:webHidden/>
          </w:rPr>
          <w:tab/>
        </w:r>
        <w:r w:rsidR="009C6426">
          <w:rPr>
            <w:noProof/>
            <w:webHidden/>
          </w:rPr>
          <w:fldChar w:fldCharType="begin"/>
        </w:r>
        <w:r w:rsidR="009C6426">
          <w:rPr>
            <w:noProof/>
            <w:webHidden/>
          </w:rPr>
          <w:instrText xml:space="preserve"> PAGEREF _Toc120178928 \h </w:instrText>
        </w:r>
        <w:r w:rsidR="009C6426">
          <w:rPr>
            <w:noProof/>
            <w:webHidden/>
          </w:rPr>
        </w:r>
        <w:r w:rsidR="009C6426">
          <w:rPr>
            <w:noProof/>
            <w:webHidden/>
          </w:rPr>
          <w:fldChar w:fldCharType="separate"/>
        </w:r>
        <w:r w:rsidR="009C6426">
          <w:rPr>
            <w:noProof/>
            <w:webHidden/>
          </w:rPr>
          <w:t>4</w:t>
        </w:r>
        <w:r w:rsidR="009C6426">
          <w:rPr>
            <w:noProof/>
            <w:webHidden/>
          </w:rPr>
          <w:fldChar w:fldCharType="end"/>
        </w:r>
      </w:hyperlink>
    </w:p>
    <w:p w:rsidR="009C6426" w:rsidRDefault="001D1DE7">
      <w:pPr>
        <w:pStyle w:val="TDC3"/>
        <w:rPr>
          <w:rFonts w:asciiTheme="minorHAnsi" w:eastAsiaTheme="minorEastAsia" w:hAnsiTheme="minorHAnsi" w:cstheme="minorBidi"/>
          <w:noProof/>
          <w:sz w:val="22"/>
        </w:rPr>
      </w:pPr>
      <w:hyperlink w:anchor="_Toc120178929" w:history="1">
        <w:r w:rsidR="009C6426" w:rsidRPr="005E4C6A">
          <w:rPr>
            <w:rStyle w:val="Hipervnculo"/>
            <w:noProof/>
          </w:rPr>
          <w:t>1.3.2</w:t>
        </w:r>
        <w:r w:rsidR="009C6426">
          <w:rPr>
            <w:rFonts w:asciiTheme="minorHAnsi" w:eastAsiaTheme="minorEastAsia" w:hAnsiTheme="minorHAnsi" w:cstheme="minorBidi"/>
            <w:noProof/>
            <w:sz w:val="22"/>
          </w:rPr>
          <w:tab/>
        </w:r>
        <w:r w:rsidR="009C6426" w:rsidRPr="005E4C6A">
          <w:rPr>
            <w:rStyle w:val="Hipervnculo"/>
            <w:noProof/>
          </w:rPr>
          <w:t>Estándar DICOM</w:t>
        </w:r>
        <w:r w:rsidR="009C6426">
          <w:rPr>
            <w:noProof/>
            <w:webHidden/>
          </w:rPr>
          <w:tab/>
        </w:r>
        <w:r w:rsidR="009C6426">
          <w:rPr>
            <w:noProof/>
            <w:webHidden/>
          </w:rPr>
          <w:fldChar w:fldCharType="begin"/>
        </w:r>
        <w:r w:rsidR="009C6426">
          <w:rPr>
            <w:noProof/>
            <w:webHidden/>
          </w:rPr>
          <w:instrText xml:space="preserve"> PAGEREF _Toc120178929 \h </w:instrText>
        </w:r>
        <w:r w:rsidR="009C6426">
          <w:rPr>
            <w:noProof/>
            <w:webHidden/>
          </w:rPr>
        </w:r>
        <w:r w:rsidR="009C6426">
          <w:rPr>
            <w:noProof/>
            <w:webHidden/>
          </w:rPr>
          <w:fldChar w:fldCharType="separate"/>
        </w:r>
        <w:r w:rsidR="009C6426">
          <w:rPr>
            <w:noProof/>
            <w:webHidden/>
          </w:rPr>
          <w:t>4</w:t>
        </w:r>
        <w:r w:rsidR="009C6426">
          <w:rPr>
            <w:noProof/>
            <w:webHidden/>
          </w:rPr>
          <w:fldChar w:fldCharType="end"/>
        </w:r>
      </w:hyperlink>
    </w:p>
    <w:p w:rsidR="009C6426" w:rsidRDefault="001D1DE7">
      <w:pPr>
        <w:pStyle w:val="TDC3"/>
        <w:rPr>
          <w:rFonts w:asciiTheme="minorHAnsi" w:eastAsiaTheme="minorEastAsia" w:hAnsiTheme="minorHAnsi" w:cstheme="minorBidi"/>
          <w:noProof/>
          <w:sz w:val="22"/>
        </w:rPr>
      </w:pPr>
      <w:hyperlink w:anchor="_Toc120178930" w:history="1">
        <w:r w:rsidR="009C6426" w:rsidRPr="005E4C6A">
          <w:rPr>
            <w:rStyle w:val="Hipervnculo"/>
            <w:noProof/>
          </w:rPr>
          <w:t>1.3.3</w:t>
        </w:r>
        <w:r w:rsidR="009C6426">
          <w:rPr>
            <w:rFonts w:asciiTheme="minorHAnsi" w:eastAsiaTheme="minorEastAsia" w:hAnsiTheme="minorHAnsi" w:cstheme="minorBidi"/>
            <w:noProof/>
            <w:sz w:val="22"/>
          </w:rPr>
          <w:tab/>
        </w:r>
        <w:r w:rsidR="009C6426" w:rsidRPr="005E4C6A">
          <w:rPr>
            <w:rStyle w:val="Hipervnculo"/>
            <w:noProof/>
          </w:rPr>
          <w:t>Estudios DICOM</w:t>
        </w:r>
        <w:r w:rsidR="009C6426">
          <w:rPr>
            <w:noProof/>
            <w:webHidden/>
          </w:rPr>
          <w:tab/>
        </w:r>
        <w:r w:rsidR="009C6426">
          <w:rPr>
            <w:noProof/>
            <w:webHidden/>
          </w:rPr>
          <w:fldChar w:fldCharType="begin"/>
        </w:r>
        <w:r w:rsidR="009C6426">
          <w:rPr>
            <w:noProof/>
            <w:webHidden/>
          </w:rPr>
          <w:instrText xml:space="preserve"> PAGEREF _Toc120178930 \h </w:instrText>
        </w:r>
        <w:r w:rsidR="009C6426">
          <w:rPr>
            <w:noProof/>
            <w:webHidden/>
          </w:rPr>
        </w:r>
        <w:r w:rsidR="009C6426">
          <w:rPr>
            <w:noProof/>
            <w:webHidden/>
          </w:rPr>
          <w:fldChar w:fldCharType="separate"/>
        </w:r>
        <w:r w:rsidR="009C6426">
          <w:rPr>
            <w:noProof/>
            <w:webHidden/>
          </w:rPr>
          <w:t>4</w:t>
        </w:r>
        <w:r w:rsidR="009C6426">
          <w:rPr>
            <w:noProof/>
            <w:webHidden/>
          </w:rPr>
          <w:fldChar w:fldCharType="end"/>
        </w:r>
      </w:hyperlink>
    </w:p>
    <w:p w:rsidR="009C6426" w:rsidRDefault="001D1DE7">
      <w:pPr>
        <w:pStyle w:val="TDC1"/>
        <w:rPr>
          <w:rFonts w:asciiTheme="minorHAnsi" w:eastAsiaTheme="minorEastAsia" w:hAnsiTheme="minorHAnsi" w:cstheme="minorBidi"/>
          <w:smallCaps w:val="0"/>
          <w:noProof/>
        </w:rPr>
      </w:pPr>
      <w:hyperlink w:anchor="_Toc120178931" w:history="1">
        <w:r w:rsidR="009C6426" w:rsidRPr="005E4C6A">
          <w:rPr>
            <w:rStyle w:val="Hipervnculo"/>
            <w:noProof/>
          </w:rPr>
          <w:t>2</w:t>
        </w:r>
        <w:r w:rsidR="009C6426">
          <w:rPr>
            <w:rFonts w:asciiTheme="minorHAnsi" w:eastAsiaTheme="minorEastAsia" w:hAnsiTheme="minorHAnsi" w:cstheme="minorBidi"/>
            <w:smallCaps w:val="0"/>
            <w:noProof/>
          </w:rPr>
          <w:tab/>
        </w:r>
        <w:r w:rsidR="009C6426" w:rsidRPr="005E4C6A">
          <w:rPr>
            <w:rStyle w:val="Hipervnculo"/>
            <w:noProof/>
          </w:rPr>
          <w:t>Requisitos técnicos de Infraestructuras para pliegos técnicos</w:t>
        </w:r>
        <w:r w:rsidR="009C6426">
          <w:rPr>
            <w:noProof/>
            <w:webHidden/>
          </w:rPr>
          <w:tab/>
        </w:r>
        <w:r w:rsidR="009C6426">
          <w:rPr>
            <w:noProof/>
            <w:webHidden/>
          </w:rPr>
          <w:fldChar w:fldCharType="begin"/>
        </w:r>
        <w:r w:rsidR="009C6426">
          <w:rPr>
            <w:noProof/>
            <w:webHidden/>
          </w:rPr>
          <w:instrText xml:space="preserve"> PAGEREF _Toc120178931 \h </w:instrText>
        </w:r>
        <w:r w:rsidR="009C6426">
          <w:rPr>
            <w:noProof/>
            <w:webHidden/>
          </w:rPr>
        </w:r>
        <w:r w:rsidR="009C6426">
          <w:rPr>
            <w:noProof/>
            <w:webHidden/>
          </w:rPr>
          <w:fldChar w:fldCharType="separate"/>
        </w:r>
        <w:r w:rsidR="009C6426">
          <w:rPr>
            <w:noProof/>
            <w:webHidden/>
          </w:rPr>
          <w:t>6</w:t>
        </w:r>
        <w:r w:rsidR="009C6426">
          <w:rPr>
            <w:noProof/>
            <w:webHidden/>
          </w:rPr>
          <w:fldChar w:fldCharType="end"/>
        </w:r>
      </w:hyperlink>
    </w:p>
    <w:p w:rsidR="004A3462" w:rsidRPr="007767D3" w:rsidRDefault="001336C3" w:rsidP="00A87ED2">
      <w:pPr>
        <w:rPr>
          <w:color w:val="000000"/>
        </w:rPr>
        <w:sectPr w:rsidR="004A3462" w:rsidRPr="007767D3" w:rsidSect="004A3462">
          <w:headerReference w:type="default" r:id="rId9"/>
          <w:footerReference w:type="default" r:id="rId10"/>
          <w:pgSz w:w="11906" w:h="16838"/>
          <w:pgMar w:top="954" w:right="1701" w:bottom="719" w:left="1701" w:header="284" w:footer="0" w:gutter="0"/>
          <w:cols w:space="708"/>
          <w:docGrid w:linePitch="360"/>
        </w:sectPr>
      </w:pPr>
      <w:r w:rsidRPr="007767D3">
        <w:rPr>
          <w:color w:val="000000"/>
        </w:rPr>
        <w:fldChar w:fldCharType="end"/>
      </w:r>
    </w:p>
    <w:p w:rsidR="004926E9" w:rsidRPr="007767D3" w:rsidRDefault="004926E9" w:rsidP="0023554C">
      <w:pPr>
        <w:pStyle w:val="Ttulo1"/>
        <w:rPr>
          <w:color w:val="000000"/>
        </w:rPr>
      </w:pPr>
      <w:bookmarkStart w:id="1" w:name="_CONDICIONES_TÉCNICAS_DE"/>
      <w:bookmarkStart w:id="2" w:name="_Requisitos_Técnicos_SSIAS"/>
      <w:bookmarkStart w:id="3" w:name="_Toc120178924"/>
      <w:bookmarkEnd w:id="1"/>
      <w:bookmarkEnd w:id="2"/>
      <w:r w:rsidRPr="007767D3">
        <w:rPr>
          <w:color w:val="000000"/>
        </w:rPr>
        <w:lastRenderedPageBreak/>
        <w:t xml:space="preserve">Requisitos </w:t>
      </w:r>
      <w:r w:rsidR="00E25F93" w:rsidRPr="007767D3">
        <w:rPr>
          <w:color w:val="000000"/>
        </w:rPr>
        <w:t xml:space="preserve">Técnicos </w:t>
      </w:r>
      <w:r w:rsidR="002B5DB2" w:rsidRPr="007767D3">
        <w:rPr>
          <w:color w:val="000000"/>
        </w:rPr>
        <w:t>STS</w:t>
      </w:r>
      <w:bookmarkEnd w:id="3"/>
    </w:p>
    <w:p w:rsidR="00BF078C" w:rsidRDefault="00BF078C" w:rsidP="00BF078C">
      <w:pPr>
        <w:pStyle w:val="Ttulo2"/>
        <w:rPr>
          <w:color w:val="000000"/>
        </w:rPr>
      </w:pPr>
      <w:bookmarkStart w:id="4" w:name="_Toc120178925"/>
      <w:r w:rsidRPr="007767D3">
        <w:rPr>
          <w:color w:val="000000"/>
        </w:rPr>
        <w:t xml:space="preserve">Integraciones con </w:t>
      </w:r>
      <w:r w:rsidR="00D21EFC" w:rsidRPr="007767D3">
        <w:rPr>
          <w:color w:val="000000"/>
        </w:rPr>
        <w:t>los sistemas de información</w:t>
      </w:r>
      <w:r w:rsidRPr="007767D3">
        <w:rPr>
          <w:color w:val="000000"/>
        </w:rPr>
        <w:t xml:space="preserve"> SNS-O</w:t>
      </w:r>
      <w:bookmarkEnd w:id="4"/>
    </w:p>
    <w:p w:rsidR="00F378F9" w:rsidRPr="007767D3" w:rsidRDefault="00F378F9" w:rsidP="00F378F9">
      <w:pPr>
        <w:rPr>
          <w:rFonts w:cs="Arial"/>
          <w:color w:val="000000"/>
        </w:rPr>
      </w:pPr>
      <w:bookmarkStart w:id="5" w:name="_Toc449629768"/>
      <w:r w:rsidRPr="007767D3">
        <w:rPr>
          <w:rFonts w:cs="Arial"/>
          <w:color w:val="000000"/>
        </w:rPr>
        <w:t>Los sistemas de información que formen parte de la solución ofertada por el Adjudicatario deberán integrarse con los sistemas de información del SNS-O, siendo responsabilidad del Adjudicatario:</w:t>
      </w:r>
    </w:p>
    <w:p w:rsidR="00F378F9" w:rsidRPr="007767D3" w:rsidRDefault="00F378F9" w:rsidP="00F378F9">
      <w:pPr>
        <w:pStyle w:val="Vietas"/>
        <w:rPr>
          <w:color w:val="000000"/>
        </w:rPr>
      </w:pPr>
      <w:r w:rsidRPr="007767D3">
        <w:rPr>
          <w:color w:val="000000"/>
        </w:rPr>
        <w:t>El esfuerzo de integración desde sus sistemas de información.</w:t>
      </w:r>
    </w:p>
    <w:p w:rsidR="00F378F9" w:rsidRPr="007767D3" w:rsidRDefault="00F378F9" w:rsidP="00F378F9">
      <w:pPr>
        <w:pStyle w:val="Vietas"/>
        <w:rPr>
          <w:color w:val="000000"/>
        </w:rPr>
      </w:pPr>
      <w:r w:rsidRPr="007767D3">
        <w:rPr>
          <w:color w:val="000000"/>
        </w:rPr>
        <w:t>Las adecuaciones necesarias del software corporativo y propio del SNS-O que sean requeridas para garantizar las prestaciones actuales de los sistemas de información del SNS-O.</w:t>
      </w:r>
    </w:p>
    <w:p w:rsidR="00F378F9" w:rsidRPr="007767D3" w:rsidRDefault="00F378F9" w:rsidP="00F378F9">
      <w:pPr>
        <w:rPr>
          <w:rFonts w:cs="Arial"/>
          <w:color w:val="000000"/>
        </w:rPr>
      </w:pPr>
      <w:r w:rsidRPr="007767D3">
        <w:rPr>
          <w:rFonts w:cs="Arial"/>
          <w:color w:val="000000"/>
        </w:rPr>
        <w:t>Estas adaptaciones no supondrán ningún coste directo ni repercutido a través de otros proveedores del SNS-O. El desarrollo será realizado por las empresas que la DGTD determine en cada momento, principalmente los adjudicatarios de sus contratos de mantenimiento.</w:t>
      </w:r>
    </w:p>
    <w:p w:rsidR="00F378F9" w:rsidRPr="007767D3" w:rsidRDefault="00F378F9" w:rsidP="00F378F9">
      <w:pPr>
        <w:rPr>
          <w:color w:val="000000"/>
        </w:rPr>
      </w:pPr>
      <w:r w:rsidRPr="007767D3">
        <w:rPr>
          <w:color w:val="000000"/>
        </w:rPr>
        <w:t xml:space="preserve">No existe una plataforma de integración o bus de mensajería entre productos SNS-O. Todas las integraciones son punto a punto y deben diseñarse </w:t>
      </w:r>
      <w:r w:rsidRPr="007767D3">
        <w:rPr>
          <w:i/>
          <w:color w:val="000000"/>
        </w:rPr>
        <w:t>ad-hoc</w:t>
      </w:r>
      <w:r w:rsidRPr="007767D3">
        <w:rPr>
          <w:color w:val="000000"/>
        </w:rPr>
        <w:t xml:space="preserve">. </w:t>
      </w:r>
    </w:p>
    <w:p w:rsidR="00F378F9" w:rsidRPr="007767D3" w:rsidRDefault="00F378F9" w:rsidP="00F378F9">
      <w:pPr>
        <w:rPr>
          <w:color w:val="000000"/>
        </w:rPr>
      </w:pPr>
      <w:r w:rsidRPr="007767D3">
        <w:rPr>
          <w:color w:val="000000"/>
        </w:rPr>
        <w:t>Los interfaces de comunicación con sistemas externos serán servicios web. De manera excepcional, justificando su utilización en base a criterios concretos relativos a necesidades de disponibilidad, asincronismo o interoperabilidad tecnológica y siempre con el acuerdo expreso del SNS-O se podrán utilizar los siguientes tipos de interfaces de comunicación con sistemas externo:</w:t>
      </w:r>
    </w:p>
    <w:p w:rsidR="00F378F9" w:rsidRPr="007767D3" w:rsidRDefault="00F378F9" w:rsidP="00F378F9">
      <w:pPr>
        <w:pStyle w:val="Vietas"/>
        <w:rPr>
          <w:i/>
          <w:color w:val="000000"/>
        </w:rPr>
      </w:pPr>
      <w:r w:rsidRPr="007767D3">
        <w:rPr>
          <w:color w:val="000000"/>
        </w:rPr>
        <w:t>Ficheros de intercambio.</w:t>
      </w:r>
    </w:p>
    <w:p w:rsidR="00F378F9" w:rsidRPr="007767D3" w:rsidRDefault="00F378F9" w:rsidP="00F378F9">
      <w:pPr>
        <w:pStyle w:val="Vietas"/>
        <w:rPr>
          <w:i/>
          <w:color w:val="000000"/>
        </w:rPr>
      </w:pPr>
      <w:r w:rsidRPr="007767D3">
        <w:rPr>
          <w:color w:val="000000"/>
        </w:rPr>
        <w:t>Interface de usuario. Desde un sistema de información es posible incrustar, abrir o redirigir a formularios web de otro sistema de información.</w:t>
      </w:r>
    </w:p>
    <w:p w:rsidR="00F378F9" w:rsidRPr="007767D3" w:rsidRDefault="00F378F9" w:rsidP="00F378F9">
      <w:pPr>
        <w:pStyle w:val="Vietas"/>
        <w:rPr>
          <w:i/>
          <w:color w:val="000000"/>
        </w:rPr>
      </w:pPr>
      <w:r w:rsidRPr="007767D3">
        <w:rPr>
          <w:color w:val="000000"/>
        </w:rPr>
        <w:t>Acceso directo a base de datos a través de tablas, vistas o procedimientos almacenados.</w:t>
      </w:r>
    </w:p>
    <w:p w:rsidR="00F378F9" w:rsidRPr="007767D3" w:rsidRDefault="00F378F9" w:rsidP="00F378F9">
      <w:pPr>
        <w:pStyle w:val="Vietas"/>
        <w:numPr>
          <w:ilvl w:val="0"/>
          <w:numId w:val="0"/>
        </w:numPr>
        <w:rPr>
          <w:color w:val="000000"/>
        </w:rPr>
      </w:pPr>
      <w:r w:rsidRPr="007767D3">
        <w:rPr>
          <w:color w:val="000000"/>
        </w:rPr>
        <w:t xml:space="preserve">En el escenario de integración no se contempla el uso de HL7. Aquellos sistemas de información que implementen HL7 deberán adaptarse tanto </w:t>
      </w:r>
      <w:proofErr w:type="gramStart"/>
      <w:r w:rsidRPr="007767D3">
        <w:rPr>
          <w:color w:val="000000"/>
        </w:rPr>
        <w:t>al interface</w:t>
      </w:r>
      <w:proofErr w:type="gramEnd"/>
      <w:r w:rsidRPr="007767D3">
        <w:rPr>
          <w:color w:val="000000"/>
        </w:rPr>
        <w:t xml:space="preserve"> de comunicación como a la semántica del mensaje propio del sistema de información SNS-O con quien desean comunicarse.</w:t>
      </w:r>
    </w:p>
    <w:p w:rsidR="00F378F9" w:rsidRPr="007767D3" w:rsidRDefault="00F378F9" w:rsidP="00F378F9">
      <w:pPr>
        <w:pStyle w:val="Vietas"/>
        <w:numPr>
          <w:ilvl w:val="0"/>
          <w:numId w:val="0"/>
        </w:numPr>
        <w:rPr>
          <w:color w:val="000000"/>
        </w:rPr>
      </w:pPr>
      <w:r w:rsidRPr="007767D3">
        <w:rPr>
          <w:color w:val="000000"/>
        </w:rPr>
        <w:t xml:space="preserve">Si fuese necesario GN dispone de plataformas para la ejecución desatendida de componentes construidos para facilitar las integraciones. Estos componentes (tareas programadas o paquetes de transformación de datos) deben implementarse específicamente para cubrir aspectos tales como transformación de información o la monitorización del sistema para la notificación de eventos. </w:t>
      </w:r>
    </w:p>
    <w:p w:rsidR="004D4CE4" w:rsidRPr="007767D3" w:rsidRDefault="004D4CE4" w:rsidP="004D4CE4">
      <w:pPr>
        <w:pStyle w:val="Ttulo2"/>
        <w:rPr>
          <w:color w:val="000000"/>
        </w:rPr>
      </w:pPr>
      <w:bookmarkStart w:id="6" w:name="_Toc120178926"/>
      <w:r w:rsidRPr="007767D3">
        <w:rPr>
          <w:color w:val="000000"/>
        </w:rPr>
        <w:t>Licenciamiento</w:t>
      </w:r>
      <w:bookmarkEnd w:id="6"/>
      <w:r w:rsidRPr="007767D3">
        <w:rPr>
          <w:color w:val="000000"/>
        </w:rPr>
        <w:t xml:space="preserve"> </w:t>
      </w:r>
      <w:bookmarkEnd w:id="5"/>
    </w:p>
    <w:p w:rsidR="00F378F9" w:rsidRPr="007767D3" w:rsidRDefault="00F378F9" w:rsidP="00F378F9">
      <w:pPr>
        <w:pStyle w:val="Vietas"/>
        <w:numPr>
          <w:ilvl w:val="0"/>
          <w:numId w:val="0"/>
        </w:numPr>
        <w:rPr>
          <w:color w:val="000000"/>
        </w:rPr>
      </w:pPr>
      <w:r w:rsidRPr="007767D3">
        <w:rPr>
          <w:color w:val="000000"/>
        </w:rPr>
        <w:t xml:space="preserve">Las licencias de los softwares implantados serán propiedad de SNS-O de manera indefinida y SNS-O tendrá derecho a su actualización durante la vigencia del contrato. </w:t>
      </w:r>
    </w:p>
    <w:p w:rsidR="00F378F9" w:rsidRPr="007767D3" w:rsidRDefault="00F378F9" w:rsidP="00F378F9">
      <w:pPr>
        <w:rPr>
          <w:iCs/>
          <w:color w:val="000000"/>
        </w:rPr>
      </w:pPr>
      <w:r w:rsidRPr="007767D3">
        <w:rPr>
          <w:iCs/>
          <w:color w:val="000000"/>
        </w:rPr>
        <w:t>El software (sistema operativo, aplicativos, drivers, etc.) incluido en el equipamiento tendrá un ciclo de vida equivalente al del equipamiento. Con el fin de garantizar el funcionamiento y el soporte del equipamiento, la fecha de fin de soporte del software deberá ser posterior a la vida útil estimada del equipamiento o garantizar su evolución a versiones del software que estén soportadas.</w:t>
      </w:r>
    </w:p>
    <w:p w:rsidR="00A40637" w:rsidRPr="007767D3" w:rsidRDefault="00A40637" w:rsidP="00A40637">
      <w:pPr>
        <w:pStyle w:val="Ttulo2"/>
        <w:rPr>
          <w:color w:val="000000"/>
        </w:rPr>
      </w:pPr>
      <w:bookmarkStart w:id="7" w:name="_Toc116551067"/>
      <w:bookmarkStart w:id="8" w:name="_Toc120178927"/>
      <w:bookmarkStart w:id="9" w:name="_Toc105673711"/>
      <w:r w:rsidRPr="007767D3">
        <w:rPr>
          <w:color w:val="000000"/>
        </w:rPr>
        <w:t>Requisitos para la integración con Imagen Médica Digital</w:t>
      </w:r>
      <w:bookmarkEnd w:id="7"/>
      <w:bookmarkEnd w:id="8"/>
      <w:r w:rsidRPr="007767D3">
        <w:rPr>
          <w:color w:val="000000"/>
        </w:rPr>
        <w:t xml:space="preserve"> </w:t>
      </w:r>
    </w:p>
    <w:p w:rsidR="00A40637" w:rsidRPr="007767D3" w:rsidRDefault="00A40637" w:rsidP="00A40637">
      <w:pPr>
        <w:rPr>
          <w:color w:val="000000"/>
        </w:rPr>
      </w:pPr>
      <w:r w:rsidRPr="007767D3">
        <w:rPr>
          <w:color w:val="000000"/>
        </w:rPr>
        <w:t>Los requisitos incluidos en este apartado deberá cumplirlos cualquier equipo médico (equipo a partir de aquí), ya sean elementos hardware como software o la conjunción de ambos, que deba integrarse en el sistema de Imagen Médica Digital del SNS-O.</w:t>
      </w:r>
    </w:p>
    <w:p w:rsidR="00A40637" w:rsidRPr="007767D3" w:rsidRDefault="00A40637" w:rsidP="00A40637">
      <w:pPr>
        <w:rPr>
          <w:color w:val="000000"/>
        </w:rPr>
      </w:pPr>
      <w:r w:rsidRPr="007767D3">
        <w:rPr>
          <w:color w:val="000000"/>
        </w:rPr>
        <w:t>Las empresas licitantes de estos equipos deberán aportar como parte de su documentación técnica el documento “</w:t>
      </w:r>
      <w:r w:rsidRPr="007767D3">
        <w:rPr>
          <w:i/>
          <w:color w:val="000000"/>
        </w:rPr>
        <w:t xml:space="preserve">DICOM </w:t>
      </w:r>
      <w:proofErr w:type="spellStart"/>
      <w:r w:rsidRPr="007767D3">
        <w:rPr>
          <w:i/>
          <w:color w:val="000000"/>
        </w:rPr>
        <w:t>Conformance</w:t>
      </w:r>
      <w:proofErr w:type="spellEnd"/>
      <w:r w:rsidRPr="007767D3">
        <w:rPr>
          <w:i/>
          <w:color w:val="000000"/>
        </w:rPr>
        <w:t xml:space="preserve"> </w:t>
      </w:r>
      <w:proofErr w:type="spellStart"/>
      <w:r w:rsidRPr="007767D3">
        <w:rPr>
          <w:i/>
          <w:color w:val="000000"/>
        </w:rPr>
        <w:t>Statement</w:t>
      </w:r>
      <w:proofErr w:type="spellEnd"/>
      <w:r w:rsidRPr="007767D3">
        <w:rPr>
          <w:color w:val="000000"/>
        </w:rPr>
        <w:t>”</w:t>
      </w:r>
    </w:p>
    <w:p w:rsidR="00A40637" w:rsidRPr="007767D3" w:rsidRDefault="00A40637" w:rsidP="00A40637">
      <w:pPr>
        <w:rPr>
          <w:iCs/>
          <w:color w:val="000000"/>
        </w:rPr>
      </w:pPr>
      <w:r w:rsidRPr="007767D3">
        <w:rPr>
          <w:color w:val="000000"/>
        </w:rPr>
        <w:lastRenderedPageBreak/>
        <w:t>El Adjudicatario asegurará la conectividad del equipo con la red corporativa de GN. El Adjudicatario entregará documentación técnica detallando la configuración TCP/IP y DICOM del equipo.</w:t>
      </w:r>
    </w:p>
    <w:p w:rsidR="00A40637" w:rsidRPr="007767D3" w:rsidRDefault="00A40637" w:rsidP="00A40637">
      <w:pPr>
        <w:rPr>
          <w:color w:val="000000"/>
        </w:rPr>
      </w:pPr>
      <w:r w:rsidRPr="007767D3">
        <w:rPr>
          <w:color w:val="000000"/>
        </w:rPr>
        <w:t>El Adjudicatario indicará en la oferta si el equipo puede dar servicio sin necesidad de conectarlo a la red corporativa de GN.</w:t>
      </w:r>
    </w:p>
    <w:p w:rsidR="00A40637" w:rsidRPr="007767D3" w:rsidRDefault="00A40637" w:rsidP="00A40637">
      <w:pPr>
        <w:pStyle w:val="Ttulo3"/>
        <w:rPr>
          <w:color w:val="000000"/>
        </w:rPr>
      </w:pPr>
      <w:bookmarkStart w:id="10" w:name="_Toc116551068"/>
      <w:bookmarkStart w:id="11" w:name="_Toc120178928"/>
      <w:r w:rsidRPr="007767D3">
        <w:rPr>
          <w:color w:val="000000"/>
        </w:rPr>
        <w:t>Conectividad</w:t>
      </w:r>
      <w:bookmarkEnd w:id="10"/>
      <w:bookmarkEnd w:id="11"/>
    </w:p>
    <w:p w:rsidR="00A40637" w:rsidRPr="007767D3" w:rsidRDefault="00A40637" w:rsidP="00A40637">
      <w:pPr>
        <w:rPr>
          <w:color w:val="000000"/>
        </w:rPr>
      </w:pPr>
      <w:r w:rsidRPr="007767D3">
        <w:rPr>
          <w:color w:val="000000"/>
        </w:rPr>
        <w:t>Para asegurar la conectividad del equipo con la red corporativa del GN se requiere:</w:t>
      </w:r>
    </w:p>
    <w:p w:rsidR="00A40637" w:rsidRPr="007767D3" w:rsidRDefault="00A40637" w:rsidP="00A40637">
      <w:pPr>
        <w:pStyle w:val="Vietas"/>
        <w:rPr>
          <w:color w:val="000000"/>
        </w:rPr>
      </w:pPr>
      <w:r w:rsidRPr="007767D3">
        <w:rPr>
          <w:color w:val="000000"/>
        </w:rPr>
        <w:t>Interfaz física: RJ45.</w:t>
      </w:r>
    </w:p>
    <w:p w:rsidR="00A40637" w:rsidRPr="007767D3" w:rsidRDefault="00A40637" w:rsidP="00A40637">
      <w:pPr>
        <w:pStyle w:val="Vietas"/>
        <w:rPr>
          <w:color w:val="000000"/>
        </w:rPr>
      </w:pPr>
      <w:r w:rsidRPr="007767D3">
        <w:rPr>
          <w:color w:val="000000"/>
        </w:rPr>
        <w:t>Estándar de red de área local: Ethernet.</w:t>
      </w:r>
    </w:p>
    <w:p w:rsidR="00A40637" w:rsidRPr="007767D3" w:rsidRDefault="00A40637" w:rsidP="00A40637">
      <w:pPr>
        <w:pStyle w:val="Vietas"/>
        <w:rPr>
          <w:color w:val="000000"/>
        </w:rPr>
      </w:pPr>
      <w:r w:rsidRPr="007767D3">
        <w:rPr>
          <w:color w:val="000000"/>
        </w:rPr>
        <w:t>Protocolo de red: TCP/IP.</w:t>
      </w:r>
    </w:p>
    <w:p w:rsidR="00A40637" w:rsidRPr="007767D3" w:rsidRDefault="00916886" w:rsidP="00A40637">
      <w:pPr>
        <w:pStyle w:val="Vietas"/>
        <w:rPr>
          <w:color w:val="000000"/>
        </w:rPr>
      </w:pPr>
      <w:r>
        <w:rPr>
          <w:color w:val="000000"/>
        </w:rPr>
        <w:t xml:space="preserve">Interfaz WI-FI con </w:t>
      </w:r>
      <w:r w:rsidR="00A40637">
        <w:t>A</w:t>
      </w:r>
      <w:r w:rsidR="00A40637" w:rsidRPr="001A4542">
        <w:t>utenticación IEEE 802.1x WPA2-Enterprise y configurar un Usuario/Contraseña de Directorio Activo</w:t>
      </w:r>
      <w:r w:rsidR="00A40637" w:rsidRPr="007767D3">
        <w:rPr>
          <w:color w:val="000000"/>
        </w:rPr>
        <w:t>.</w:t>
      </w:r>
    </w:p>
    <w:p w:rsidR="00A40637" w:rsidRPr="007767D3" w:rsidRDefault="00A40637" w:rsidP="00A40637">
      <w:pPr>
        <w:pStyle w:val="Ttulo3"/>
        <w:rPr>
          <w:color w:val="000000"/>
        </w:rPr>
      </w:pPr>
      <w:bookmarkStart w:id="12" w:name="_Toc116551069"/>
      <w:bookmarkStart w:id="13" w:name="_Toc120178929"/>
      <w:r w:rsidRPr="007767D3">
        <w:rPr>
          <w:color w:val="000000"/>
        </w:rPr>
        <w:t>Estándar DICOM</w:t>
      </w:r>
      <w:bookmarkEnd w:id="12"/>
      <w:bookmarkEnd w:id="13"/>
    </w:p>
    <w:p w:rsidR="00A40637" w:rsidRPr="007767D3" w:rsidRDefault="00A40637" w:rsidP="00A40637">
      <w:pPr>
        <w:rPr>
          <w:rFonts w:cs="Arial"/>
          <w:color w:val="000000"/>
          <w:szCs w:val="20"/>
        </w:rPr>
      </w:pPr>
      <w:r w:rsidRPr="007767D3">
        <w:rPr>
          <w:rFonts w:cs="Arial"/>
          <w:color w:val="000000"/>
          <w:szCs w:val="20"/>
        </w:rPr>
        <w:t>El equipo debe implementar el estándar DICOM versión 3.</w:t>
      </w:r>
    </w:p>
    <w:p w:rsidR="00A40637" w:rsidRDefault="00A40637" w:rsidP="00A40637">
      <w:pPr>
        <w:rPr>
          <w:color w:val="000000"/>
        </w:rPr>
      </w:pPr>
      <w:r w:rsidRPr="007767D3">
        <w:rPr>
          <w:color w:val="000000"/>
        </w:rPr>
        <w:t>Todos los parámetros de conexión con el PACS (</w:t>
      </w:r>
      <w:proofErr w:type="spellStart"/>
      <w:r w:rsidRPr="007767D3">
        <w:rPr>
          <w:color w:val="000000"/>
        </w:rPr>
        <w:t>HostName</w:t>
      </w:r>
      <w:proofErr w:type="spellEnd"/>
      <w:r w:rsidRPr="007767D3">
        <w:rPr>
          <w:color w:val="000000"/>
        </w:rPr>
        <w:t xml:space="preserve">, IP, puerto, AET, </w:t>
      </w:r>
      <w:proofErr w:type="spellStart"/>
      <w:r w:rsidRPr="007767D3">
        <w:rPr>
          <w:color w:val="000000"/>
        </w:rPr>
        <w:t>StationName</w:t>
      </w:r>
      <w:proofErr w:type="spellEnd"/>
      <w:r w:rsidRPr="007767D3">
        <w:rPr>
          <w:color w:val="000000"/>
        </w:rPr>
        <w:t>, Nodos Remotos, etc.)  de los distintos servicios DICOM deberán poder ser configurados según las necesidades del SNS-O. La configuración DICOM inicial de los equipos será realizada por el adjudicatario con las instrucciones que le sean dadas desde la DGTD. La configuración DICOM de la modalidad deberá adecuarse a las prestaciones de especializada y primaria. La configuración DICOM será sin coste para el SNS-O y podrá volver a requerirse por parte del SNS-O a la empresa adjudicataria en cualquier momento después de la recepción del equipo.</w:t>
      </w:r>
    </w:p>
    <w:p w:rsidR="00A40637" w:rsidRPr="007767D3" w:rsidRDefault="00A40637" w:rsidP="00A40637">
      <w:pPr>
        <w:rPr>
          <w:color w:val="000000"/>
        </w:rPr>
      </w:pPr>
      <w:r>
        <w:rPr>
          <w:color w:val="000000"/>
        </w:rPr>
        <w:t>Toda comunicación con nodos DICOM deberá establecerse con el AET configurado.</w:t>
      </w:r>
    </w:p>
    <w:p w:rsidR="00A40637" w:rsidRDefault="00A40637" w:rsidP="00A40637">
      <w:pPr>
        <w:rPr>
          <w:color w:val="000000"/>
        </w:rPr>
      </w:pPr>
      <w:r w:rsidRPr="007767D3">
        <w:rPr>
          <w:color w:val="000000"/>
        </w:rPr>
        <w:t xml:space="preserve">Salvo indicación expresa por parte de la DGTD, </w:t>
      </w:r>
      <w:proofErr w:type="spellStart"/>
      <w:r w:rsidRPr="007767D3">
        <w:rPr>
          <w:color w:val="000000"/>
        </w:rPr>
        <w:t>Hostname</w:t>
      </w:r>
      <w:proofErr w:type="spellEnd"/>
      <w:r w:rsidRPr="007767D3">
        <w:rPr>
          <w:color w:val="000000"/>
        </w:rPr>
        <w:t xml:space="preserve">, </w:t>
      </w:r>
      <w:proofErr w:type="spellStart"/>
      <w:r w:rsidRPr="007767D3">
        <w:rPr>
          <w:color w:val="000000"/>
        </w:rPr>
        <w:t>StationName</w:t>
      </w:r>
      <w:proofErr w:type="spellEnd"/>
      <w:r w:rsidRPr="007767D3">
        <w:rPr>
          <w:color w:val="000000"/>
        </w:rPr>
        <w:t xml:space="preserve"> y AET tendrán el mismo valor.</w:t>
      </w:r>
    </w:p>
    <w:p w:rsidR="00A40637" w:rsidRPr="00DB071F" w:rsidRDefault="00A40637" w:rsidP="00A40637">
      <w:pPr>
        <w:rPr>
          <w:u w:val="single"/>
        </w:rPr>
      </w:pPr>
      <w:r w:rsidRPr="00DB071F">
        <w:rPr>
          <w:u w:val="single"/>
        </w:rPr>
        <w:t xml:space="preserve">Servicios DICOM </w:t>
      </w:r>
    </w:p>
    <w:p w:rsidR="00A40637" w:rsidRPr="007767D3" w:rsidRDefault="00A40637" w:rsidP="00A40637">
      <w:pPr>
        <w:rPr>
          <w:color w:val="000000"/>
        </w:rPr>
      </w:pPr>
      <w:r w:rsidRPr="007767D3">
        <w:rPr>
          <w:color w:val="000000"/>
        </w:rPr>
        <w:t>El SNS-O considera imprescindibles los siguientes servicios DICOM:</w:t>
      </w:r>
    </w:p>
    <w:p w:rsidR="00A40637" w:rsidRPr="007767D3" w:rsidRDefault="00A40637" w:rsidP="00A40637">
      <w:pPr>
        <w:pStyle w:val="Vietas"/>
        <w:rPr>
          <w:color w:val="000000"/>
        </w:rPr>
      </w:pPr>
      <w:r w:rsidRPr="007767D3">
        <w:rPr>
          <w:color w:val="000000"/>
          <w:lang w:val="en-US"/>
        </w:rPr>
        <w:t xml:space="preserve">DICOM WLM (DICOM worklist manager). </w:t>
      </w:r>
      <w:r w:rsidRPr="007767D3">
        <w:rPr>
          <w:color w:val="000000"/>
        </w:rPr>
        <w:t xml:space="preserve">Permite el envío al equipo de la lista de trabajo desde el PACS. </w:t>
      </w:r>
    </w:p>
    <w:p w:rsidR="00A40637" w:rsidRPr="007767D3" w:rsidRDefault="00A40637" w:rsidP="00A40637">
      <w:pPr>
        <w:pStyle w:val="Vietas"/>
        <w:rPr>
          <w:color w:val="000000"/>
        </w:rPr>
      </w:pPr>
      <w:r w:rsidRPr="007767D3">
        <w:rPr>
          <w:color w:val="000000"/>
        </w:rPr>
        <w:t xml:space="preserve">DICOM Storage (Almacenamiento DICOM). Se encarga de enviar las imágenes que genera el equipo al PACS. </w:t>
      </w:r>
    </w:p>
    <w:p w:rsidR="00A40637" w:rsidRPr="007767D3" w:rsidRDefault="00A40637" w:rsidP="00A40637">
      <w:pPr>
        <w:pStyle w:val="Vietas"/>
        <w:numPr>
          <w:ilvl w:val="0"/>
          <w:numId w:val="0"/>
        </w:numPr>
        <w:rPr>
          <w:color w:val="000000"/>
        </w:rPr>
      </w:pPr>
      <w:r w:rsidRPr="007767D3">
        <w:rPr>
          <w:color w:val="000000"/>
        </w:rPr>
        <w:t>El SNS-O recomienda desplegar los siguientes servicios DICOM:</w:t>
      </w:r>
    </w:p>
    <w:p w:rsidR="00A40637" w:rsidRPr="007767D3" w:rsidRDefault="00A40637" w:rsidP="00A40637">
      <w:pPr>
        <w:pStyle w:val="Vietas"/>
        <w:rPr>
          <w:color w:val="000000"/>
        </w:rPr>
      </w:pPr>
      <w:r w:rsidRPr="007767D3">
        <w:rPr>
          <w:color w:val="000000"/>
        </w:rPr>
        <w:t xml:space="preserve">DICOM </w:t>
      </w:r>
      <w:proofErr w:type="spellStart"/>
      <w:r w:rsidRPr="007767D3">
        <w:rPr>
          <w:color w:val="000000"/>
        </w:rPr>
        <w:t>Print</w:t>
      </w:r>
      <w:proofErr w:type="spellEnd"/>
      <w:r w:rsidRPr="007767D3">
        <w:rPr>
          <w:color w:val="000000"/>
        </w:rPr>
        <w:t xml:space="preserve">. Permite imprimir imágenes en una impresora DICOM. </w:t>
      </w:r>
    </w:p>
    <w:p w:rsidR="00A40637" w:rsidRDefault="00A40637" w:rsidP="00A40637">
      <w:pPr>
        <w:pStyle w:val="Vietas"/>
        <w:rPr>
          <w:color w:val="000000"/>
        </w:rPr>
      </w:pPr>
      <w:r w:rsidRPr="007767D3">
        <w:rPr>
          <w:color w:val="000000"/>
        </w:rPr>
        <w:t xml:space="preserve">DICOM QR (DICOM </w:t>
      </w:r>
      <w:proofErr w:type="spellStart"/>
      <w:r w:rsidRPr="007767D3">
        <w:rPr>
          <w:color w:val="000000"/>
        </w:rPr>
        <w:t>Query</w:t>
      </w:r>
      <w:proofErr w:type="spellEnd"/>
      <w:r w:rsidRPr="007767D3">
        <w:rPr>
          <w:color w:val="000000"/>
        </w:rPr>
        <w:t>/</w:t>
      </w:r>
      <w:proofErr w:type="spellStart"/>
      <w:r w:rsidRPr="007767D3">
        <w:rPr>
          <w:color w:val="000000"/>
        </w:rPr>
        <w:t>Retrieve</w:t>
      </w:r>
      <w:proofErr w:type="spellEnd"/>
      <w:r w:rsidRPr="007767D3">
        <w:rPr>
          <w:color w:val="000000"/>
        </w:rPr>
        <w:t>). Permite que el equipo consulte y pida estudios al</w:t>
      </w:r>
      <w:r>
        <w:rPr>
          <w:color w:val="000000"/>
        </w:rPr>
        <w:t xml:space="preserve"> PACS.</w:t>
      </w:r>
    </w:p>
    <w:p w:rsidR="00A40637" w:rsidRPr="003E5F8E" w:rsidRDefault="00A40637" w:rsidP="00A40637">
      <w:pPr>
        <w:pStyle w:val="Vietas"/>
        <w:rPr>
          <w:color w:val="000000"/>
        </w:rPr>
      </w:pPr>
      <w:r w:rsidRPr="003F2CB4">
        <w:rPr>
          <w:color w:val="000000"/>
        </w:rPr>
        <w:t>DICOM COMMITMENT. Permite verificar si un archivo, que fue enviando previamente al PACS, está almacenado correctamente.</w:t>
      </w:r>
    </w:p>
    <w:p w:rsidR="00A40637" w:rsidRPr="007767D3" w:rsidRDefault="00A40637" w:rsidP="00A40637">
      <w:pPr>
        <w:autoSpaceDE w:val="0"/>
        <w:autoSpaceDN w:val="0"/>
        <w:adjustRightInd w:val="0"/>
        <w:rPr>
          <w:rFonts w:cs="Arial"/>
          <w:color w:val="000000"/>
          <w:szCs w:val="20"/>
        </w:rPr>
      </w:pPr>
      <w:r w:rsidRPr="007767D3">
        <w:rPr>
          <w:rFonts w:cs="Arial"/>
          <w:color w:val="000000"/>
          <w:szCs w:val="20"/>
        </w:rPr>
        <w:t xml:space="preserve">Los servicios DICOM, al menos los imprescindibles, </w:t>
      </w:r>
      <w:r w:rsidRPr="007767D3">
        <w:rPr>
          <w:rFonts w:cs="Arial"/>
          <w:bCs/>
          <w:color w:val="000000"/>
          <w:szCs w:val="20"/>
        </w:rPr>
        <w:t>deben estar operativos y funcionales</w:t>
      </w:r>
      <w:r w:rsidRPr="007767D3">
        <w:rPr>
          <w:rFonts w:cs="Arial"/>
          <w:color w:val="000000"/>
          <w:szCs w:val="20"/>
        </w:rPr>
        <w:t xml:space="preserve">. </w:t>
      </w:r>
      <w:r w:rsidRPr="007767D3">
        <w:rPr>
          <w:rFonts w:cs="Arial"/>
          <w:bCs/>
          <w:color w:val="000000"/>
          <w:szCs w:val="20"/>
        </w:rPr>
        <w:t>No es aceptable</w:t>
      </w:r>
      <w:r w:rsidRPr="007767D3">
        <w:rPr>
          <w:rFonts w:cs="Arial"/>
          <w:color w:val="000000"/>
          <w:szCs w:val="20"/>
        </w:rPr>
        <w:t>:</w:t>
      </w:r>
    </w:p>
    <w:p w:rsidR="00A40637" w:rsidRPr="007767D3" w:rsidRDefault="00A40637" w:rsidP="00A40637">
      <w:pPr>
        <w:pStyle w:val="Vietas"/>
        <w:rPr>
          <w:color w:val="000000"/>
        </w:rPr>
      </w:pPr>
      <w:r w:rsidRPr="007767D3">
        <w:rPr>
          <w:color w:val="000000"/>
        </w:rPr>
        <w:t>Requerir el pago de licencia, activación, o cualquier otro cargo para permitir su uso.</w:t>
      </w:r>
    </w:p>
    <w:p w:rsidR="00A40637" w:rsidRPr="007767D3" w:rsidRDefault="00A40637" w:rsidP="00A40637">
      <w:pPr>
        <w:pStyle w:val="Vietas"/>
        <w:rPr>
          <w:color w:val="000000"/>
        </w:rPr>
      </w:pPr>
      <w:r w:rsidRPr="007767D3">
        <w:rPr>
          <w:color w:val="000000"/>
        </w:rPr>
        <w:t>Requerir el pago al servicio técnico del adjudicatario para su correcta configuración.</w:t>
      </w:r>
    </w:p>
    <w:p w:rsidR="00A40637" w:rsidRPr="003F2CB4" w:rsidRDefault="00A40637" w:rsidP="00A40637">
      <w:pPr>
        <w:pStyle w:val="Ttulo3"/>
        <w:rPr>
          <w:color w:val="000000"/>
        </w:rPr>
      </w:pPr>
      <w:bookmarkStart w:id="14" w:name="_Toc89169043"/>
      <w:bookmarkStart w:id="15" w:name="_Toc116551070"/>
      <w:bookmarkStart w:id="16" w:name="_Toc120178930"/>
      <w:r w:rsidRPr="003F2CB4">
        <w:rPr>
          <w:color w:val="000000"/>
        </w:rPr>
        <w:t>Estudios DICOM</w:t>
      </w:r>
      <w:bookmarkEnd w:id="14"/>
      <w:bookmarkEnd w:id="15"/>
      <w:bookmarkEnd w:id="16"/>
    </w:p>
    <w:p w:rsidR="00A40637" w:rsidRPr="00025994" w:rsidRDefault="00A40637" w:rsidP="00A40637">
      <w:pPr>
        <w:pStyle w:val="Vietas"/>
        <w:numPr>
          <w:ilvl w:val="0"/>
          <w:numId w:val="50"/>
        </w:numPr>
        <w:rPr>
          <w:rFonts w:cs="Arial"/>
          <w:szCs w:val="20"/>
        </w:rPr>
      </w:pPr>
      <w:r>
        <w:rPr>
          <w:rFonts w:cs="Arial"/>
          <w:szCs w:val="20"/>
        </w:rPr>
        <w:t>Utilizará el set de caracteres ISO_IR 100 para los servicios DICOM WLM SCU y Storage SCU.</w:t>
      </w:r>
    </w:p>
    <w:p w:rsidR="00A40637" w:rsidRPr="003F2CB4" w:rsidRDefault="00A40637" w:rsidP="00A40637">
      <w:pPr>
        <w:pStyle w:val="Vietas"/>
        <w:rPr>
          <w:rFonts w:cs="Arial"/>
          <w:szCs w:val="20"/>
        </w:rPr>
      </w:pPr>
      <w:r>
        <w:t xml:space="preserve">Los objetos DICOM tienen que llegar al PACS con los </w:t>
      </w:r>
      <w:proofErr w:type="spellStart"/>
      <w:r>
        <w:t>tags</w:t>
      </w:r>
      <w:proofErr w:type="spellEnd"/>
      <w:r>
        <w:t xml:space="preserve"> DICOM correctos para que la visualización en los visores del SNS-O sea óptimo.</w:t>
      </w:r>
    </w:p>
    <w:p w:rsidR="00A40637" w:rsidRPr="003F2CB4" w:rsidRDefault="00A40637" w:rsidP="00A40637">
      <w:pPr>
        <w:pStyle w:val="Vietas"/>
        <w:rPr>
          <w:rFonts w:cs="Arial"/>
          <w:szCs w:val="20"/>
        </w:rPr>
      </w:pPr>
      <w:r>
        <w:rPr>
          <w:rFonts w:cs="Arial"/>
          <w:szCs w:val="20"/>
        </w:rPr>
        <w:t xml:space="preserve">Todos los objetos DICOM enviados al PACS, tendrán los </w:t>
      </w:r>
      <w:proofErr w:type="spellStart"/>
      <w:r>
        <w:rPr>
          <w:rFonts w:cs="Arial"/>
          <w:szCs w:val="20"/>
        </w:rPr>
        <w:t>tags</w:t>
      </w:r>
      <w:proofErr w:type="spellEnd"/>
      <w:r>
        <w:rPr>
          <w:rFonts w:cs="Arial"/>
          <w:szCs w:val="20"/>
        </w:rPr>
        <w:t xml:space="preserve"> DICOM </w:t>
      </w:r>
      <w:proofErr w:type="spellStart"/>
      <w:r w:rsidRPr="003F2CB4">
        <w:rPr>
          <w:rFonts w:cs="Arial"/>
          <w:szCs w:val="20"/>
        </w:rPr>
        <w:t>Station</w:t>
      </w:r>
      <w:proofErr w:type="spellEnd"/>
      <w:r w:rsidRPr="003F2CB4">
        <w:rPr>
          <w:rFonts w:cs="Arial"/>
          <w:szCs w:val="20"/>
        </w:rPr>
        <w:t xml:space="preserve"> </w:t>
      </w:r>
      <w:proofErr w:type="spellStart"/>
      <w:r w:rsidRPr="003F2CB4">
        <w:rPr>
          <w:rFonts w:cs="Arial"/>
          <w:szCs w:val="20"/>
        </w:rPr>
        <w:t>Name</w:t>
      </w:r>
      <w:proofErr w:type="spellEnd"/>
      <w:r w:rsidRPr="003F2CB4">
        <w:rPr>
          <w:rFonts w:cs="Arial"/>
          <w:szCs w:val="20"/>
        </w:rPr>
        <w:t xml:space="preserve"> </w:t>
      </w:r>
      <w:r w:rsidRPr="003F2CB4">
        <w:rPr>
          <w:rFonts w:cs="Arial"/>
          <w:szCs w:val="20"/>
        </w:rPr>
        <w:lastRenderedPageBreak/>
        <w:t xml:space="preserve">(0008,1010) e </w:t>
      </w:r>
      <w:proofErr w:type="spellStart"/>
      <w:r w:rsidRPr="003F2CB4">
        <w:rPr>
          <w:rFonts w:cs="Arial"/>
          <w:szCs w:val="20"/>
        </w:rPr>
        <w:t>Institution</w:t>
      </w:r>
      <w:proofErr w:type="spellEnd"/>
      <w:r w:rsidRPr="003F2CB4">
        <w:rPr>
          <w:rFonts w:cs="Arial"/>
          <w:szCs w:val="20"/>
        </w:rPr>
        <w:t xml:space="preserve"> </w:t>
      </w:r>
      <w:proofErr w:type="spellStart"/>
      <w:r w:rsidRPr="003F2CB4">
        <w:rPr>
          <w:rFonts w:cs="Arial"/>
          <w:szCs w:val="20"/>
        </w:rPr>
        <w:t>Name</w:t>
      </w:r>
      <w:proofErr w:type="spellEnd"/>
      <w:r w:rsidRPr="003F2CB4">
        <w:rPr>
          <w:rFonts w:cs="Arial"/>
          <w:szCs w:val="20"/>
        </w:rPr>
        <w:t xml:space="preserve"> (0008,0080), </w:t>
      </w:r>
      <w:r>
        <w:rPr>
          <w:rFonts w:cs="Arial"/>
          <w:szCs w:val="20"/>
        </w:rPr>
        <w:t xml:space="preserve">según </w:t>
      </w:r>
      <w:r w:rsidRPr="003F2CB4">
        <w:rPr>
          <w:rFonts w:cs="Arial"/>
          <w:szCs w:val="20"/>
        </w:rPr>
        <w:t>los parámetros indicados por la DGTD.</w:t>
      </w:r>
    </w:p>
    <w:p w:rsidR="00A40637" w:rsidRDefault="00A40637" w:rsidP="00A40637">
      <w:pPr>
        <w:pStyle w:val="Vietas"/>
        <w:rPr>
          <w:rFonts w:cs="Arial"/>
          <w:szCs w:val="20"/>
        </w:rPr>
      </w:pPr>
      <w:r>
        <w:rPr>
          <w:rFonts w:cs="Arial"/>
          <w:szCs w:val="20"/>
        </w:rPr>
        <w:t>L</w:t>
      </w:r>
      <w:r w:rsidRPr="003F2CB4">
        <w:rPr>
          <w:rFonts w:cs="Arial"/>
          <w:szCs w:val="20"/>
        </w:rPr>
        <w:t>os campos identificativos del estudio (</w:t>
      </w:r>
      <w:proofErr w:type="spellStart"/>
      <w:r w:rsidRPr="003F2CB4">
        <w:rPr>
          <w:rFonts w:cs="Arial"/>
          <w:szCs w:val="20"/>
        </w:rPr>
        <w:t>AccessionNumber</w:t>
      </w:r>
      <w:proofErr w:type="spellEnd"/>
      <w:r w:rsidRPr="003F2CB4">
        <w:rPr>
          <w:rFonts w:cs="Arial"/>
          <w:szCs w:val="20"/>
        </w:rPr>
        <w:t xml:space="preserve">, </w:t>
      </w:r>
      <w:proofErr w:type="spellStart"/>
      <w:r w:rsidRPr="003F2CB4">
        <w:rPr>
          <w:rFonts w:cs="Arial"/>
          <w:szCs w:val="20"/>
        </w:rPr>
        <w:t>StudyInstanceUID</w:t>
      </w:r>
      <w:proofErr w:type="spellEnd"/>
      <w:r w:rsidRPr="003F2CB4">
        <w:rPr>
          <w:rFonts w:cs="Arial"/>
          <w:szCs w:val="20"/>
        </w:rPr>
        <w:t xml:space="preserve">, </w:t>
      </w:r>
      <w:proofErr w:type="spellStart"/>
      <w:r w:rsidRPr="003F2CB4">
        <w:rPr>
          <w:rFonts w:cs="Arial"/>
          <w:szCs w:val="20"/>
        </w:rPr>
        <w:t>StudyDate</w:t>
      </w:r>
      <w:proofErr w:type="spellEnd"/>
      <w:r w:rsidRPr="003F2CB4">
        <w:rPr>
          <w:rFonts w:cs="Arial"/>
          <w:szCs w:val="20"/>
        </w:rPr>
        <w:t xml:space="preserve">, </w:t>
      </w:r>
      <w:proofErr w:type="spellStart"/>
      <w:r w:rsidRPr="003F2CB4">
        <w:rPr>
          <w:rFonts w:cs="Arial"/>
          <w:szCs w:val="20"/>
        </w:rPr>
        <w:t>StudyTime</w:t>
      </w:r>
      <w:proofErr w:type="spellEnd"/>
      <w:r w:rsidRPr="003F2CB4">
        <w:rPr>
          <w:rFonts w:cs="Arial"/>
          <w:szCs w:val="20"/>
        </w:rPr>
        <w:t xml:space="preserve">, </w:t>
      </w:r>
      <w:proofErr w:type="spellStart"/>
      <w:r w:rsidRPr="003F2CB4">
        <w:rPr>
          <w:rFonts w:cs="Arial"/>
          <w:szCs w:val="20"/>
        </w:rPr>
        <w:t>PatientID</w:t>
      </w:r>
      <w:proofErr w:type="spellEnd"/>
      <w:r w:rsidRPr="003F2CB4">
        <w:rPr>
          <w:rFonts w:cs="Arial"/>
          <w:szCs w:val="20"/>
        </w:rPr>
        <w:t xml:space="preserve">, …) </w:t>
      </w:r>
      <w:r>
        <w:rPr>
          <w:rFonts w:cs="Arial"/>
          <w:szCs w:val="20"/>
        </w:rPr>
        <w:t xml:space="preserve">serán </w:t>
      </w:r>
      <w:r w:rsidRPr="003F2CB4">
        <w:rPr>
          <w:rFonts w:cs="Arial"/>
          <w:szCs w:val="20"/>
        </w:rPr>
        <w:t xml:space="preserve">iguales en todos los </w:t>
      </w:r>
      <w:r>
        <w:rPr>
          <w:rFonts w:cs="Arial"/>
          <w:szCs w:val="20"/>
        </w:rPr>
        <w:t>objetos DICOM, de un mismo estudio, enviados al PACS.</w:t>
      </w:r>
    </w:p>
    <w:p w:rsidR="00A40637" w:rsidRDefault="00A40637" w:rsidP="00A40637">
      <w:pPr>
        <w:pStyle w:val="Vietas"/>
        <w:rPr>
          <w:rFonts w:cs="Arial"/>
          <w:color w:val="000000"/>
          <w:szCs w:val="20"/>
        </w:rPr>
      </w:pPr>
      <w:r w:rsidRPr="007767D3">
        <w:rPr>
          <w:color w:val="000000"/>
        </w:rPr>
        <w:t xml:space="preserve">Informes gráficos. </w:t>
      </w:r>
      <w:r w:rsidRPr="007767D3">
        <w:rPr>
          <w:rFonts w:cs="Arial"/>
          <w:color w:val="000000"/>
          <w:szCs w:val="20"/>
        </w:rPr>
        <w:t xml:space="preserve">Los informes gráficos que se envíen al PACS deben implementar DICOM </w:t>
      </w:r>
      <w:proofErr w:type="spellStart"/>
      <w:r>
        <w:rPr>
          <w:rFonts w:cs="Arial"/>
          <w:color w:val="000000"/>
          <w:szCs w:val="20"/>
        </w:rPr>
        <w:t>WaveForm</w:t>
      </w:r>
      <w:proofErr w:type="spellEnd"/>
      <w:r>
        <w:rPr>
          <w:rFonts w:cs="Arial"/>
          <w:color w:val="000000"/>
          <w:szCs w:val="20"/>
        </w:rPr>
        <w:t>.</w:t>
      </w:r>
    </w:p>
    <w:p w:rsidR="00A40637" w:rsidRPr="0053260A" w:rsidRDefault="00A40637" w:rsidP="00A40637">
      <w:pPr>
        <w:pStyle w:val="Vietas"/>
      </w:pPr>
      <w:r w:rsidRPr="0053260A">
        <w:t>Equipos con radiación ionizante deben enviar la información de dosis radiológica al Sistema de Dosis del SNS-O. La forma preferente es la primera de cada tipo de modalidad.</w:t>
      </w:r>
    </w:p>
    <w:p w:rsidR="00A40637" w:rsidRPr="0053260A" w:rsidRDefault="00A40637" w:rsidP="00A40637">
      <w:pPr>
        <w:pStyle w:val="Vietas"/>
        <w:widowControl/>
        <w:numPr>
          <w:ilvl w:val="1"/>
          <w:numId w:val="3"/>
        </w:numPr>
      </w:pPr>
      <w:r w:rsidRPr="0053260A">
        <w:t>Equipos DX (Radiología general).</w:t>
      </w:r>
    </w:p>
    <w:p w:rsidR="00A40637" w:rsidRPr="000129F1" w:rsidRDefault="00A40637" w:rsidP="00A40637">
      <w:pPr>
        <w:pStyle w:val="Vietas"/>
        <w:numPr>
          <w:ilvl w:val="2"/>
          <w:numId w:val="3"/>
        </w:numPr>
        <w:rPr>
          <w:lang w:val="en-US"/>
        </w:rPr>
      </w:pPr>
      <w:r w:rsidRPr="000129F1">
        <w:rPr>
          <w:lang w:val="en-US"/>
        </w:rPr>
        <w:t>Radiation Dose Structured Report (RDSR) con SOP Class UID: "1.2.840.10008.5.1.4.1.1.88.67".</w:t>
      </w:r>
    </w:p>
    <w:p w:rsidR="00A40637" w:rsidRPr="0053260A" w:rsidRDefault="00A40637" w:rsidP="00A40637">
      <w:pPr>
        <w:pStyle w:val="Vietas"/>
        <w:widowControl/>
        <w:numPr>
          <w:ilvl w:val="2"/>
          <w:numId w:val="3"/>
        </w:numPr>
      </w:pPr>
      <w:r w:rsidRPr="0053260A">
        <w:t>Cabecera DICOM.</w:t>
      </w:r>
    </w:p>
    <w:p w:rsidR="00A40637" w:rsidRPr="0053260A" w:rsidRDefault="00A40637" w:rsidP="00A40637">
      <w:pPr>
        <w:pStyle w:val="Vietas"/>
        <w:widowControl/>
        <w:numPr>
          <w:ilvl w:val="1"/>
          <w:numId w:val="3"/>
        </w:numPr>
      </w:pPr>
      <w:r w:rsidRPr="0053260A">
        <w:t xml:space="preserve">Resto de equipos. </w:t>
      </w:r>
    </w:p>
    <w:p w:rsidR="00A40637" w:rsidRPr="000129F1" w:rsidRDefault="00A40637" w:rsidP="00A40637">
      <w:pPr>
        <w:pStyle w:val="Vietas"/>
        <w:widowControl/>
        <w:numPr>
          <w:ilvl w:val="2"/>
          <w:numId w:val="3"/>
        </w:numPr>
        <w:rPr>
          <w:lang w:val="en-US"/>
        </w:rPr>
      </w:pPr>
      <w:r w:rsidRPr="000129F1">
        <w:rPr>
          <w:lang w:val="en-US"/>
        </w:rPr>
        <w:t>Radiation Dose Structured Report (RDSR) con SOP Class UID: "1.2.840.10008.5.1.4.1.1.88.67".</w:t>
      </w:r>
    </w:p>
    <w:p w:rsidR="00A40637" w:rsidRPr="0053260A" w:rsidRDefault="00A40637" w:rsidP="00A40637">
      <w:pPr>
        <w:pStyle w:val="Vietas"/>
        <w:numPr>
          <w:ilvl w:val="0"/>
          <w:numId w:val="0"/>
        </w:numPr>
        <w:ind w:left="964"/>
      </w:pPr>
      <w:r w:rsidRPr="0053260A">
        <w:t xml:space="preserve">Permitirá enviar los objetos RDSR o CT </w:t>
      </w:r>
      <w:proofErr w:type="spellStart"/>
      <w:r w:rsidRPr="0053260A">
        <w:t>Dose</w:t>
      </w:r>
      <w:proofErr w:type="spellEnd"/>
      <w:r w:rsidRPr="0053260A">
        <w:t xml:space="preserve"> </w:t>
      </w:r>
      <w:proofErr w:type="spellStart"/>
      <w:r w:rsidRPr="0053260A">
        <w:t>Report</w:t>
      </w:r>
      <w:proofErr w:type="spellEnd"/>
      <w:r w:rsidRPr="0053260A">
        <w:t xml:space="preserve"> al mismo PACS al que se envía la imagen asociada al objeto o a otro distinto a decisión de la DGTD.</w:t>
      </w:r>
    </w:p>
    <w:p w:rsidR="007718B1" w:rsidRDefault="007718B1" w:rsidP="007718B1">
      <w:pPr>
        <w:pStyle w:val="Ttulo1"/>
        <w:rPr>
          <w:color w:val="000000"/>
        </w:rPr>
      </w:pPr>
      <w:bookmarkStart w:id="17" w:name="_Toc120178931"/>
      <w:r w:rsidRPr="007718B1">
        <w:rPr>
          <w:color w:val="000000"/>
        </w:rPr>
        <w:lastRenderedPageBreak/>
        <w:t>Requisitos técnicos de Infraestructuras para pliegos técnicos</w:t>
      </w:r>
      <w:bookmarkEnd w:id="9"/>
      <w:bookmarkEnd w:id="17"/>
      <w:r w:rsidRPr="007718B1">
        <w:rPr>
          <w:color w:val="000000"/>
        </w:rPr>
        <w:t xml:space="preserve"> </w:t>
      </w:r>
    </w:p>
    <w:p w:rsidR="00211C95" w:rsidRPr="00211C95" w:rsidRDefault="00211C95" w:rsidP="00211C95">
      <w:r>
        <w:t xml:space="preserve">Requerimiento SI la oferta incluye </w:t>
      </w:r>
      <w:r w:rsidR="00A15D39" w:rsidRPr="00A15D39">
        <w:t xml:space="preserve">equipamiento (servidores, licencias, </w:t>
      </w:r>
      <w:r w:rsidR="00A15D39">
        <w:t xml:space="preserve">software, </w:t>
      </w:r>
      <w:r w:rsidR="00A15D39" w:rsidRPr="00A15D39">
        <w:t>estaciones de trabajo, …) que no son parte de la propia modalidad</w:t>
      </w:r>
      <w:r w:rsidR="00A15D39">
        <w:t>.</w:t>
      </w:r>
    </w:p>
    <w:p w:rsidR="00F378F9" w:rsidRDefault="00F378F9" w:rsidP="00F378F9">
      <w:r>
        <w:rPr>
          <w:rFonts w:cs="Arial"/>
        </w:rPr>
        <w:t>Todos los sistemas deberán cumplir de forma general el Escenario Tecnológico de Gobierno de Navarra que está publicado en:</w:t>
      </w:r>
    </w:p>
    <w:p w:rsidR="00F378F9" w:rsidRDefault="001D1DE7" w:rsidP="00F378F9">
      <w:pPr>
        <w:pStyle w:val="Vietas"/>
        <w:numPr>
          <w:ilvl w:val="0"/>
          <w:numId w:val="0"/>
        </w:numPr>
        <w:ind w:left="624"/>
        <w:rPr>
          <w:rFonts w:cs="Arial"/>
        </w:rPr>
      </w:pPr>
      <w:hyperlink r:id="rId11" w:history="1">
        <w:r w:rsidR="00F378F9">
          <w:rPr>
            <w:rStyle w:val="Hipervnculo"/>
          </w:rPr>
          <w:t>http://internet.gccpublica.navarra.es/DGIT/SistemasInformacionGN/default.aspx</w:t>
        </w:r>
      </w:hyperlink>
    </w:p>
    <w:p w:rsidR="00F378F9" w:rsidRDefault="00F378F9" w:rsidP="00F378F9">
      <w:pPr>
        <w:pStyle w:val="Vietas"/>
        <w:numPr>
          <w:ilvl w:val="0"/>
          <w:numId w:val="0"/>
        </w:numPr>
        <w:rPr>
          <w:rFonts w:cs="Arial"/>
        </w:rPr>
      </w:pPr>
    </w:p>
    <w:p w:rsidR="00F378F9" w:rsidRDefault="00F378F9" w:rsidP="00F378F9">
      <w:pPr>
        <w:pStyle w:val="Vietas"/>
        <w:numPr>
          <w:ilvl w:val="0"/>
          <w:numId w:val="0"/>
        </w:numPr>
      </w:pPr>
      <w:r>
        <w:rPr>
          <w:rFonts w:cs="Arial"/>
        </w:rPr>
        <w:t>Además, deberán cumplir los siguientes requisitos específicos para lo cual en cada oferta se entregará esta tabla completada junto a la propuesta técnica:</w:t>
      </w:r>
    </w:p>
    <w:p w:rsidR="00F378F9" w:rsidRDefault="00F378F9" w:rsidP="00F378F9">
      <w:pPr>
        <w:pStyle w:val="Vietas"/>
        <w:numPr>
          <w:ilvl w:val="0"/>
          <w:numId w:val="0"/>
        </w:numPr>
        <w:rPr>
          <w:rFonts w:cs="Arial"/>
          <w:b/>
        </w:rPr>
      </w:pPr>
    </w:p>
    <w:tbl>
      <w:tblPr>
        <w:tblW w:w="0" w:type="auto"/>
        <w:tblInd w:w="-20" w:type="dxa"/>
        <w:tblLayout w:type="fixed"/>
        <w:tblLook w:val="0000" w:firstRow="0" w:lastRow="0" w:firstColumn="0" w:lastColumn="0" w:noHBand="0" w:noVBand="0"/>
      </w:tblPr>
      <w:tblGrid>
        <w:gridCol w:w="6394"/>
        <w:gridCol w:w="2082"/>
      </w:tblGrid>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rPr>
              <w:t>Requisitos</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rPr>
              <w:t>Aceptación (Si)</w:t>
            </w: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 xml:space="preserve">Todos los sistemas de información de servidor serán </w:t>
            </w:r>
            <w:proofErr w:type="spellStart"/>
            <w:r>
              <w:rPr>
                <w:rFonts w:cs="Arial"/>
                <w:b/>
                <w:szCs w:val="20"/>
              </w:rPr>
              <w:t>virtualizables</w:t>
            </w:r>
            <w:proofErr w:type="spellEnd"/>
            <w:r>
              <w:rPr>
                <w:rFonts w:cs="Arial"/>
                <w:szCs w:val="20"/>
              </w:rPr>
              <w:t xml:space="preserve"> y alojados en la plataforma de virtualización </w:t>
            </w:r>
            <w:proofErr w:type="spellStart"/>
            <w:r>
              <w:rPr>
                <w:rFonts w:cs="Arial"/>
                <w:b/>
                <w:szCs w:val="20"/>
              </w:rPr>
              <w:t>VMware</w:t>
            </w:r>
            <w:proofErr w:type="spellEnd"/>
            <w:r>
              <w:rPr>
                <w:rFonts w:cs="Arial"/>
                <w:szCs w:val="20"/>
              </w:rPr>
              <w:t xml:space="preserve"> de Gobierno de Navarra con las características y condiciones descritas en el Escenario Tecnológico del mismo.</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 xml:space="preserve">Los parámetros de red de los sistemas de información tanto para equipos servidor como cliente o equipo tipo </w:t>
            </w:r>
            <w:proofErr w:type="spellStart"/>
            <w:r>
              <w:rPr>
                <w:rFonts w:cs="Arial"/>
                <w:b/>
                <w:i/>
                <w:szCs w:val="20"/>
              </w:rPr>
              <w:t>appliance</w:t>
            </w:r>
            <w:proofErr w:type="spellEnd"/>
            <w:r>
              <w:rPr>
                <w:rFonts w:cs="Arial"/>
                <w:b/>
                <w:szCs w:val="20"/>
              </w:rPr>
              <w:t xml:space="preserve"> serán asignados por Gobierno de Navarra.</w:t>
            </w:r>
            <w:r>
              <w:rPr>
                <w:rFonts w:cs="Arial"/>
                <w:szCs w:val="20"/>
              </w:rPr>
              <w:t xml:space="preserve"> Incluidos dirección IP (fija o DHCP), máscara de red, DNS y puerta de enlace.</w:t>
            </w:r>
          </w:p>
          <w:p w:rsidR="00F378F9" w:rsidRDefault="00F378F9" w:rsidP="00F378F9">
            <w:pPr>
              <w:pStyle w:val="Vietas"/>
              <w:widowControl/>
              <w:numPr>
                <w:ilvl w:val="0"/>
                <w:numId w:val="49"/>
              </w:numPr>
              <w:suppressAutoHyphens/>
              <w:spacing w:before="0"/>
            </w:pPr>
            <w:r>
              <w:rPr>
                <w:rFonts w:cs="Arial"/>
                <w:szCs w:val="20"/>
              </w:rPr>
              <w:t xml:space="preserve">Interfaz física: 1Gb mediante RJ45 </w:t>
            </w:r>
            <w:r w:rsidRPr="006D1D45">
              <w:rPr>
                <w:rFonts w:cs="Arial"/>
                <w:szCs w:val="20"/>
              </w:rPr>
              <w:t>o 10Gb mediante fibra óptica.</w:t>
            </w:r>
          </w:p>
          <w:p w:rsidR="00F378F9" w:rsidRDefault="00F378F9" w:rsidP="00F378F9">
            <w:pPr>
              <w:pStyle w:val="Vietas"/>
              <w:widowControl/>
              <w:numPr>
                <w:ilvl w:val="0"/>
                <w:numId w:val="49"/>
              </w:numPr>
              <w:suppressAutoHyphens/>
              <w:spacing w:before="0"/>
            </w:pPr>
            <w:r>
              <w:rPr>
                <w:rFonts w:cs="Arial"/>
                <w:szCs w:val="20"/>
              </w:rPr>
              <w:t>Estándar de red de área local: Ethernet.</w:t>
            </w:r>
          </w:p>
          <w:p w:rsidR="00F378F9" w:rsidRDefault="00F378F9" w:rsidP="00F378F9">
            <w:pPr>
              <w:pStyle w:val="Vietas"/>
              <w:widowControl/>
              <w:numPr>
                <w:ilvl w:val="0"/>
                <w:numId w:val="49"/>
              </w:numPr>
              <w:suppressAutoHyphens/>
              <w:spacing w:before="0"/>
            </w:pPr>
            <w:r>
              <w:rPr>
                <w:rFonts w:cs="Arial"/>
                <w:szCs w:val="20"/>
              </w:rPr>
              <w:t>Protocolo de red: TCP/IP.</w:t>
            </w:r>
          </w:p>
          <w:p w:rsidR="00F378F9" w:rsidRDefault="00F378F9" w:rsidP="00BB3FBE">
            <w:pPr>
              <w:pStyle w:val="Vietas"/>
              <w:numPr>
                <w:ilvl w:val="0"/>
                <w:numId w:val="0"/>
              </w:numPr>
              <w:rPr>
                <w:rFonts w:cs="Arial"/>
                <w:szCs w:val="20"/>
              </w:r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Los cambios necesarios en los parámetros de red de los sistemas de información serán posibles durante toda la vida útil de los sistemas de información</w:t>
            </w:r>
            <w:r>
              <w:rPr>
                <w:rFonts w:cs="Arial"/>
                <w:szCs w:val="20"/>
              </w:rPr>
              <w:t xml:space="preserve"> y estará debidamente documentada la ejecución de los mismos por parte del fabricante, instalador o proveedor. Los cambios en los parámetros de red de los sistemas de información necesarios durante el periodo de soporte, serán realizados por el proveedor del soporte sin ocasionar gastos a Gobierno de Navarra.</w:t>
            </w:r>
          </w:p>
          <w:p w:rsidR="00F378F9" w:rsidRDefault="00F378F9" w:rsidP="00BB3FBE">
            <w:pPr>
              <w:pStyle w:val="Vietas"/>
              <w:numPr>
                <w:ilvl w:val="0"/>
                <w:numId w:val="0"/>
              </w:numPr>
              <w:rPr>
                <w:rFonts w:cs="Arial"/>
                <w:szCs w:val="20"/>
              </w:r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 xml:space="preserve">Los sistemas de información estarán colocados en una </w:t>
            </w:r>
            <w:r>
              <w:rPr>
                <w:rFonts w:cs="Arial"/>
                <w:b/>
                <w:i/>
                <w:szCs w:val="20"/>
              </w:rPr>
              <w:t>VLAN</w:t>
            </w:r>
            <w:r>
              <w:rPr>
                <w:rFonts w:cs="Arial"/>
                <w:b/>
                <w:szCs w:val="20"/>
              </w:rPr>
              <w:t xml:space="preserve"> asignada</w:t>
            </w:r>
            <w:r>
              <w:rPr>
                <w:rFonts w:cs="Arial"/>
                <w:szCs w:val="20"/>
              </w:rPr>
              <w:t xml:space="preserve"> por </w:t>
            </w:r>
            <w:r w:rsidRPr="00E60CC9">
              <w:rPr>
                <w:rFonts w:cs="Arial"/>
                <w:szCs w:val="20"/>
              </w:rPr>
              <w:t>Gobierno de Navarra</w:t>
            </w:r>
            <w:r>
              <w:rPr>
                <w:rFonts w:cs="Arial"/>
                <w:szCs w:val="20"/>
              </w:rPr>
              <w:t xml:space="preserve">, detrás de </w:t>
            </w:r>
            <w:proofErr w:type="gramStart"/>
            <w:r>
              <w:rPr>
                <w:rFonts w:cs="Arial"/>
                <w:szCs w:val="20"/>
              </w:rPr>
              <w:t>un cortafuegos</w:t>
            </w:r>
            <w:proofErr w:type="gramEnd"/>
            <w:r>
              <w:rPr>
                <w:rFonts w:cs="Arial"/>
                <w:szCs w:val="20"/>
              </w:rPr>
              <w:t xml:space="preserve"> aportado por </w:t>
            </w:r>
            <w:r w:rsidRPr="00E60CC9">
              <w:rPr>
                <w:rFonts w:cs="Arial"/>
                <w:szCs w:val="20"/>
              </w:rPr>
              <w:t>Gobierno de Navarra</w:t>
            </w:r>
            <w:r>
              <w:rPr>
                <w:rFonts w:cs="Arial"/>
                <w:szCs w:val="20"/>
              </w:rPr>
              <w:t xml:space="preserve"> y los cuales están descritos en el escenario tecnológico. La </w:t>
            </w:r>
            <w:r>
              <w:rPr>
                <w:rFonts w:cs="Arial"/>
                <w:i/>
                <w:szCs w:val="20"/>
              </w:rPr>
              <w:t>VLAN</w:t>
            </w:r>
            <w:r>
              <w:rPr>
                <w:rFonts w:cs="Arial"/>
                <w:szCs w:val="20"/>
              </w:rPr>
              <w:t xml:space="preserve"> asignada podrá estar compartida con otros equipos del mismo u otros fabricantes.</w:t>
            </w:r>
          </w:p>
          <w:p w:rsidR="00F378F9" w:rsidRDefault="00F378F9" w:rsidP="00BB3FBE">
            <w:pPr>
              <w:pStyle w:val="Vietas"/>
              <w:numPr>
                <w:ilvl w:val="0"/>
                <w:numId w:val="0"/>
              </w:numPr>
              <w:rPr>
                <w:rFonts w:cs="Arial"/>
                <w:szCs w:val="20"/>
              </w:rPr>
            </w:pPr>
          </w:p>
        </w:tc>
        <w:tc>
          <w:tcPr>
            <w:tcW w:w="2082" w:type="dxa"/>
            <w:tcBorders>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El acceso remoto</w:t>
            </w:r>
            <w:r>
              <w:rPr>
                <w:rFonts w:cs="Arial"/>
                <w:szCs w:val="20"/>
              </w:rPr>
              <w:t xml:space="preserve"> a los sistemas de información únicamente será posible mediante las opciones tecnológicas que provee Gobierno de Navarra y que son:</w:t>
            </w:r>
          </w:p>
          <w:p w:rsidR="00F378F9" w:rsidRDefault="00F378F9" w:rsidP="00F378F9">
            <w:pPr>
              <w:pStyle w:val="Vietas"/>
              <w:widowControl/>
              <w:numPr>
                <w:ilvl w:val="0"/>
                <w:numId w:val="47"/>
              </w:numPr>
              <w:suppressAutoHyphens/>
              <w:spacing w:before="0"/>
              <w:jc w:val="left"/>
            </w:pPr>
            <w:r>
              <w:rPr>
                <w:rFonts w:cs="Arial"/>
                <w:szCs w:val="20"/>
              </w:rPr>
              <w:t xml:space="preserve">Acceso VPN SSL mediante </w:t>
            </w:r>
            <w:r>
              <w:rPr>
                <w:rFonts w:cs="Arial"/>
                <w:i/>
                <w:szCs w:val="20"/>
              </w:rPr>
              <w:t>extranet</w:t>
            </w:r>
            <w:r>
              <w:rPr>
                <w:rFonts w:cs="Arial"/>
                <w:szCs w:val="20"/>
              </w:rPr>
              <w:t xml:space="preserve"> con doble factor</w:t>
            </w:r>
          </w:p>
          <w:p w:rsidR="00F378F9" w:rsidRDefault="00F378F9" w:rsidP="00F378F9">
            <w:pPr>
              <w:pStyle w:val="Vietas"/>
              <w:widowControl/>
              <w:numPr>
                <w:ilvl w:val="0"/>
                <w:numId w:val="47"/>
              </w:numPr>
              <w:suppressAutoHyphens/>
              <w:spacing w:before="0"/>
              <w:jc w:val="left"/>
            </w:pPr>
            <w:r>
              <w:rPr>
                <w:rFonts w:cs="Arial"/>
                <w:szCs w:val="20"/>
              </w:rPr>
              <w:t>VPN de sitio a sitio</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Los sistemas e información basados en sistemas operativos Microsoft deberán disponer de un software Antimalware/antivirus</w:t>
            </w:r>
            <w:r>
              <w:rPr>
                <w:rFonts w:cs="Arial"/>
                <w:szCs w:val="20"/>
              </w:rPr>
              <w:t xml:space="preserve"> </w:t>
            </w:r>
            <w:r>
              <w:rPr>
                <w:rFonts w:cs="Arial"/>
                <w:szCs w:val="20"/>
              </w:rPr>
              <w:lastRenderedPageBreak/>
              <w:t>instalado, licenciado y que se actualice automáticamente durante todo el tiempo que dure el soporte del mismo. Aun en los casos en que la operación y soporte del equipamiento la proporcione el proveedor, Gobierno de Navarra ofrece la inclusión de su sistema antivirus corporativo.</w:t>
            </w:r>
          </w:p>
          <w:p w:rsidR="00F378F9" w:rsidRDefault="00F378F9" w:rsidP="00BB3FBE">
            <w:pPr>
              <w:pStyle w:val="Vietas"/>
              <w:numPr>
                <w:ilvl w:val="0"/>
                <w:numId w:val="0"/>
              </w:numPr>
              <w:rPr>
                <w:rFonts w:cs="Arial"/>
                <w:szCs w:val="20"/>
              </w:rPr>
            </w:pP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39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Obligación de notificar</w:t>
            </w:r>
            <w:r>
              <w:rPr>
                <w:rFonts w:cs="Arial"/>
                <w:szCs w:val="20"/>
              </w:rPr>
              <w:t xml:space="preserve"> al Responsable de Explotación de Gobierno de Navarra las vulnerabilidades, parches existentes o brechas de seguridad que puedan afectar a los sistemas de información según normativa vigente.</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bl>
    <w:p w:rsidR="00F378F9" w:rsidRDefault="00F378F9" w:rsidP="00F378F9">
      <w:pPr>
        <w:pStyle w:val="Vietas"/>
        <w:numPr>
          <w:ilvl w:val="0"/>
          <w:numId w:val="0"/>
        </w:numPr>
        <w:rPr>
          <w:rFonts w:cs="Arial"/>
        </w:rPr>
      </w:pPr>
    </w:p>
    <w:p w:rsidR="00F378F9" w:rsidRDefault="00F378F9" w:rsidP="00F378F9">
      <w:pPr>
        <w:pStyle w:val="Vietas"/>
        <w:pageBreakBefore/>
        <w:numPr>
          <w:ilvl w:val="0"/>
          <w:numId w:val="0"/>
        </w:numPr>
        <w:rPr>
          <w:rFonts w:cs="Arial"/>
        </w:rPr>
      </w:pPr>
    </w:p>
    <w:tbl>
      <w:tblPr>
        <w:tblW w:w="8557" w:type="dxa"/>
        <w:tblInd w:w="-20" w:type="dxa"/>
        <w:tblLayout w:type="fixed"/>
        <w:tblLook w:val="0000" w:firstRow="0" w:lastRow="0" w:firstColumn="0" w:lastColumn="0" w:noHBand="0" w:noVBand="0"/>
      </w:tblPr>
      <w:tblGrid>
        <w:gridCol w:w="6536"/>
        <w:gridCol w:w="2021"/>
      </w:tblGrid>
      <w:tr w:rsidR="00F378F9" w:rsidTr="00F378F9">
        <w:tc>
          <w:tcPr>
            <w:tcW w:w="65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rPr>
              <w:t>Requisitos</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rPr>
              <w:t>Aceptación (SI)</w:t>
            </w:r>
          </w:p>
        </w:tc>
      </w:tr>
      <w:tr w:rsidR="00F378F9" w:rsidTr="00F378F9">
        <w:tc>
          <w:tcPr>
            <w:tcW w:w="65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El sistema de información se monitorizará</w:t>
            </w:r>
            <w:r>
              <w:rPr>
                <w:rFonts w:cs="Arial"/>
                <w:szCs w:val="20"/>
              </w:rPr>
              <w:t xml:space="preserve"> con las herramientas que forman parte del escenario de monitorización:</w:t>
            </w:r>
          </w:p>
          <w:p w:rsidR="00F378F9" w:rsidRDefault="00F378F9" w:rsidP="00F378F9">
            <w:pPr>
              <w:pStyle w:val="Vietas"/>
              <w:widowControl/>
              <w:numPr>
                <w:ilvl w:val="0"/>
                <w:numId w:val="43"/>
              </w:numPr>
              <w:suppressAutoHyphens/>
              <w:spacing w:before="0"/>
              <w:jc w:val="left"/>
            </w:pPr>
            <w:r>
              <w:rPr>
                <w:rFonts w:cs="Arial"/>
                <w:szCs w:val="20"/>
              </w:rPr>
              <w:t xml:space="preserve">Microsoft </w:t>
            </w:r>
            <w:r>
              <w:rPr>
                <w:rFonts w:cs="Arial"/>
                <w:b/>
                <w:szCs w:val="20"/>
              </w:rPr>
              <w:t>SCOM</w:t>
            </w:r>
            <w:r>
              <w:rPr>
                <w:rFonts w:cs="Arial"/>
                <w:szCs w:val="20"/>
              </w:rPr>
              <w:t>: Herramienta de monitorización de disponibilidad y rendimiento de infraestructuras y aplicaciones.</w:t>
            </w:r>
          </w:p>
          <w:p w:rsidR="00F378F9" w:rsidRDefault="00F378F9" w:rsidP="00F378F9">
            <w:pPr>
              <w:pStyle w:val="Vietas"/>
              <w:widowControl/>
              <w:numPr>
                <w:ilvl w:val="0"/>
                <w:numId w:val="43"/>
              </w:numPr>
              <w:suppressAutoHyphens/>
              <w:spacing w:before="0"/>
              <w:jc w:val="left"/>
            </w:pPr>
            <w:proofErr w:type="spellStart"/>
            <w:r>
              <w:rPr>
                <w:rFonts w:cs="Arial"/>
                <w:b/>
                <w:szCs w:val="20"/>
              </w:rPr>
              <w:t>Lookwise</w:t>
            </w:r>
            <w:proofErr w:type="spellEnd"/>
            <w:r>
              <w:rPr>
                <w:rFonts w:cs="Arial"/>
                <w:szCs w:val="20"/>
              </w:rPr>
              <w:t xml:space="preserve"> de S21Sec: Herramienta de tipo SIEM orientada a la recolección y monitorización de eventos de seguridad que permite garantizar el cumplimiento de normativas de seguridad.</w:t>
            </w:r>
          </w:p>
          <w:p w:rsidR="00F378F9" w:rsidRDefault="00F378F9" w:rsidP="00F378F9">
            <w:pPr>
              <w:pStyle w:val="Vietas"/>
              <w:widowControl/>
              <w:numPr>
                <w:ilvl w:val="0"/>
                <w:numId w:val="43"/>
              </w:numPr>
              <w:suppressAutoHyphens/>
              <w:spacing w:before="0"/>
              <w:jc w:val="left"/>
            </w:pPr>
            <w:proofErr w:type="spellStart"/>
            <w:r>
              <w:rPr>
                <w:rFonts w:cs="Arial"/>
                <w:b/>
                <w:szCs w:val="20"/>
              </w:rPr>
              <w:t>NetScout</w:t>
            </w:r>
            <w:proofErr w:type="spellEnd"/>
            <w:r>
              <w:rPr>
                <w:rFonts w:cs="Arial"/>
                <w:b/>
                <w:szCs w:val="20"/>
              </w:rPr>
              <w:t xml:space="preserve"> Performance Manager</w:t>
            </w:r>
            <w:r>
              <w:rPr>
                <w:rFonts w:cs="Arial"/>
                <w:szCs w:val="20"/>
              </w:rPr>
              <w:t>: Herramienta de monitorización y rendimiento de redes, infraestructura servidor y aplicaciones a partir del tráfico de red.</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5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 xml:space="preserve">El sistema de información no podrá usar </w:t>
            </w:r>
            <w:proofErr w:type="spellStart"/>
            <w:r>
              <w:rPr>
                <w:rFonts w:cs="Arial"/>
                <w:b/>
                <w:i/>
                <w:szCs w:val="20"/>
              </w:rPr>
              <w:t>applets</w:t>
            </w:r>
            <w:proofErr w:type="spellEnd"/>
            <w:r>
              <w:rPr>
                <w:rFonts w:cs="Arial"/>
                <w:b/>
                <w:szCs w:val="20"/>
              </w:rPr>
              <w:t xml:space="preserve"> de Java</w:t>
            </w:r>
            <w:r>
              <w:rPr>
                <w:rFonts w:cs="Arial"/>
                <w:szCs w:val="20"/>
              </w:rPr>
              <w:t xml:space="preserve">. El sistema de información no podrá usar la arquitectura de </w:t>
            </w:r>
            <w:proofErr w:type="spellStart"/>
            <w:r>
              <w:rPr>
                <w:rFonts w:cs="Arial"/>
                <w:szCs w:val="20"/>
              </w:rPr>
              <w:t>plugin</w:t>
            </w:r>
            <w:proofErr w:type="spellEnd"/>
            <w:r>
              <w:rPr>
                <w:rFonts w:cs="Arial"/>
                <w:szCs w:val="20"/>
              </w:rPr>
              <w:t xml:space="preserve"> de plataforma cruzada NPAPI en la que se basa entre otros el </w:t>
            </w:r>
            <w:proofErr w:type="spellStart"/>
            <w:r>
              <w:rPr>
                <w:rFonts w:cs="Arial"/>
                <w:szCs w:val="20"/>
              </w:rPr>
              <w:t>plugin</w:t>
            </w:r>
            <w:proofErr w:type="spellEnd"/>
            <w:r>
              <w:rPr>
                <w:rFonts w:cs="Arial"/>
                <w:szCs w:val="20"/>
              </w:rPr>
              <w:t xml:space="preserve"> de Java para exploradores web, ya que los navegadores modernos no soportan esta arquitectura. Esta restricción no afecta a las aplicaciones Java Web </w:t>
            </w:r>
            <w:proofErr w:type="spellStart"/>
            <w:r>
              <w:rPr>
                <w:rFonts w:cs="Arial"/>
                <w:szCs w:val="20"/>
              </w:rPr>
              <w:t>Start</w:t>
            </w:r>
            <w:proofErr w:type="spellEnd"/>
            <w:r>
              <w:rPr>
                <w:rFonts w:cs="Arial"/>
                <w:szCs w:val="20"/>
              </w:rPr>
              <w:t xml:space="preserve">, solo afecta a los </w:t>
            </w:r>
            <w:proofErr w:type="spellStart"/>
            <w:r>
              <w:rPr>
                <w:rFonts w:cs="Arial"/>
                <w:i/>
                <w:szCs w:val="20"/>
              </w:rPr>
              <w:t>applets</w:t>
            </w:r>
            <w:proofErr w:type="spellEnd"/>
            <w:r>
              <w:rPr>
                <w:rFonts w:cs="Arial"/>
                <w:szCs w:val="20"/>
              </w:rPr>
              <w:t>.</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ind w:left="175" w:hanging="175"/>
              <w:rPr>
                <w:rFonts w:cs="Arial"/>
                <w:szCs w:val="20"/>
              </w:rPr>
            </w:pPr>
          </w:p>
        </w:tc>
      </w:tr>
      <w:tr w:rsidR="00F378F9" w:rsidTr="00F378F9">
        <w:tc>
          <w:tcPr>
            <w:tcW w:w="65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Licenciamiento del software base.</w:t>
            </w:r>
            <w:r>
              <w:rPr>
                <w:rFonts w:cs="Arial"/>
                <w:szCs w:val="20"/>
              </w:rPr>
              <w:t xml:space="preserve"> Las licencias de software base se adquirirán a nombre del Gobierno de Navarra con una duración ilimitada. Cuando el sistema de información se despliegue en los servidores corporativos, compartidos con varias aplicaciones más y con acceso restringido por parte del proveedor, no será necesario que se adquieran las licencias del sistema operativo, del servidor de aplicaciones o del gestor de base de datos. Si el sistema de información se despliega en servidores exclusivos, la empresa adjudicataria deberá aportar las licencias del sistema operativo, servidor de aplicaciones y gestor de base de datos (así como cualquier otro elemento software específico necesario) que se adapten a la infraestructura existente en Gobierno de Navarra, y siempre en las versiones, ediciones, y dimensionamiento (número de usuarios, procesadores, servidores, etc. licenciados) que se definan desde la DGTD como necesarias y adecuadas, siempre de acuerdo al Escenario Tecnológico.</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F378F9">
        <w:tc>
          <w:tcPr>
            <w:tcW w:w="65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Usuarios y contraseñas:</w:t>
            </w:r>
          </w:p>
          <w:p w:rsidR="00F378F9" w:rsidRDefault="00F378F9" w:rsidP="00F378F9">
            <w:pPr>
              <w:pStyle w:val="Vietas"/>
              <w:widowControl/>
              <w:numPr>
                <w:ilvl w:val="0"/>
                <w:numId w:val="48"/>
              </w:numPr>
              <w:suppressAutoHyphens/>
              <w:spacing w:before="0"/>
            </w:pPr>
            <w:r>
              <w:rPr>
                <w:rFonts w:cs="Arial"/>
                <w:szCs w:val="20"/>
              </w:rPr>
              <w:t>Las cuentas de usuario de los sistemas de información deben ser nominales. No se permiten cuentas genéricas.</w:t>
            </w:r>
          </w:p>
          <w:p w:rsidR="00F378F9" w:rsidRDefault="00F378F9" w:rsidP="00F378F9">
            <w:pPr>
              <w:pStyle w:val="Vietas"/>
              <w:widowControl/>
              <w:numPr>
                <w:ilvl w:val="0"/>
                <w:numId w:val="48"/>
              </w:numPr>
              <w:suppressAutoHyphens/>
              <w:spacing w:before="0"/>
            </w:pPr>
            <w:r>
              <w:rPr>
                <w:rFonts w:cs="Arial"/>
                <w:szCs w:val="20"/>
              </w:rPr>
              <w:t>Si es posible los sistemas de información se integrarán en el Directorio Activo de Gobierno de Navarra y utilizarán usuarios dentro del mismo.</w:t>
            </w:r>
          </w:p>
          <w:p w:rsidR="00F378F9" w:rsidRDefault="00F378F9" w:rsidP="00F378F9">
            <w:pPr>
              <w:pStyle w:val="Vietas"/>
              <w:widowControl/>
              <w:numPr>
                <w:ilvl w:val="0"/>
                <w:numId w:val="48"/>
              </w:numPr>
              <w:suppressAutoHyphens/>
              <w:spacing w:before="0"/>
            </w:pPr>
            <w:r>
              <w:rPr>
                <w:rFonts w:cs="Arial"/>
                <w:szCs w:val="20"/>
              </w:rPr>
              <w:t>Política de contraseñas a aplicar en los sistemas de información y requerimientos de seguridad para todos los usuarios (está política no se aplica a usuarios de servicio, genéricos o de pruebas):</w:t>
            </w:r>
          </w:p>
          <w:p w:rsidR="00F378F9" w:rsidRDefault="00F378F9" w:rsidP="00F378F9">
            <w:pPr>
              <w:pStyle w:val="Vietas"/>
              <w:widowControl/>
              <w:numPr>
                <w:ilvl w:val="1"/>
                <w:numId w:val="48"/>
              </w:numPr>
              <w:suppressAutoHyphens/>
              <w:spacing w:before="0"/>
            </w:pPr>
            <w:r>
              <w:rPr>
                <w:rFonts w:cs="Arial"/>
                <w:szCs w:val="20"/>
              </w:rPr>
              <w:t>La contraseña debe tener una longitud mínima de ocho caracteres.</w:t>
            </w:r>
          </w:p>
          <w:p w:rsidR="00F378F9" w:rsidRDefault="00F378F9" w:rsidP="00F378F9">
            <w:pPr>
              <w:pStyle w:val="Vietas"/>
              <w:widowControl/>
              <w:numPr>
                <w:ilvl w:val="1"/>
                <w:numId w:val="48"/>
              </w:numPr>
              <w:suppressAutoHyphens/>
              <w:spacing w:before="0"/>
            </w:pPr>
            <w:r>
              <w:rPr>
                <w:rFonts w:cs="Arial"/>
                <w:szCs w:val="20"/>
              </w:rPr>
              <w:t>Deben combinarse tres tipos distintos de caracteres elegidos entre mayúsculas, minúsculas, números y caracteres especiales: @ $.</w:t>
            </w:r>
          </w:p>
          <w:p w:rsidR="00F378F9" w:rsidRDefault="00F378F9" w:rsidP="00F378F9">
            <w:pPr>
              <w:pStyle w:val="Vietas"/>
              <w:widowControl/>
              <w:numPr>
                <w:ilvl w:val="1"/>
                <w:numId w:val="48"/>
              </w:numPr>
              <w:suppressAutoHyphens/>
              <w:spacing w:before="0"/>
            </w:pPr>
            <w:r>
              <w:rPr>
                <w:rFonts w:cs="Arial"/>
                <w:szCs w:val="20"/>
              </w:rPr>
              <w:t>Se obliga a un cambio de contraseña inicial tanto cuando se realice la primera conexión a la red de Gobierno de Navarra como tras la restauración de la contraseña (cuando por olvido se solicite un cambio de contraseña y sea asignada una provisionalmente, esta deberá ser sustituida inmediatamente para que cumpla los requisitos anteriores).</w:t>
            </w:r>
          </w:p>
          <w:p w:rsidR="00F378F9" w:rsidRDefault="00F378F9" w:rsidP="00F378F9">
            <w:pPr>
              <w:pStyle w:val="Vietas"/>
              <w:widowControl/>
              <w:numPr>
                <w:ilvl w:val="1"/>
                <w:numId w:val="48"/>
              </w:numPr>
              <w:suppressAutoHyphens/>
              <w:spacing w:before="0"/>
            </w:pPr>
            <w:r>
              <w:rPr>
                <w:rFonts w:cs="Arial"/>
                <w:szCs w:val="20"/>
              </w:rPr>
              <w:t>Se obliga al cambio de contraseña cada 30 días. El equipo integrado en dominio avisa al usuario cinco días antes de que caduque la contraseña.</w:t>
            </w:r>
          </w:p>
          <w:p w:rsidR="00F378F9" w:rsidRDefault="00F378F9" w:rsidP="00F378F9">
            <w:pPr>
              <w:pStyle w:val="Vietas"/>
              <w:widowControl/>
              <w:numPr>
                <w:ilvl w:val="1"/>
                <w:numId w:val="48"/>
              </w:numPr>
              <w:suppressAutoHyphens/>
              <w:spacing w:before="0"/>
            </w:pPr>
            <w:r>
              <w:rPr>
                <w:rFonts w:cs="Arial"/>
                <w:szCs w:val="20"/>
              </w:rPr>
              <w:t>No se pueden reutilizar las últimas 24 contraseñas.</w:t>
            </w:r>
          </w:p>
          <w:p w:rsidR="00F378F9" w:rsidRDefault="00F378F9" w:rsidP="00F378F9">
            <w:pPr>
              <w:pStyle w:val="Vietas"/>
              <w:widowControl/>
              <w:numPr>
                <w:ilvl w:val="1"/>
                <w:numId w:val="48"/>
              </w:numPr>
              <w:suppressAutoHyphens/>
              <w:spacing w:before="0"/>
            </w:pPr>
            <w:r>
              <w:rPr>
                <w:rFonts w:cs="Arial"/>
                <w:szCs w:val="20"/>
              </w:rPr>
              <w:lastRenderedPageBreak/>
              <w:t>La cuenta de usuario será desactivada si no se utiliza durante 90 días. Para volver a entrar a la red debe solicitar la activación de la cuenta.</w:t>
            </w:r>
          </w:p>
          <w:p w:rsidR="00F378F9" w:rsidRDefault="00F378F9" w:rsidP="00F378F9">
            <w:pPr>
              <w:pStyle w:val="Vietas"/>
              <w:widowControl/>
              <w:numPr>
                <w:ilvl w:val="1"/>
                <w:numId w:val="48"/>
              </w:numPr>
              <w:suppressAutoHyphens/>
              <w:spacing w:before="0"/>
            </w:pPr>
            <w:r>
              <w:rPr>
                <w:rFonts w:cs="Arial"/>
                <w:szCs w:val="20"/>
              </w:rPr>
              <w:t>No se permitirán palabras en cualquier idioma, secuencias lógicas deducibles, permutaciones sencillas, ni secuencias de teclado.</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bl>
    <w:p w:rsidR="00F378F9" w:rsidRDefault="00F378F9" w:rsidP="00F378F9">
      <w:pPr>
        <w:pStyle w:val="Vietas"/>
        <w:numPr>
          <w:ilvl w:val="0"/>
          <w:numId w:val="0"/>
        </w:numPr>
        <w:rPr>
          <w:rFonts w:cs="Arial"/>
        </w:rPr>
      </w:pPr>
    </w:p>
    <w:p w:rsidR="00F378F9" w:rsidRDefault="00F378F9" w:rsidP="00F378F9">
      <w:pPr>
        <w:pStyle w:val="Vietas"/>
        <w:pageBreakBefore/>
        <w:numPr>
          <w:ilvl w:val="0"/>
          <w:numId w:val="0"/>
        </w:numPr>
      </w:pPr>
      <w:r>
        <w:rPr>
          <w:rFonts w:cs="Arial"/>
        </w:rPr>
        <w:lastRenderedPageBreak/>
        <w:t>Además, la propuesta que se presente en la oferta contendrá la respuesta a los siguientes apartados:</w:t>
      </w:r>
    </w:p>
    <w:p w:rsidR="00F378F9" w:rsidRDefault="00F378F9" w:rsidP="00F378F9">
      <w:pPr>
        <w:pStyle w:val="Vietas"/>
        <w:numPr>
          <w:ilvl w:val="0"/>
          <w:numId w:val="0"/>
        </w:numPr>
        <w:rPr>
          <w:rFonts w:cs="Arial"/>
        </w:rPr>
      </w:pPr>
    </w:p>
    <w:tbl>
      <w:tblPr>
        <w:tblW w:w="0" w:type="auto"/>
        <w:tblInd w:w="-20" w:type="dxa"/>
        <w:tblLayout w:type="fixed"/>
        <w:tblLook w:val="0000" w:firstRow="0" w:lastRow="0" w:firstColumn="0" w:lastColumn="0" w:noHBand="0" w:noVBand="0"/>
      </w:tblPr>
      <w:tblGrid>
        <w:gridCol w:w="3936"/>
        <w:gridCol w:w="3118"/>
        <w:gridCol w:w="2022"/>
      </w:tblGrid>
      <w:tr w:rsidR="00F378F9" w:rsidTr="00BB3FBE">
        <w:tc>
          <w:tcPr>
            <w:tcW w:w="9076" w:type="dxa"/>
            <w:gridSpan w:val="3"/>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rPr>
              <w:t xml:space="preserve">Requerimientos </w:t>
            </w:r>
          </w:p>
        </w:tc>
      </w:tr>
      <w:tr w:rsidR="00F378F9" w:rsidTr="00BB3FBE">
        <w:tc>
          <w:tcPr>
            <w:tcW w:w="9076" w:type="dxa"/>
            <w:gridSpan w:val="3"/>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szCs w:val="20"/>
              </w:rPr>
              <w:t>Necesidad de adquisición de Infraestructura.</w:t>
            </w:r>
            <w:r>
              <w:rPr>
                <w:rFonts w:cs="Arial"/>
                <w:szCs w:val="20"/>
              </w:rPr>
              <w:t xml:space="preserve"> El proveedor deberá detallar la infraestructura necesaria para soportar su propuesta.</w:t>
            </w:r>
          </w:p>
        </w:tc>
      </w:tr>
      <w:tr w:rsidR="00F378F9" w:rsidTr="00BB3FBE">
        <w:tc>
          <w:tcPr>
            <w:tcW w:w="9076" w:type="dxa"/>
            <w:gridSpan w:val="3"/>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szCs w:val="20"/>
              </w:rPr>
              <w:t>Dimensionamiento de los sistemas de información:</w:t>
            </w: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CPU (nº de núcleos)</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Memoria (MB)</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Disco (GB)</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Sistema gráficos (resolución)</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Puertos de entrada y salida</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Periféricos</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Almacenamiento externo</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Latencia</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Rendimientos (</w:t>
            </w:r>
            <w:proofErr w:type="spellStart"/>
            <w:r>
              <w:rPr>
                <w:rFonts w:cs="Arial"/>
                <w:b/>
                <w:i/>
                <w:szCs w:val="20"/>
              </w:rPr>
              <w:t>Throughputs</w:t>
            </w:r>
            <w:proofErr w:type="spellEnd"/>
            <w:r>
              <w:rPr>
                <w:rFonts w:cs="Arial"/>
                <w:b/>
                <w:szCs w:val="20"/>
              </w:rPr>
              <w:t>)</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 xml:space="preserve">Sistema operativo </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c>
          <w:tcPr>
            <w:tcW w:w="3936"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b/>
                <w:szCs w:val="20"/>
              </w:rPr>
              <w:t>Software específico</w:t>
            </w:r>
          </w:p>
        </w:tc>
        <w:tc>
          <w:tcPr>
            <w:tcW w:w="5140"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b/>
                <w:szCs w:val="20"/>
              </w:rPr>
            </w:pPr>
          </w:p>
        </w:tc>
      </w:tr>
      <w:tr w:rsidR="00F378F9" w:rsidTr="00BB3FBE">
        <w:trPr>
          <w:trHeight w:val="972"/>
        </w:trPr>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Se detallarán al máximo los requisitos y especificaciones en cuanto a previsión de crecimiento y se entregará un plan de capacidad durante la vigencia del contrato.</w:t>
            </w:r>
          </w:p>
          <w:p w:rsidR="00F378F9" w:rsidRDefault="00F378F9" w:rsidP="00BB3FBE">
            <w:pPr>
              <w:pStyle w:val="Vietas"/>
              <w:numPr>
                <w:ilvl w:val="0"/>
                <w:numId w:val="0"/>
              </w:numPr>
            </w:pPr>
            <w:r>
              <w:rPr>
                <w:rFonts w:cs="Arial"/>
                <w:szCs w:val="20"/>
              </w:rPr>
              <w:t>(Especificar documento y página de la oferta donde se especifica)</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rPr>
            </w:pPr>
          </w:p>
        </w:tc>
      </w:tr>
      <w:tr w:rsidR="00F378F9" w:rsidTr="00BB3FBE">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Se definirá la necesidad de realizar copias de seguridad de los sistemas de información indicando los parámetros necesarios de tipo de copia, periodicidad y retención. Tendrá en cuenta lo siguiente:</w:t>
            </w:r>
          </w:p>
          <w:p w:rsidR="00F378F9" w:rsidRDefault="00F378F9" w:rsidP="00F378F9">
            <w:pPr>
              <w:pStyle w:val="Vietas"/>
              <w:widowControl/>
              <w:numPr>
                <w:ilvl w:val="0"/>
                <w:numId w:val="41"/>
              </w:numPr>
              <w:suppressAutoHyphens/>
              <w:spacing w:before="0"/>
              <w:jc w:val="left"/>
            </w:pPr>
            <w:r>
              <w:rPr>
                <w:rFonts w:cs="Arial"/>
                <w:szCs w:val="20"/>
              </w:rPr>
              <w:t>Se realizan sobre la infraestructura servidora de Gobierno de Navarra. Las estaciones de los usuarios no se respaldarán (aunque pueden existir excepciones tras un estudio previo entre gestión de copias y el responsable de la información de la estación).</w:t>
            </w:r>
          </w:p>
          <w:p w:rsidR="00F378F9" w:rsidRDefault="00F378F9" w:rsidP="00F378F9">
            <w:pPr>
              <w:pStyle w:val="Vietas"/>
              <w:widowControl/>
              <w:numPr>
                <w:ilvl w:val="0"/>
                <w:numId w:val="41"/>
              </w:numPr>
              <w:suppressAutoHyphens/>
              <w:spacing w:before="0"/>
              <w:jc w:val="left"/>
            </w:pPr>
            <w:r>
              <w:rPr>
                <w:rFonts w:cs="Arial"/>
                <w:szCs w:val="20"/>
              </w:rPr>
              <w:t>Sistemas operativos vigentes en el escenario tecnológico de Gobierno de Navarra.</w:t>
            </w:r>
          </w:p>
          <w:p w:rsidR="00F378F9" w:rsidRDefault="00F378F9" w:rsidP="00F378F9">
            <w:pPr>
              <w:pStyle w:val="Vietas"/>
              <w:widowControl/>
              <w:numPr>
                <w:ilvl w:val="0"/>
                <w:numId w:val="41"/>
              </w:numPr>
              <w:suppressAutoHyphens/>
              <w:spacing w:before="0"/>
              <w:jc w:val="left"/>
            </w:pPr>
            <w:r>
              <w:rPr>
                <w:rFonts w:cs="Arial"/>
                <w:szCs w:val="20"/>
              </w:rPr>
              <w:t>Software base vigente en el escenario tecnológico de Gobierno de Navarra</w:t>
            </w:r>
          </w:p>
          <w:p w:rsidR="00F378F9" w:rsidRDefault="00F378F9" w:rsidP="00BB3FBE">
            <w:pPr>
              <w:pStyle w:val="Vietas"/>
              <w:numPr>
                <w:ilvl w:val="0"/>
                <w:numId w:val="0"/>
              </w:numPr>
              <w:ind w:left="284" w:hanging="284"/>
            </w:pPr>
            <w:r>
              <w:rPr>
                <w:rFonts w:cs="Arial"/>
                <w:szCs w:val="20"/>
              </w:rPr>
              <w:t>(Especificar documento y página de la oferta donde se especifica)</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BB3FBE">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 xml:space="preserve">El acceso a Internet de los sistemas de información se verá limitado sólo a aquello estrictamente necesario y justificado (listas blancas). Se deberán definir los accesos necesarios a Internet, especificando las </w:t>
            </w:r>
            <w:proofErr w:type="spellStart"/>
            <w:r>
              <w:rPr>
                <w:rFonts w:cs="Arial"/>
                <w:i/>
                <w:szCs w:val="20"/>
              </w:rPr>
              <w:t>URLs</w:t>
            </w:r>
            <w:proofErr w:type="spellEnd"/>
            <w:r>
              <w:rPr>
                <w:rFonts w:cs="Arial"/>
                <w:szCs w:val="20"/>
              </w:rPr>
              <w:t xml:space="preserve"> de destino y los puertos necesarios. Gobierno de Navarra se reserva el derecho a no aceptar accesos a Internet de los sistemas de información si los considera un riesgo innecesario.</w:t>
            </w:r>
          </w:p>
          <w:p w:rsidR="00F378F9" w:rsidRDefault="00F378F9" w:rsidP="00BB3FBE">
            <w:pPr>
              <w:pStyle w:val="Vietas"/>
              <w:numPr>
                <w:ilvl w:val="0"/>
                <w:numId w:val="0"/>
              </w:numPr>
            </w:pPr>
            <w:r>
              <w:rPr>
                <w:rFonts w:cs="Arial"/>
                <w:szCs w:val="20"/>
              </w:rPr>
              <w:t>(Especificar documento y página de la oferta donde se especifica)</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BB3FBE">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Los accesos de los sistemas de información a los recursos de la red corporativa de Gobierno de Navarra se verán limitados a sólo a aquello estrictamente necesarios y justificados (listas blancas). Se deberán definir los accesos necesarios a los recursos internos en la propuesta.</w:t>
            </w:r>
          </w:p>
          <w:p w:rsidR="00F378F9" w:rsidRDefault="00F378F9" w:rsidP="00BB3FBE">
            <w:pPr>
              <w:pStyle w:val="Vietas"/>
              <w:numPr>
                <w:ilvl w:val="0"/>
                <w:numId w:val="0"/>
              </w:numPr>
            </w:pPr>
            <w:r>
              <w:rPr>
                <w:rFonts w:cs="Arial"/>
                <w:szCs w:val="20"/>
              </w:rPr>
              <w:t>(Especificar documento y página de la oferta donde se especifica)</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BB3FBE">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 xml:space="preserve">No se permitirá la conexión a Internet de los sistemas de información por métodos distintos a los autorizados por Gobierno de Navarra. Se definen estos métodos de conexión en equipos como encaminadores 3G/4G, encaminadores ADSL, tarjetas SIM, etc. En cada caso se deberá evaluar y </w:t>
            </w:r>
            <w:r>
              <w:rPr>
                <w:rFonts w:cs="Arial"/>
                <w:szCs w:val="20"/>
              </w:rPr>
              <w:lastRenderedPageBreak/>
              <w:t>autorizar la solución por lo que se deberá especificar en la propuesta si existe alguno de estos dispositivos junto con una evaluación de riesgos para poder ser evaluado y autorizado si corresponde.</w:t>
            </w:r>
          </w:p>
          <w:p w:rsidR="00F378F9" w:rsidRDefault="00F378F9" w:rsidP="00BB3FBE">
            <w:pPr>
              <w:pStyle w:val="Vietas"/>
              <w:numPr>
                <w:ilvl w:val="0"/>
                <w:numId w:val="0"/>
              </w:numPr>
            </w:pPr>
            <w:r>
              <w:rPr>
                <w:rFonts w:cs="Arial"/>
                <w:szCs w:val="20"/>
              </w:rPr>
              <w:t>(Especificar documento y página de la oferta donde se especifica, en caso de que existan)</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r w:rsidR="00F378F9" w:rsidTr="00BB3FBE">
        <w:tc>
          <w:tcPr>
            <w:tcW w:w="7054" w:type="dxa"/>
            <w:gridSpan w:val="2"/>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 xml:space="preserve">Por regla general no se permite el </w:t>
            </w:r>
            <w:proofErr w:type="spellStart"/>
            <w:r>
              <w:rPr>
                <w:rFonts w:cs="Arial"/>
                <w:i/>
                <w:szCs w:val="20"/>
              </w:rPr>
              <w:t>autologon</w:t>
            </w:r>
            <w:proofErr w:type="spellEnd"/>
            <w:r>
              <w:rPr>
                <w:rFonts w:cs="Arial"/>
                <w:szCs w:val="20"/>
              </w:rPr>
              <w:t xml:space="preserve"> en los sistemas de información y los servicios de aplicación de los sistemas de información tienen que poder ejecutarse sin haber iniciado sesión. En caso de que el sistema de información requiera </w:t>
            </w:r>
            <w:proofErr w:type="spellStart"/>
            <w:r>
              <w:rPr>
                <w:rFonts w:cs="Arial"/>
                <w:i/>
                <w:szCs w:val="20"/>
              </w:rPr>
              <w:t>autologon</w:t>
            </w:r>
            <w:proofErr w:type="spellEnd"/>
            <w:r>
              <w:rPr>
                <w:rFonts w:cs="Arial"/>
                <w:szCs w:val="20"/>
              </w:rPr>
              <w:t>, se deberá especificar en la oferta y Gobierno de Navarra evaluará si se autoriza según los riesgos que se encuentren.</w:t>
            </w:r>
          </w:p>
          <w:p w:rsidR="00F378F9" w:rsidRDefault="00F378F9" w:rsidP="00BB3FBE">
            <w:pPr>
              <w:pStyle w:val="Vietas"/>
              <w:numPr>
                <w:ilvl w:val="0"/>
                <w:numId w:val="0"/>
              </w:numPr>
            </w:pPr>
            <w:r>
              <w:rPr>
                <w:rFonts w:cs="Arial"/>
                <w:szCs w:val="20"/>
              </w:rPr>
              <w:t>(Especificar documento y página de la oferta donde se especifica, en caso de que existan)</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bl>
    <w:p w:rsidR="00F378F9" w:rsidRDefault="00F378F9" w:rsidP="00F378F9">
      <w:pPr>
        <w:pStyle w:val="Vietas"/>
        <w:numPr>
          <w:ilvl w:val="0"/>
          <w:numId w:val="0"/>
        </w:numPr>
        <w:rPr>
          <w:rFonts w:cs="Arial"/>
        </w:rPr>
      </w:pPr>
    </w:p>
    <w:p w:rsidR="00F378F9" w:rsidRDefault="00F378F9" w:rsidP="00F378F9">
      <w:pPr>
        <w:pStyle w:val="Vietas"/>
        <w:numPr>
          <w:ilvl w:val="0"/>
          <w:numId w:val="0"/>
        </w:numPr>
        <w:rPr>
          <w:rFonts w:cs="Arial"/>
        </w:rPr>
      </w:pPr>
    </w:p>
    <w:tbl>
      <w:tblPr>
        <w:tblW w:w="0" w:type="auto"/>
        <w:tblInd w:w="-20" w:type="dxa"/>
        <w:tblLayout w:type="fixed"/>
        <w:tblLook w:val="0000" w:firstRow="0" w:lastRow="0" w:firstColumn="0" w:lastColumn="0" w:noHBand="0" w:noVBand="0"/>
      </w:tblPr>
      <w:tblGrid>
        <w:gridCol w:w="7054"/>
        <w:gridCol w:w="2022"/>
      </w:tblGrid>
      <w:tr w:rsidR="00F378F9" w:rsidTr="00BB3FBE">
        <w:tc>
          <w:tcPr>
            <w:tcW w:w="9076" w:type="dxa"/>
            <w:gridSpan w:val="2"/>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pPr>
            <w:r>
              <w:rPr>
                <w:rFonts w:cs="Arial"/>
                <w:b/>
              </w:rPr>
              <w:t xml:space="preserve">Requerimientos </w:t>
            </w:r>
          </w:p>
        </w:tc>
      </w:tr>
      <w:tr w:rsidR="00F378F9" w:rsidTr="00BB3FBE">
        <w:tc>
          <w:tcPr>
            <w:tcW w:w="7054" w:type="dxa"/>
            <w:tcBorders>
              <w:top w:val="single" w:sz="4" w:space="0" w:color="000000"/>
              <w:left w:val="single" w:sz="4" w:space="0" w:color="000000"/>
              <w:bottom w:val="single" w:sz="4" w:space="0" w:color="000000"/>
            </w:tcBorders>
            <w:shd w:val="clear" w:color="auto" w:fill="auto"/>
          </w:tcPr>
          <w:p w:rsidR="00F378F9" w:rsidRDefault="00F378F9" w:rsidP="00BB3FBE">
            <w:pPr>
              <w:pStyle w:val="Vietas"/>
              <w:numPr>
                <w:ilvl w:val="0"/>
                <w:numId w:val="0"/>
              </w:numPr>
            </w:pPr>
            <w:r>
              <w:rPr>
                <w:rFonts w:cs="Arial"/>
                <w:szCs w:val="20"/>
              </w:rPr>
              <w:t xml:space="preserve">Es obligatorio realizar actualizaciones de seguridad y seguir una política al respecto. Como referencia se seguirá la política de Gobierno de Navarra. En caso de justificar no poder seguir esta política se deberá presentar una política alternativa de actualizaciones de seguridad. </w:t>
            </w:r>
            <w:r>
              <w:rPr>
                <w:rFonts w:cs="Arial"/>
                <w:b/>
                <w:szCs w:val="20"/>
              </w:rPr>
              <w:t>La política de actualizaciones de seguridad de Gobierno de Navarra consiste en:</w:t>
            </w:r>
          </w:p>
          <w:p w:rsidR="00F378F9" w:rsidRDefault="00F378F9" w:rsidP="00BB3FBE">
            <w:pPr>
              <w:pStyle w:val="Vietas"/>
              <w:numPr>
                <w:ilvl w:val="0"/>
                <w:numId w:val="0"/>
              </w:numPr>
            </w:pPr>
            <w:r>
              <w:rPr>
                <w:rFonts w:cs="Arial"/>
                <w:b/>
                <w:szCs w:val="20"/>
              </w:rPr>
              <w:t xml:space="preserve">Actualizaciones de seguridad en servidores Windows: </w:t>
            </w:r>
          </w:p>
          <w:p w:rsidR="00F378F9" w:rsidRDefault="00F378F9" w:rsidP="00F378F9">
            <w:pPr>
              <w:pStyle w:val="Vietas"/>
              <w:widowControl/>
              <w:numPr>
                <w:ilvl w:val="0"/>
                <w:numId w:val="42"/>
              </w:numPr>
              <w:suppressAutoHyphens/>
              <w:spacing w:before="0"/>
            </w:pPr>
            <w:r>
              <w:rPr>
                <w:rFonts w:cs="Arial"/>
                <w:szCs w:val="20"/>
              </w:rPr>
              <w:t>Las actualizaciones de seguridad incluidas son aquellas designadas por Microsoft como 'críticas' e 'importantes'.</w:t>
            </w:r>
          </w:p>
          <w:p w:rsidR="00F378F9" w:rsidRDefault="00F378F9" w:rsidP="00F378F9">
            <w:pPr>
              <w:pStyle w:val="Vietas"/>
              <w:widowControl/>
              <w:numPr>
                <w:ilvl w:val="0"/>
                <w:numId w:val="42"/>
              </w:numPr>
              <w:suppressAutoHyphens/>
              <w:spacing w:before="0"/>
            </w:pPr>
            <w:r>
              <w:rPr>
                <w:rFonts w:cs="Arial"/>
                <w:szCs w:val="20"/>
              </w:rPr>
              <w:t>Periodicidad mínima: con una cadencia cuatrimestral se realizará una actualización a los servidores Windows de las actualizaciones de seguridad (parches) publicadas por el proveedor desde la última iteración del ciclo de parcheado. Como norma general, dentro del paquete de actualizaciones se excluyen aquellas con una fecha de publicación inferior a un mes para garantizar la estabilidad de los equipos.</w:t>
            </w:r>
          </w:p>
          <w:p w:rsidR="00F378F9" w:rsidRDefault="00F378F9" w:rsidP="00F378F9">
            <w:pPr>
              <w:pStyle w:val="Vietas"/>
              <w:widowControl/>
              <w:numPr>
                <w:ilvl w:val="0"/>
                <w:numId w:val="42"/>
              </w:numPr>
              <w:suppressAutoHyphens/>
              <w:spacing w:before="0"/>
            </w:pPr>
            <w:r>
              <w:rPr>
                <w:rFonts w:cs="Arial"/>
                <w:szCs w:val="20"/>
              </w:rPr>
              <w:t>Adicionalmente se establece la posibilidad de ejecutar actualizaciones extraordinarias sin atender a la cadencia cuatrimestral establecida en el apartado anterior en el caso de la publicación de actualizaciones críticas cuyo impacto real en caso de explotación maliciosa pueda ser alto.</w:t>
            </w:r>
          </w:p>
          <w:p w:rsidR="00F378F9" w:rsidRDefault="00F378F9" w:rsidP="00BB3FBE">
            <w:pPr>
              <w:pStyle w:val="Vietas"/>
              <w:numPr>
                <w:ilvl w:val="0"/>
                <w:numId w:val="0"/>
              </w:numPr>
            </w:pPr>
            <w:r>
              <w:rPr>
                <w:rFonts w:cs="Arial"/>
                <w:b/>
                <w:szCs w:val="20"/>
              </w:rPr>
              <w:t>Actualizaciones de seguridad en servidores Linux:</w:t>
            </w:r>
          </w:p>
          <w:p w:rsidR="00F378F9" w:rsidRDefault="00F378F9" w:rsidP="00F378F9">
            <w:pPr>
              <w:pStyle w:val="Vietas"/>
              <w:widowControl/>
              <w:numPr>
                <w:ilvl w:val="0"/>
                <w:numId w:val="44"/>
              </w:numPr>
              <w:suppressAutoHyphens/>
              <w:spacing w:before="0"/>
            </w:pPr>
            <w:r>
              <w:rPr>
                <w:rFonts w:cs="Arial"/>
                <w:szCs w:val="20"/>
              </w:rPr>
              <w:t xml:space="preserve">Para servidores Linux que se encuentren en redes que ofrecen servicio </w:t>
            </w:r>
            <w:proofErr w:type="spellStart"/>
            <w:r>
              <w:rPr>
                <w:rFonts w:cs="Arial"/>
                <w:i/>
                <w:szCs w:val="20"/>
              </w:rPr>
              <w:t>frontend</w:t>
            </w:r>
            <w:proofErr w:type="spellEnd"/>
            <w:r>
              <w:rPr>
                <w:rFonts w:cs="Arial"/>
                <w:szCs w:val="20"/>
              </w:rPr>
              <w:t xml:space="preserve"> hacia Internet tendrán cadencia mensual de una distribución de las actualizaciones de seguridad (erratas) publicadas por el proveedor.</w:t>
            </w:r>
          </w:p>
          <w:p w:rsidR="00F378F9" w:rsidRDefault="00F378F9" w:rsidP="00F378F9">
            <w:pPr>
              <w:pStyle w:val="Vietas"/>
              <w:widowControl/>
              <w:numPr>
                <w:ilvl w:val="0"/>
                <w:numId w:val="44"/>
              </w:numPr>
              <w:suppressAutoHyphens/>
              <w:spacing w:before="0"/>
            </w:pPr>
            <w:r>
              <w:rPr>
                <w:rFonts w:cs="Arial"/>
                <w:szCs w:val="20"/>
              </w:rPr>
              <w:t>Para el resto de servidores Linux la cadencia es cuatrimestral.</w:t>
            </w:r>
          </w:p>
          <w:p w:rsidR="00F378F9" w:rsidRDefault="00F378F9" w:rsidP="00F378F9">
            <w:pPr>
              <w:pStyle w:val="Vietas"/>
              <w:widowControl/>
              <w:numPr>
                <w:ilvl w:val="0"/>
                <w:numId w:val="44"/>
              </w:numPr>
              <w:suppressAutoHyphens/>
              <w:spacing w:before="0"/>
            </w:pPr>
            <w:r>
              <w:rPr>
                <w:rFonts w:cs="Arial"/>
                <w:szCs w:val="20"/>
              </w:rPr>
              <w:t>Adicionalmente, se establece la posibilidad de ejecutar actualizaciones extraordinarias sin atender a la cadencia mensual o cuatrimestral establecidas en los apartados anteriores en el caso de la publicación de actualizaciones críticas cuyo impacto real en caso de explotación maliciosa pueda ser alto.</w:t>
            </w:r>
          </w:p>
          <w:p w:rsidR="00F378F9" w:rsidRDefault="00F378F9" w:rsidP="00BB3FBE">
            <w:pPr>
              <w:pStyle w:val="Vietas"/>
              <w:numPr>
                <w:ilvl w:val="0"/>
                <w:numId w:val="0"/>
              </w:numPr>
            </w:pPr>
            <w:r>
              <w:rPr>
                <w:rFonts w:cs="Arial"/>
                <w:b/>
                <w:szCs w:val="20"/>
              </w:rPr>
              <w:t>Actualizaciones de seguridad de puesto de trabajo:</w:t>
            </w:r>
          </w:p>
          <w:p w:rsidR="00F378F9" w:rsidRDefault="00F378F9" w:rsidP="00BB3FBE">
            <w:pPr>
              <w:pStyle w:val="Vietas"/>
              <w:numPr>
                <w:ilvl w:val="0"/>
                <w:numId w:val="0"/>
              </w:numPr>
            </w:pPr>
            <w:r>
              <w:rPr>
                <w:rFonts w:cs="Arial"/>
                <w:szCs w:val="20"/>
              </w:rPr>
              <w:t xml:space="preserve">Las actualizaciones de seguridad incluidas son: </w:t>
            </w:r>
          </w:p>
          <w:p w:rsidR="00F378F9" w:rsidRDefault="00F378F9" w:rsidP="00F378F9">
            <w:pPr>
              <w:pStyle w:val="Vietas"/>
              <w:widowControl/>
              <w:numPr>
                <w:ilvl w:val="0"/>
                <w:numId w:val="45"/>
              </w:numPr>
              <w:suppressAutoHyphens/>
              <w:spacing w:before="0"/>
            </w:pPr>
            <w:r>
              <w:rPr>
                <w:rFonts w:cs="Arial"/>
                <w:szCs w:val="20"/>
              </w:rPr>
              <w:t>Aquellas designadas por Microsoft como 'críticas' e 'importantes'.</w:t>
            </w:r>
          </w:p>
          <w:p w:rsidR="00F378F9" w:rsidRPr="006D1D45" w:rsidRDefault="00F378F9" w:rsidP="00F378F9">
            <w:pPr>
              <w:pStyle w:val="Vietas"/>
              <w:widowControl/>
              <w:numPr>
                <w:ilvl w:val="0"/>
                <w:numId w:val="45"/>
              </w:numPr>
              <w:suppressAutoHyphens/>
              <w:spacing w:before="0"/>
              <w:rPr>
                <w:lang w:val="en-US"/>
              </w:rPr>
            </w:pPr>
            <w:r>
              <w:rPr>
                <w:rFonts w:cs="Arial"/>
                <w:szCs w:val="20"/>
                <w:lang w:val="en-US"/>
              </w:rPr>
              <w:t xml:space="preserve">Adobe Flash Player, Adobe Reader, Adobe Shockwave, </w:t>
            </w:r>
            <w:proofErr w:type="spellStart"/>
            <w:r>
              <w:rPr>
                <w:rFonts w:cs="Arial"/>
                <w:szCs w:val="20"/>
                <w:lang w:val="en-US"/>
              </w:rPr>
              <w:t>IZArc</w:t>
            </w:r>
            <w:proofErr w:type="spellEnd"/>
            <w:r>
              <w:rPr>
                <w:rFonts w:cs="Arial"/>
                <w:szCs w:val="20"/>
                <w:lang w:val="en-US"/>
              </w:rPr>
              <w:t xml:space="preserve">, Java Runtime, </w:t>
            </w:r>
            <w:proofErr w:type="spellStart"/>
            <w:r>
              <w:rPr>
                <w:rFonts w:cs="Arial"/>
                <w:szCs w:val="20"/>
                <w:lang w:val="en-US"/>
              </w:rPr>
              <w:t>Libreoffice</w:t>
            </w:r>
            <w:proofErr w:type="spellEnd"/>
            <w:r>
              <w:rPr>
                <w:rFonts w:cs="Arial"/>
                <w:szCs w:val="20"/>
                <w:lang w:val="en-US"/>
              </w:rPr>
              <w:t>.</w:t>
            </w:r>
          </w:p>
          <w:p w:rsidR="00F378F9" w:rsidRDefault="00F378F9" w:rsidP="00F378F9">
            <w:pPr>
              <w:pStyle w:val="Vietas"/>
              <w:widowControl/>
              <w:numPr>
                <w:ilvl w:val="0"/>
                <w:numId w:val="45"/>
              </w:numPr>
              <w:suppressAutoHyphens/>
              <w:spacing w:before="0"/>
            </w:pPr>
            <w:r>
              <w:rPr>
                <w:rFonts w:cs="Arial"/>
                <w:szCs w:val="20"/>
              </w:rPr>
              <w:t>Software adicional instalado por el proveedor.</w:t>
            </w:r>
          </w:p>
          <w:p w:rsidR="00F378F9" w:rsidRDefault="00F378F9" w:rsidP="00BB3FBE">
            <w:pPr>
              <w:pStyle w:val="Vietas"/>
              <w:numPr>
                <w:ilvl w:val="0"/>
                <w:numId w:val="0"/>
              </w:numPr>
            </w:pPr>
            <w:r>
              <w:rPr>
                <w:rFonts w:cs="Arial"/>
                <w:b/>
                <w:szCs w:val="20"/>
              </w:rPr>
              <w:t>Periodicidad mínima</w:t>
            </w:r>
            <w:r>
              <w:rPr>
                <w:rFonts w:cs="Arial"/>
                <w:szCs w:val="20"/>
              </w:rPr>
              <w:t xml:space="preserve">: con una cadencia trimestral se realizará una actualización a las estaciones de trabajo Windows de las actualizaciones de seguridad (parches) publicadas por el proveedor desde la última iteración del ciclo de parcheado. Como norma general, dentro del paquete de </w:t>
            </w:r>
            <w:r>
              <w:rPr>
                <w:rFonts w:cs="Arial"/>
                <w:szCs w:val="20"/>
              </w:rPr>
              <w:lastRenderedPageBreak/>
              <w:t>actualizaciones se excluyen aquellas con una fecha de publicación inferior a un mes para garantizar la estabilidad de los equipos.</w:t>
            </w:r>
          </w:p>
          <w:p w:rsidR="00F378F9" w:rsidRDefault="00F378F9" w:rsidP="00BB3FBE">
            <w:pPr>
              <w:pStyle w:val="Vietas"/>
              <w:numPr>
                <w:ilvl w:val="0"/>
                <w:numId w:val="0"/>
              </w:numPr>
            </w:pPr>
            <w:r>
              <w:rPr>
                <w:rFonts w:cs="Arial"/>
                <w:szCs w:val="20"/>
              </w:rPr>
              <w:t>Adicionalmente, se establece la posibilidad de ejecutar actualizaciones extraordinarias sin atender a la cadencia trimestral establecida en el apartado anterior en el caso de la publicación de actualizaciones críticas cuyo impacto real en caso de explotación maliciosa pueda ser alto.</w:t>
            </w:r>
          </w:p>
          <w:p w:rsidR="00F378F9" w:rsidRDefault="00F378F9" w:rsidP="00BB3FBE">
            <w:pPr>
              <w:pStyle w:val="Vietas"/>
              <w:numPr>
                <w:ilvl w:val="0"/>
                <w:numId w:val="0"/>
              </w:numPr>
              <w:rPr>
                <w:rFonts w:cs="Arial"/>
                <w:szCs w:val="20"/>
              </w:rPr>
            </w:pPr>
          </w:p>
          <w:p w:rsidR="00F378F9" w:rsidRDefault="00F378F9" w:rsidP="00BB3FBE">
            <w:pPr>
              <w:pStyle w:val="Vietas"/>
              <w:numPr>
                <w:ilvl w:val="0"/>
                <w:numId w:val="0"/>
              </w:numPr>
            </w:pPr>
            <w:r>
              <w:rPr>
                <w:rFonts w:cs="Arial"/>
                <w:b/>
                <w:szCs w:val="20"/>
              </w:rPr>
              <w:t xml:space="preserve">Actualizaciones de seguridad en </w:t>
            </w:r>
            <w:proofErr w:type="spellStart"/>
            <w:r>
              <w:rPr>
                <w:rFonts w:cs="Arial"/>
                <w:b/>
                <w:i/>
                <w:szCs w:val="20"/>
              </w:rPr>
              <w:t>appliances</w:t>
            </w:r>
            <w:proofErr w:type="spellEnd"/>
            <w:r>
              <w:rPr>
                <w:rFonts w:cs="Arial"/>
                <w:b/>
                <w:szCs w:val="20"/>
              </w:rPr>
              <w:t xml:space="preserve"> o con sistemas embebidos:</w:t>
            </w:r>
          </w:p>
          <w:p w:rsidR="00F378F9" w:rsidRDefault="00F378F9" w:rsidP="00F378F9">
            <w:pPr>
              <w:pStyle w:val="Vietas"/>
              <w:widowControl/>
              <w:numPr>
                <w:ilvl w:val="0"/>
                <w:numId w:val="46"/>
              </w:numPr>
              <w:suppressAutoHyphens/>
              <w:spacing w:before="0"/>
            </w:pPr>
            <w:r>
              <w:rPr>
                <w:rFonts w:cs="Arial"/>
                <w:szCs w:val="20"/>
              </w:rPr>
              <w:t xml:space="preserve">Para </w:t>
            </w:r>
            <w:proofErr w:type="spellStart"/>
            <w:r>
              <w:rPr>
                <w:rFonts w:cs="Arial"/>
                <w:i/>
                <w:szCs w:val="20"/>
              </w:rPr>
              <w:t>appliances</w:t>
            </w:r>
            <w:proofErr w:type="spellEnd"/>
            <w:r>
              <w:rPr>
                <w:rFonts w:cs="Arial"/>
                <w:szCs w:val="20"/>
              </w:rPr>
              <w:t xml:space="preserve"> que se encuentren en redes que ofrecen servicio </w:t>
            </w:r>
            <w:proofErr w:type="spellStart"/>
            <w:r>
              <w:rPr>
                <w:rFonts w:cs="Arial"/>
                <w:i/>
                <w:szCs w:val="20"/>
              </w:rPr>
              <w:t>frontend</w:t>
            </w:r>
            <w:proofErr w:type="spellEnd"/>
            <w:r>
              <w:rPr>
                <w:rFonts w:cs="Arial"/>
                <w:szCs w:val="20"/>
              </w:rPr>
              <w:t xml:space="preserve"> hacia Internet, la cadencia es mensual de la distribución de las actualizaciones de seguridad (erratas) publicadas por el proveedor.</w:t>
            </w:r>
          </w:p>
          <w:p w:rsidR="00F378F9" w:rsidRDefault="00F378F9" w:rsidP="00F378F9">
            <w:pPr>
              <w:pStyle w:val="Vietas"/>
              <w:widowControl/>
              <w:numPr>
                <w:ilvl w:val="0"/>
                <w:numId w:val="46"/>
              </w:numPr>
              <w:suppressAutoHyphens/>
              <w:spacing w:before="0"/>
            </w:pPr>
            <w:r>
              <w:rPr>
                <w:rFonts w:cs="Arial"/>
                <w:szCs w:val="20"/>
              </w:rPr>
              <w:t xml:space="preserve">Para el resto de </w:t>
            </w:r>
            <w:proofErr w:type="spellStart"/>
            <w:r>
              <w:rPr>
                <w:rFonts w:cs="Arial"/>
                <w:i/>
                <w:szCs w:val="20"/>
              </w:rPr>
              <w:t>appliances</w:t>
            </w:r>
            <w:proofErr w:type="spellEnd"/>
            <w:r>
              <w:rPr>
                <w:rFonts w:cs="Arial"/>
                <w:szCs w:val="20"/>
              </w:rPr>
              <w:t xml:space="preserve"> la cadencia es cuatrimestral.</w:t>
            </w:r>
          </w:p>
          <w:p w:rsidR="00F378F9" w:rsidRDefault="00F378F9" w:rsidP="00F378F9">
            <w:pPr>
              <w:pStyle w:val="Vietas"/>
              <w:widowControl/>
              <w:numPr>
                <w:ilvl w:val="0"/>
                <w:numId w:val="46"/>
              </w:numPr>
              <w:suppressAutoHyphens/>
              <w:spacing w:before="0"/>
            </w:pPr>
            <w:r>
              <w:rPr>
                <w:rFonts w:cs="Arial"/>
                <w:szCs w:val="20"/>
              </w:rPr>
              <w:t>Adicionalmente, se establece la posibilidad de ejecutar actualizaciones extraordinarias sin atender a la cadencia mensual o cuatrimestral establecidas en los apartados anteriores en el caso de la publicación de actualizaciones críticas cuyo impacto real en caso de explotación maliciosa pueda ser alto.</w:t>
            </w:r>
          </w:p>
          <w:p w:rsidR="00F378F9" w:rsidRDefault="00F378F9" w:rsidP="00BB3FBE">
            <w:pPr>
              <w:pStyle w:val="Vietas"/>
              <w:numPr>
                <w:ilvl w:val="0"/>
                <w:numId w:val="0"/>
              </w:numPr>
              <w:ind w:left="720"/>
            </w:pPr>
            <w:r>
              <w:rPr>
                <w:rFonts w:cs="Arial"/>
                <w:szCs w:val="20"/>
              </w:rPr>
              <w:t>(Indicar la aceptación de la política de Gobierno de Navarra, o especificar la política de actualización detallando el documento y página de la oferta)</w:t>
            </w:r>
          </w:p>
          <w:p w:rsidR="00F378F9" w:rsidRDefault="00F378F9" w:rsidP="00BB3FBE">
            <w:pPr>
              <w:pStyle w:val="Vietas"/>
              <w:numPr>
                <w:ilvl w:val="0"/>
                <w:numId w:val="0"/>
              </w:numPr>
              <w:rPr>
                <w:rFonts w:cs="Arial"/>
                <w:szCs w:val="20"/>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F378F9" w:rsidRDefault="00F378F9" w:rsidP="00BB3FBE">
            <w:pPr>
              <w:pStyle w:val="Vietas"/>
              <w:numPr>
                <w:ilvl w:val="0"/>
                <w:numId w:val="0"/>
              </w:numPr>
              <w:snapToGrid w:val="0"/>
              <w:rPr>
                <w:rFonts w:cs="Arial"/>
                <w:szCs w:val="20"/>
              </w:rPr>
            </w:pPr>
          </w:p>
        </w:tc>
      </w:tr>
    </w:tbl>
    <w:p w:rsidR="00F378F9" w:rsidRDefault="00F378F9" w:rsidP="00F378F9">
      <w:pPr>
        <w:pStyle w:val="Vietas"/>
        <w:numPr>
          <w:ilvl w:val="0"/>
          <w:numId w:val="0"/>
        </w:numPr>
      </w:pPr>
    </w:p>
    <w:p w:rsidR="007718B1" w:rsidRPr="00333E85" w:rsidRDefault="007718B1" w:rsidP="00F378F9"/>
    <w:sectPr w:rsidR="007718B1" w:rsidRPr="00333E85" w:rsidSect="004A3462">
      <w:headerReference w:type="default" r:id="rId12"/>
      <w:footerReference w:type="default" r:id="rId13"/>
      <w:pgSz w:w="11906" w:h="16838"/>
      <w:pgMar w:top="954" w:right="1701" w:bottom="719"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556" w:rsidRDefault="00817556">
      <w:r>
        <w:separator/>
      </w:r>
    </w:p>
  </w:endnote>
  <w:endnote w:type="continuationSeparator" w:id="0">
    <w:p w:rsidR="00817556" w:rsidRDefault="0081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Verdana,Bold">
    <w:altName w:val="Yu Gothic UI"/>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11" w:type="dxa"/>
      <w:tblInd w:w="70" w:type="dxa"/>
      <w:tblBorders>
        <w:top w:val="single" w:sz="4" w:space="0" w:color="auto"/>
      </w:tblBorders>
      <w:tblCellMar>
        <w:left w:w="70" w:type="dxa"/>
        <w:right w:w="70" w:type="dxa"/>
      </w:tblCellMar>
      <w:tblLook w:val="0000" w:firstRow="0" w:lastRow="0" w:firstColumn="0" w:lastColumn="0" w:noHBand="0" w:noVBand="0"/>
    </w:tblPr>
    <w:tblGrid>
      <w:gridCol w:w="6521"/>
      <w:gridCol w:w="1990"/>
    </w:tblGrid>
    <w:tr w:rsidR="00471D9E" w:rsidTr="00AE1A78">
      <w:trPr>
        <w:trHeight w:val="414"/>
      </w:trPr>
      <w:tc>
        <w:tcPr>
          <w:tcW w:w="6521" w:type="dxa"/>
        </w:tcPr>
        <w:p w:rsidR="00471D9E" w:rsidRPr="00981C36" w:rsidRDefault="00471D9E" w:rsidP="00471D9E">
          <w:pPr>
            <w:pStyle w:val="Piedepgina"/>
            <w:ind w:right="360"/>
          </w:pPr>
          <w:r>
            <w:t xml:space="preserve">Basado en plantilla: </w:t>
          </w:r>
          <w:proofErr w:type="spellStart"/>
          <w:r>
            <w:t>xxxxx</w:t>
          </w:r>
          <w:proofErr w:type="spellEnd"/>
          <w:r>
            <w:t xml:space="preserve"> </w:t>
          </w:r>
          <w:r w:rsidRPr="00981C36">
            <w:t>Plant</w:t>
          </w:r>
          <w:r>
            <w:t>illa básica v3.00 2019-05-22</w:t>
          </w:r>
        </w:p>
      </w:tc>
      <w:tc>
        <w:tcPr>
          <w:tcW w:w="1990" w:type="dxa"/>
          <w:vAlign w:val="center"/>
        </w:tcPr>
        <w:p w:rsidR="00471D9E" w:rsidRDefault="00471D9E" w:rsidP="00471D9E">
          <w:pPr>
            <w:pStyle w:val="Piedepgina"/>
            <w:ind w:left="941" w:hanging="302"/>
            <w:jc w:val="right"/>
          </w:pPr>
          <w:r w:rsidRPr="005F161D">
            <w:rPr>
              <w:rStyle w:val="Nmerodepgina"/>
            </w:rPr>
            <w:t xml:space="preserve">Página </w:t>
          </w:r>
          <w:r w:rsidRPr="005F161D">
            <w:rPr>
              <w:rStyle w:val="Nmerodepgina"/>
            </w:rPr>
            <w:fldChar w:fldCharType="begin"/>
          </w:r>
          <w:r w:rsidRPr="005F161D">
            <w:rPr>
              <w:rStyle w:val="Nmerodepgina"/>
            </w:rPr>
            <w:instrText xml:space="preserve"> PAGE </w:instrText>
          </w:r>
          <w:r w:rsidRPr="005F161D">
            <w:rPr>
              <w:rStyle w:val="Nmerodepgina"/>
            </w:rPr>
            <w:fldChar w:fldCharType="separate"/>
          </w:r>
          <w:r w:rsidR="001D1DE7">
            <w:rPr>
              <w:rStyle w:val="Nmerodepgina"/>
              <w:noProof/>
            </w:rPr>
            <w:t>2</w:t>
          </w:r>
          <w:r w:rsidRPr="005F161D">
            <w:rPr>
              <w:rStyle w:val="Nmerodepgina"/>
            </w:rPr>
            <w:fldChar w:fldCharType="end"/>
          </w:r>
          <w:r w:rsidRPr="005F161D">
            <w:rPr>
              <w:rStyle w:val="Nmerodepgina"/>
            </w:rPr>
            <w:t xml:space="preserve"> de </w:t>
          </w:r>
          <w:r w:rsidRPr="005F161D">
            <w:rPr>
              <w:rStyle w:val="Nmerodepgina"/>
            </w:rPr>
            <w:fldChar w:fldCharType="begin"/>
          </w:r>
          <w:r w:rsidRPr="005F161D">
            <w:rPr>
              <w:rStyle w:val="Nmerodepgina"/>
            </w:rPr>
            <w:instrText xml:space="preserve"> NUMPAGES </w:instrText>
          </w:r>
          <w:r w:rsidRPr="005F161D">
            <w:rPr>
              <w:rStyle w:val="Nmerodepgina"/>
            </w:rPr>
            <w:fldChar w:fldCharType="separate"/>
          </w:r>
          <w:r w:rsidR="001D1DE7">
            <w:rPr>
              <w:rStyle w:val="Nmerodepgina"/>
              <w:noProof/>
            </w:rPr>
            <w:t>12</w:t>
          </w:r>
          <w:r w:rsidRPr="005F161D">
            <w:rPr>
              <w:rStyle w:val="Nmerodepgina"/>
            </w:rPr>
            <w:fldChar w:fldCharType="end"/>
          </w:r>
        </w:p>
      </w:tc>
    </w:tr>
  </w:tbl>
  <w:p w:rsidR="008C1A1B" w:rsidRDefault="008C1A1B" w:rsidP="00BE17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11" w:type="dxa"/>
      <w:tblInd w:w="70" w:type="dxa"/>
      <w:tblBorders>
        <w:top w:val="single" w:sz="4" w:space="0" w:color="auto"/>
      </w:tblBorders>
      <w:tblCellMar>
        <w:left w:w="70" w:type="dxa"/>
        <w:right w:w="70" w:type="dxa"/>
      </w:tblCellMar>
      <w:tblLook w:val="0000" w:firstRow="0" w:lastRow="0" w:firstColumn="0" w:lastColumn="0" w:noHBand="0" w:noVBand="0"/>
    </w:tblPr>
    <w:tblGrid>
      <w:gridCol w:w="6521"/>
      <w:gridCol w:w="1990"/>
    </w:tblGrid>
    <w:tr w:rsidR="00471D9E" w:rsidTr="00AE1A78">
      <w:trPr>
        <w:trHeight w:val="414"/>
      </w:trPr>
      <w:tc>
        <w:tcPr>
          <w:tcW w:w="6521" w:type="dxa"/>
        </w:tcPr>
        <w:p w:rsidR="00471D9E" w:rsidRPr="00981C36" w:rsidRDefault="00471D9E" w:rsidP="00471D9E">
          <w:pPr>
            <w:pStyle w:val="Piedepgina"/>
            <w:ind w:right="360"/>
          </w:pPr>
          <w:r>
            <w:t xml:space="preserve">Basado en plantilla: </w:t>
          </w:r>
          <w:proofErr w:type="spellStart"/>
          <w:r>
            <w:t>xxxxx</w:t>
          </w:r>
          <w:proofErr w:type="spellEnd"/>
          <w:r>
            <w:t xml:space="preserve"> </w:t>
          </w:r>
          <w:r w:rsidRPr="00981C36">
            <w:t>Plant</w:t>
          </w:r>
          <w:r>
            <w:t>illa básica v3.00 2019-05-22</w:t>
          </w:r>
        </w:p>
      </w:tc>
      <w:tc>
        <w:tcPr>
          <w:tcW w:w="1990" w:type="dxa"/>
          <w:vAlign w:val="center"/>
        </w:tcPr>
        <w:p w:rsidR="00471D9E" w:rsidRDefault="00471D9E" w:rsidP="00471D9E">
          <w:pPr>
            <w:pStyle w:val="Piedepgina"/>
            <w:ind w:left="941" w:hanging="302"/>
            <w:jc w:val="right"/>
          </w:pPr>
          <w:r w:rsidRPr="005F161D">
            <w:rPr>
              <w:rStyle w:val="Nmerodepgina"/>
            </w:rPr>
            <w:t xml:space="preserve">Página </w:t>
          </w:r>
          <w:r w:rsidRPr="005F161D">
            <w:rPr>
              <w:rStyle w:val="Nmerodepgina"/>
            </w:rPr>
            <w:fldChar w:fldCharType="begin"/>
          </w:r>
          <w:r w:rsidRPr="005F161D">
            <w:rPr>
              <w:rStyle w:val="Nmerodepgina"/>
            </w:rPr>
            <w:instrText xml:space="preserve"> PAGE </w:instrText>
          </w:r>
          <w:r w:rsidRPr="005F161D">
            <w:rPr>
              <w:rStyle w:val="Nmerodepgina"/>
            </w:rPr>
            <w:fldChar w:fldCharType="separate"/>
          </w:r>
          <w:r w:rsidR="001D1DE7">
            <w:rPr>
              <w:rStyle w:val="Nmerodepgina"/>
              <w:noProof/>
            </w:rPr>
            <w:t>12</w:t>
          </w:r>
          <w:r w:rsidRPr="005F161D">
            <w:rPr>
              <w:rStyle w:val="Nmerodepgina"/>
            </w:rPr>
            <w:fldChar w:fldCharType="end"/>
          </w:r>
          <w:r w:rsidRPr="005F161D">
            <w:rPr>
              <w:rStyle w:val="Nmerodepgina"/>
            </w:rPr>
            <w:t xml:space="preserve"> de </w:t>
          </w:r>
          <w:r w:rsidRPr="005F161D">
            <w:rPr>
              <w:rStyle w:val="Nmerodepgina"/>
            </w:rPr>
            <w:fldChar w:fldCharType="begin"/>
          </w:r>
          <w:r w:rsidRPr="005F161D">
            <w:rPr>
              <w:rStyle w:val="Nmerodepgina"/>
            </w:rPr>
            <w:instrText xml:space="preserve"> NUMPAGES </w:instrText>
          </w:r>
          <w:r w:rsidRPr="005F161D">
            <w:rPr>
              <w:rStyle w:val="Nmerodepgina"/>
            </w:rPr>
            <w:fldChar w:fldCharType="separate"/>
          </w:r>
          <w:r w:rsidR="001D1DE7">
            <w:rPr>
              <w:rStyle w:val="Nmerodepgina"/>
              <w:noProof/>
            </w:rPr>
            <w:t>12</w:t>
          </w:r>
          <w:r w:rsidRPr="005F161D">
            <w:rPr>
              <w:rStyle w:val="Nmerodepgina"/>
            </w:rPr>
            <w:fldChar w:fldCharType="end"/>
          </w:r>
        </w:p>
      </w:tc>
    </w:tr>
  </w:tbl>
  <w:p w:rsidR="008C1A1B" w:rsidRDefault="008C1A1B" w:rsidP="00BE17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556" w:rsidRDefault="00817556">
      <w:r>
        <w:separator/>
      </w:r>
    </w:p>
  </w:footnote>
  <w:footnote w:type="continuationSeparator" w:id="0">
    <w:p w:rsidR="00817556" w:rsidRDefault="00817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55" w:tblpY="1"/>
      <w:tblOverlap w:val="never"/>
      <w:tblW w:w="8489" w:type="dxa"/>
      <w:tblBorders>
        <w:bottom w:val="single" w:sz="4" w:space="0" w:color="auto"/>
      </w:tblBorders>
      <w:tblCellMar>
        <w:left w:w="70" w:type="dxa"/>
        <w:right w:w="70" w:type="dxa"/>
      </w:tblCellMar>
      <w:tblLook w:val="0000" w:firstRow="0" w:lastRow="0" w:firstColumn="0" w:lastColumn="0" w:noHBand="0" w:noVBand="0"/>
    </w:tblPr>
    <w:tblGrid>
      <w:gridCol w:w="7385"/>
      <w:gridCol w:w="1104"/>
    </w:tblGrid>
    <w:tr w:rsidR="00471D9E" w:rsidTr="00AE1A78">
      <w:trPr>
        <w:trHeight w:val="447"/>
      </w:trPr>
      <w:tc>
        <w:tcPr>
          <w:tcW w:w="7385" w:type="dxa"/>
          <w:vAlign w:val="bottom"/>
        </w:tcPr>
        <w:p w:rsidR="00471D9E" w:rsidRPr="00FB42C7" w:rsidRDefault="00471D9E" w:rsidP="00471D9E">
          <w:pPr>
            <w:ind w:left="-71"/>
            <w:jc w:val="left"/>
            <w:rPr>
              <w:sz w:val="16"/>
            </w:rPr>
          </w:pPr>
          <w:proofErr w:type="spellStart"/>
          <w:r w:rsidRPr="00FB42C7">
            <w:rPr>
              <w:sz w:val="16"/>
            </w:rPr>
            <w:t>Telekomunikazioetako</w:t>
          </w:r>
          <w:proofErr w:type="spellEnd"/>
          <w:r w:rsidRPr="00FB42C7">
            <w:rPr>
              <w:sz w:val="16"/>
            </w:rPr>
            <w:t xml:space="preserve"> eta </w:t>
          </w:r>
          <w:proofErr w:type="spellStart"/>
          <w:r w:rsidRPr="00FB42C7">
            <w:rPr>
              <w:sz w:val="16"/>
            </w:rPr>
            <w:t>Digitalizazioko</w:t>
          </w:r>
          <w:proofErr w:type="spellEnd"/>
          <w:r w:rsidRPr="00FB42C7">
            <w:rPr>
              <w:sz w:val="16"/>
            </w:rPr>
            <w:t xml:space="preserve"> </w:t>
          </w:r>
          <w:proofErr w:type="spellStart"/>
          <w:r w:rsidRPr="00FB42C7">
            <w:rPr>
              <w:sz w:val="16"/>
            </w:rPr>
            <w:t>Zuzendari</w:t>
          </w:r>
          <w:proofErr w:type="spellEnd"/>
          <w:r w:rsidRPr="00FB42C7">
            <w:rPr>
              <w:sz w:val="16"/>
            </w:rPr>
            <w:t xml:space="preserve"> </w:t>
          </w:r>
          <w:proofErr w:type="spellStart"/>
          <w:r w:rsidRPr="00FB42C7">
            <w:rPr>
              <w:sz w:val="16"/>
            </w:rPr>
            <w:t>Nagusia</w:t>
          </w:r>
          <w:proofErr w:type="spellEnd"/>
        </w:p>
        <w:p w:rsidR="00471D9E" w:rsidRPr="00F8646E" w:rsidRDefault="00471D9E" w:rsidP="00471D9E">
          <w:pPr>
            <w:ind w:left="-71"/>
            <w:jc w:val="left"/>
            <w:rPr>
              <w:sz w:val="16"/>
            </w:rPr>
          </w:pPr>
          <w:r w:rsidRPr="00FB42C7">
            <w:rPr>
              <w:sz w:val="16"/>
            </w:rPr>
            <w:t>Dirección General de Telecomunicaciones y Digitalización</w:t>
          </w:r>
        </w:p>
      </w:tc>
      <w:tc>
        <w:tcPr>
          <w:tcW w:w="1104" w:type="dxa"/>
        </w:tcPr>
        <w:p w:rsidR="00471D9E" w:rsidRDefault="00471D9E" w:rsidP="00471D9E">
          <w:pPr>
            <w:pStyle w:val="Encabezado"/>
            <w:spacing w:before="0"/>
            <w:jc w:val="right"/>
          </w:pPr>
        </w:p>
        <w:p w:rsidR="00471D9E" w:rsidRDefault="00471D9E" w:rsidP="00471D9E">
          <w:pPr>
            <w:pStyle w:val="Encabezado"/>
            <w:ind w:left="-637" w:firstLine="637"/>
            <w:jc w:val="right"/>
          </w:pPr>
          <w:r>
            <w:rPr>
              <w:noProof/>
            </w:rPr>
            <w:drawing>
              <wp:inline distT="0" distB="0" distL="0" distR="0" wp14:anchorId="1CF5FE98" wp14:editId="2434D022">
                <wp:extent cx="250190" cy="414020"/>
                <wp:effectExtent l="0" t="0" r="0" b="0"/>
                <wp:docPr id="1" name="Imagen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190" cy="414020"/>
                        </a:xfrm>
                        <a:prstGeom prst="rect">
                          <a:avLst/>
                        </a:prstGeom>
                        <a:noFill/>
                        <a:ln>
                          <a:noFill/>
                        </a:ln>
                      </pic:spPr>
                    </pic:pic>
                  </a:graphicData>
                </a:graphic>
              </wp:inline>
            </w:drawing>
          </w:r>
        </w:p>
      </w:tc>
    </w:tr>
  </w:tbl>
  <w:p w:rsidR="008C1A1B" w:rsidRDefault="008C1A1B" w:rsidP="00F8646E">
    <w:pPr>
      <w:pStyle w:val="Encabezado"/>
      <w:spacing w:before="0"/>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tblpX="55" w:tblpY="1"/>
      <w:tblOverlap w:val="never"/>
      <w:tblW w:w="8489" w:type="dxa"/>
      <w:tblBorders>
        <w:bottom w:val="single" w:sz="4" w:space="0" w:color="auto"/>
      </w:tblBorders>
      <w:tblCellMar>
        <w:left w:w="70" w:type="dxa"/>
        <w:right w:w="70" w:type="dxa"/>
      </w:tblCellMar>
      <w:tblLook w:val="0000" w:firstRow="0" w:lastRow="0" w:firstColumn="0" w:lastColumn="0" w:noHBand="0" w:noVBand="0"/>
    </w:tblPr>
    <w:tblGrid>
      <w:gridCol w:w="7385"/>
      <w:gridCol w:w="1104"/>
    </w:tblGrid>
    <w:tr w:rsidR="00471D9E" w:rsidTr="00AE1A78">
      <w:trPr>
        <w:trHeight w:val="447"/>
      </w:trPr>
      <w:tc>
        <w:tcPr>
          <w:tcW w:w="7385" w:type="dxa"/>
          <w:vAlign w:val="bottom"/>
        </w:tcPr>
        <w:p w:rsidR="00471D9E" w:rsidRPr="00FB42C7" w:rsidRDefault="00471D9E" w:rsidP="00471D9E">
          <w:pPr>
            <w:ind w:left="-71"/>
            <w:jc w:val="left"/>
            <w:rPr>
              <w:sz w:val="16"/>
            </w:rPr>
          </w:pPr>
          <w:proofErr w:type="spellStart"/>
          <w:r w:rsidRPr="00FB42C7">
            <w:rPr>
              <w:sz w:val="16"/>
            </w:rPr>
            <w:t>Telekomunikazioetako</w:t>
          </w:r>
          <w:proofErr w:type="spellEnd"/>
          <w:r w:rsidRPr="00FB42C7">
            <w:rPr>
              <w:sz w:val="16"/>
            </w:rPr>
            <w:t xml:space="preserve"> eta </w:t>
          </w:r>
          <w:proofErr w:type="spellStart"/>
          <w:r w:rsidRPr="00FB42C7">
            <w:rPr>
              <w:sz w:val="16"/>
            </w:rPr>
            <w:t>Digitalizazioko</w:t>
          </w:r>
          <w:proofErr w:type="spellEnd"/>
          <w:r w:rsidRPr="00FB42C7">
            <w:rPr>
              <w:sz w:val="16"/>
            </w:rPr>
            <w:t xml:space="preserve"> </w:t>
          </w:r>
          <w:proofErr w:type="spellStart"/>
          <w:r w:rsidRPr="00FB42C7">
            <w:rPr>
              <w:sz w:val="16"/>
            </w:rPr>
            <w:t>Zuzendari</w:t>
          </w:r>
          <w:proofErr w:type="spellEnd"/>
          <w:r w:rsidRPr="00FB42C7">
            <w:rPr>
              <w:sz w:val="16"/>
            </w:rPr>
            <w:t xml:space="preserve"> </w:t>
          </w:r>
          <w:proofErr w:type="spellStart"/>
          <w:r w:rsidRPr="00FB42C7">
            <w:rPr>
              <w:sz w:val="16"/>
            </w:rPr>
            <w:t>Nagusia</w:t>
          </w:r>
          <w:proofErr w:type="spellEnd"/>
        </w:p>
        <w:p w:rsidR="00471D9E" w:rsidRPr="00F8646E" w:rsidRDefault="00471D9E" w:rsidP="00471D9E">
          <w:pPr>
            <w:ind w:left="-71"/>
            <w:jc w:val="left"/>
            <w:rPr>
              <w:sz w:val="16"/>
            </w:rPr>
          </w:pPr>
          <w:r w:rsidRPr="00FB42C7">
            <w:rPr>
              <w:sz w:val="16"/>
            </w:rPr>
            <w:t>Dirección General de Telecomunicaciones y Digitalización</w:t>
          </w:r>
        </w:p>
      </w:tc>
      <w:tc>
        <w:tcPr>
          <w:tcW w:w="1104" w:type="dxa"/>
        </w:tcPr>
        <w:p w:rsidR="00471D9E" w:rsidRDefault="00471D9E" w:rsidP="00471D9E">
          <w:pPr>
            <w:pStyle w:val="Encabezado"/>
            <w:spacing w:before="0"/>
            <w:jc w:val="right"/>
          </w:pPr>
        </w:p>
        <w:p w:rsidR="00471D9E" w:rsidRDefault="00471D9E" w:rsidP="00471D9E">
          <w:pPr>
            <w:pStyle w:val="Encabezado"/>
            <w:ind w:left="-637" w:firstLine="637"/>
            <w:jc w:val="right"/>
          </w:pPr>
          <w:r>
            <w:rPr>
              <w:noProof/>
            </w:rPr>
            <w:drawing>
              <wp:inline distT="0" distB="0" distL="0" distR="0" wp14:anchorId="1CF5FE98" wp14:editId="2434D022">
                <wp:extent cx="250190" cy="414020"/>
                <wp:effectExtent l="0" t="0" r="0" b="0"/>
                <wp:docPr id="3" name="Imagen 3"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190" cy="414020"/>
                        </a:xfrm>
                        <a:prstGeom prst="rect">
                          <a:avLst/>
                        </a:prstGeom>
                        <a:noFill/>
                        <a:ln>
                          <a:noFill/>
                        </a:ln>
                      </pic:spPr>
                    </pic:pic>
                  </a:graphicData>
                </a:graphic>
              </wp:inline>
            </w:drawing>
          </w:r>
        </w:p>
      </w:tc>
    </w:tr>
  </w:tbl>
  <w:p w:rsidR="008C1A1B" w:rsidRDefault="008C1A1B" w:rsidP="00F8646E">
    <w:pPr>
      <w:pStyle w:val="Encabezado"/>
      <w:spacing w:befor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2986"/>
        </w:tabs>
        <w:ind w:left="298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624"/>
        </w:tabs>
        <w:ind w:left="624" w:hanging="284"/>
      </w:pPr>
      <w:rPr>
        <w:rFonts w:ascii="Wingdings" w:hAnsi="Wingdings" w:cs="Wingdings" w:hint="default"/>
        <w:color w:val="4D4D4D"/>
      </w:rPr>
    </w:lvl>
    <w:lvl w:ilvl="1">
      <w:start w:val="1"/>
      <w:numFmt w:val="bullet"/>
      <w:lvlText w:val=""/>
      <w:lvlJc w:val="left"/>
      <w:pPr>
        <w:tabs>
          <w:tab w:val="num" w:pos="1247"/>
        </w:tabs>
        <w:ind w:left="1247" w:hanging="283"/>
      </w:pPr>
      <w:rPr>
        <w:rFonts w:ascii="Symbol" w:hAnsi="Symbol" w:cs="Symbol" w:hint="default"/>
        <w:color w:val="808080"/>
      </w:rPr>
    </w:lvl>
    <w:lvl w:ilvl="2">
      <w:start w:val="1"/>
      <w:numFmt w:val="bullet"/>
      <w:lvlText w:val=""/>
      <w:lvlJc w:val="left"/>
      <w:pPr>
        <w:tabs>
          <w:tab w:val="num" w:pos="1871"/>
        </w:tabs>
        <w:ind w:left="1871" w:hanging="283"/>
      </w:pPr>
      <w:rPr>
        <w:rFonts w:ascii="Wingdings 2" w:hAnsi="Wingdings 2" w:cs="Wingdings 2" w:hint="default"/>
        <w:color w:val="999999"/>
      </w:rPr>
    </w:lvl>
    <w:lvl w:ilvl="3">
      <w:start w:val="1"/>
      <w:numFmt w:val="bullet"/>
      <w:lvlText w:val=""/>
      <w:lvlJc w:val="left"/>
      <w:pPr>
        <w:tabs>
          <w:tab w:val="num" w:pos="2495"/>
        </w:tabs>
        <w:ind w:left="2495" w:hanging="284"/>
      </w:pPr>
      <w:rPr>
        <w:rFonts w:ascii="Wingdings 2" w:hAnsi="Wingdings 2" w:cs="Wingdings 2" w:hint="default"/>
        <w:color w:val="C0C0C0"/>
      </w:rPr>
    </w:lvl>
    <w:lvl w:ilvl="4">
      <w:start w:val="1"/>
      <w:numFmt w:val="bullet"/>
      <w:lvlText w:val="o"/>
      <w:lvlJc w:val="left"/>
      <w:pPr>
        <w:tabs>
          <w:tab w:val="num" w:pos="3119"/>
        </w:tabs>
        <w:ind w:left="3119" w:hanging="284"/>
      </w:pPr>
      <w:rPr>
        <w:rFonts w:ascii="Symbol" w:hAnsi="Symbol" w:cs="Symbol" w:hint="default"/>
        <w:color w:val="999999"/>
        <w:sz w:val="14"/>
      </w:rPr>
    </w:lvl>
    <w:lvl w:ilvl="5">
      <w:start w:val="1"/>
      <w:numFmt w:val="bullet"/>
      <w:lvlText w:val=""/>
      <w:lvlJc w:val="left"/>
      <w:pPr>
        <w:tabs>
          <w:tab w:val="num" w:pos="3742"/>
        </w:tabs>
        <w:ind w:left="3742" w:hanging="283"/>
      </w:pPr>
      <w:rPr>
        <w:rFonts w:ascii="Wingdings" w:hAnsi="Wingdings" w:cs="Wingdings" w:hint="default"/>
      </w:rPr>
    </w:lvl>
    <w:lvl w:ilvl="6">
      <w:start w:val="1"/>
      <w:numFmt w:val="bullet"/>
      <w:lvlText w:val=""/>
      <w:lvlJc w:val="left"/>
      <w:pPr>
        <w:tabs>
          <w:tab w:val="num" w:pos="4366"/>
        </w:tabs>
        <w:ind w:left="4366" w:hanging="284"/>
      </w:pPr>
      <w:rPr>
        <w:rFonts w:ascii="Symbol" w:hAnsi="Symbol" w:cs="Symbol" w:hint="default"/>
      </w:rPr>
    </w:lvl>
    <w:lvl w:ilvl="7">
      <w:start w:val="1"/>
      <w:numFmt w:val="bullet"/>
      <w:lvlText w:val="o"/>
      <w:lvlJc w:val="left"/>
      <w:pPr>
        <w:tabs>
          <w:tab w:val="num" w:pos="4990"/>
        </w:tabs>
        <w:ind w:left="4990" w:hanging="284"/>
      </w:pPr>
      <w:rPr>
        <w:rFonts w:ascii="Courier New" w:hAnsi="Courier New" w:cs="Courier New" w:hint="default"/>
      </w:rPr>
    </w:lvl>
    <w:lvl w:ilvl="8">
      <w:start w:val="1"/>
      <w:numFmt w:val="bullet"/>
      <w:lvlText w:val=""/>
      <w:lvlJc w:val="left"/>
      <w:pPr>
        <w:tabs>
          <w:tab w:val="num" w:pos="5670"/>
        </w:tabs>
        <w:ind w:left="5670" w:hanging="283"/>
      </w:pPr>
      <w:rPr>
        <w:rFonts w:ascii="Wingdings" w:hAnsi="Wingdings" w:cs="Wingdings"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0"/>
        <w:szCs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0"/>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0"/>
        <w:szCs w:val="20"/>
        <w:lang w:val="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 w:val="20"/>
        <w:szCs w:val="20"/>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0"/>
        <w:szCs w:val="20"/>
      </w:rPr>
    </w:lvl>
    <w:lvl w:ilvl="4">
      <w:start w:val="1"/>
      <w:numFmt w:val="bullet"/>
      <w:lvlText w:val="o"/>
      <w:lvlJc w:val="left"/>
      <w:pPr>
        <w:tabs>
          <w:tab w:val="num" w:pos="0"/>
        </w:tabs>
        <w:ind w:left="3600" w:hanging="360"/>
      </w:pPr>
      <w:rPr>
        <w:rFonts w:ascii="Courier New" w:hAnsi="Courier New" w:cs="Courier New" w:hint="default"/>
        <w:sz w:val="20"/>
        <w:szCs w:val="20"/>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0"/>
        <w:szCs w:val="20"/>
      </w:rPr>
    </w:lvl>
    <w:lvl w:ilvl="7">
      <w:start w:val="1"/>
      <w:numFmt w:val="bullet"/>
      <w:lvlText w:val="o"/>
      <w:lvlJc w:val="left"/>
      <w:pPr>
        <w:tabs>
          <w:tab w:val="num" w:pos="0"/>
        </w:tabs>
        <w:ind w:left="5760" w:hanging="360"/>
      </w:pPr>
      <w:rPr>
        <w:rFonts w:ascii="Courier New" w:hAnsi="Courier New" w:cs="Courier New" w:hint="default"/>
        <w:sz w:val="20"/>
        <w:szCs w:val="20"/>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33F43FE"/>
    <w:multiLevelType w:val="multilevel"/>
    <w:tmpl w:val="D03C4B64"/>
    <w:lvl w:ilvl="0">
      <w:start w:val="1"/>
      <w:numFmt w:val="bullet"/>
      <w:lvlText w:val=""/>
      <w:lvlJc w:val="left"/>
      <w:pPr>
        <w:tabs>
          <w:tab w:val="num" w:pos="624"/>
        </w:tabs>
        <w:ind w:left="624" w:hanging="284"/>
      </w:pPr>
      <w:rPr>
        <w:rFonts w:ascii="Wingdings" w:hAnsi="Wingding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12" w15:restartNumberingAfterBreak="0">
    <w:nsid w:val="16A02A54"/>
    <w:multiLevelType w:val="multilevel"/>
    <w:tmpl w:val="D03C4B64"/>
    <w:numStyleLink w:val="EstiloConvietas"/>
  </w:abstractNum>
  <w:abstractNum w:abstractNumId="13" w15:restartNumberingAfterBreak="0">
    <w:nsid w:val="182F713B"/>
    <w:multiLevelType w:val="multilevel"/>
    <w:tmpl w:val="D03C4B64"/>
    <w:numStyleLink w:val="EstiloConvietas"/>
  </w:abstractNum>
  <w:abstractNum w:abstractNumId="14" w15:restartNumberingAfterBreak="0">
    <w:nsid w:val="1A877362"/>
    <w:multiLevelType w:val="multilevel"/>
    <w:tmpl w:val="66A4418A"/>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576"/>
        </w:tabs>
        <w:ind w:left="576" w:hanging="576"/>
      </w:pPr>
      <w:rPr>
        <w:rFonts w:hint="default"/>
      </w:rPr>
    </w:lvl>
    <w:lvl w:ilvl="2">
      <w:start w:val="1"/>
      <w:numFmt w:val="decimal"/>
      <w:pStyle w:val="Ttulo3"/>
      <w:lvlText w:val="%1.%2.%3"/>
      <w:lvlJc w:val="left"/>
      <w:pPr>
        <w:tabs>
          <w:tab w:val="num" w:pos="720"/>
        </w:tabs>
        <w:ind w:left="720" w:hanging="720"/>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C2D1675"/>
    <w:multiLevelType w:val="multilevel"/>
    <w:tmpl w:val="F65A6B78"/>
    <w:lvl w:ilvl="0">
      <w:start w:val="3"/>
      <w:numFmt w:val="decimal"/>
      <w:lvlText w:val="%1."/>
      <w:lvlJc w:val="left"/>
      <w:pPr>
        <w:tabs>
          <w:tab w:val="num" w:pos="624"/>
        </w:tabs>
        <w:ind w:left="624" w:hanging="284"/>
      </w:pPr>
      <w:rPr>
        <w:rFont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16" w15:restartNumberingAfterBreak="0">
    <w:nsid w:val="279E1B27"/>
    <w:multiLevelType w:val="multilevel"/>
    <w:tmpl w:val="4D320D1A"/>
    <w:lvl w:ilvl="0">
      <w:start w:val="1"/>
      <w:numFmt w:val="decimal"/>
      <w:lvlText w:val="%1."/>
      <w:lvlJc w:val="left"/>
      <w:pPr>
        <w:tabs>
          <w:tab w:val="num" w:pos="624"/>
        </w:tabs>
        <w:ind w:left="624" w:hanging="284"/>
      </w:pPr>
      <w:rPr>
        <w:rFont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17" w15:restartNumberingAfterBreak="0">
    <w:nsid w:val="4CC744ED"/>
    <w:multiLevelType w:val="multilevel"/>
    <w:tmpl w:val="D03C4B64"/>
    <w:lvl w:ilvl="0">
      <w:start w:val="1"/>
      <w:numFmt w:val="bullet"/>
      <w:lvlText w:val=""/>
      <w:lvlJc w:val="left"/>
      <w:pPr>
        <w:tabs>
          <w:tab w:val="num" w:pos="624"/>
        </w:tabs>
        <w:ind w:left="624" w:hanging="284"/>
      </w:pPr>
      <w:rPr>
        <w:rFonts w:ascii="Wingdings" w:hAnsi="Wingding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18" w15:restartNumberingAfterBreak="0">
    <w:nsid w:val="4D446590"/>
    <w:multiLevelType w:val="multilevel"/>
    <w:tmpl w:val="D03C4B64"/>
    <w:numStyleLink w:val="EstiloConvietas"/>
  </w:abstractNum>
  <w:abstractNum w:abstractNumId="19" w15:restartNumberingAfterBreak="0">
    <w:nsid w:val="54FD31CC"/>
    <w:multiLevelType w:val="multilevel"/>
    <w:tmpl w:val="D03C4B64"/>
    <w:styleLink w:val="EstiloConvietas"/>
    <w:lvl w:ilvl="0">
      <w:start w:val="1"/>
      <w:numFmt w:val="bullet"/>
      <w:pStyle w:val="Vietas"/>
      <w:lvlText w:val=""/>
      <w:lvlJc w:val="left"/>
      <w:pPr>
        <w:tabs>
          <w:tab w:val="num" w:pos="624"/>
        </w:tabs>
        <w:ind w:left="624" w:hanging="284"/>
      </w:pPr>
      <w:rPr>
        <w:rFonts w:ascii="Wingdings" w:hAnsi="Wingding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abstractNum w:abstractNumId="20" w15:restartNumberingAfterBreak="0">
    <w:nsid w:val="678B1B3D"/>
    <w:multiLevelType w:val="multilevel"/>
    <w:tmpl w:val="D03C4B64"/>
    <w:numStyleLink w:val="EstiloConvietas"/>
  </w:abstractNum>
  <w:abstractNum w:abstractNumId="21" w15:restartNumberingAfterBreak="0">
    <w:nsid w:val="729B0032"/>
    <w:multiLevelType w:val="hybridMultilevel"/>
    <w:tmpl w:val="C41884EE"/>
    <w:lvl w:ilvl="0" w:tplc="B21A1310">
      <w:start w:val="4"/>
      <w:numFmt w:val="bullet"/>
      <w:lvlText w:val="-"/>
      <w:lvlJc w:val="left"/>
      <w:pPr>
        <w:ind w:left="720" w:hanging="360"/>
      </w:pPr>
      <w:rPr>
        <w:rFonts w:ascii="Verdana,Bold" w:eastAsia="Verdana,Bold" w:hAnsi="Times New Roman" w:cs="Verdana,Bold" w:hint="eastAsia"/>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6014830"/>
    <w:multiLevelType w:val="multilevel"/>
    <w:tmpl w:val="D03C4B64"/>
    <w:numStyleLink w:val="EstiloConvietas"/>
  </w:abstractNum>
  <w:abstractNum w:abstractNumId="23" w15:restartNumberingAfterBreak="0">
    <w:nsid w:val="763C3D2C"/>
    <w:multiLevelType w:val="hybridMultilevel"/>
    <w:tmpl w:val="02BAFCEE"/>
    <w:lvl w:ilvl="0" w:tplc="663EC0F0">
      <w:numFmt w:val="bullet"/>
      <w:lvlText w:val="-"/>
      <w:lvlJc w:val="left"/>
      <w:pPr>
        <w:ind w:left="720" w:hanging="360"/>
      </w:pPr>
      <w:rPr>
        <w:rFonts w:ascii="Arial" w:eastAsia="Calibri"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EEB5769"/>
    <w:multiLevelType w:val="multilevel"/>
    <w:tmpl w:val="4D320D1A"/>
    <w:lvl w:ilvl="0">
      <w:start w:val="1"/>
      <w:numFmt w:val="decimal"/>
      <w:lvlText w:val="%1."/>
      <w:lvlJc w:val="left"/>
      <w:pPr>
        <w:tabs>
          <w:tab w:val="num" w:pos="624"/>
        </w:tabs>
        <w:ind w:left="624" w:hanging="284"/>
      </w:pPr>
      <w:rPr>
        <w:rFonts w:hint="default"/>
        <w:color w:val="4D4D4D"/>
      </w:rPr>
    </w:lvl>
    <w:lvl w:ilvl="1">
      <w:start w:val="1"/>
      <w:numFmt w:val="bullet"/>
      <w:lvlText w:val=""/>
      <w:lvlJc w:val="left"/>
      <w:pPr>
        <w:tabs>
          <w:tab w:val="num" w:pos="1247"/>
        </w:tabs>
        <w:ind w:left="1247" w:hanging="283"/>
      </w:pPr>
      <w:rPr>
        <w:rFonts w:ascii="Symbol" w:hAnsi="Symbol" w:hint="default"/>
        <w:color w:val="808080"/>
      </w:rPr>
    </w:lvl>
    <w:lvl w:ilvl="2">
      <w:start w:val="1"/>
      <w:numFmt w:val="bullet"/>
      <w:lvlText w:val=""/>
      <w:lvlJc w:val="left"/>
      <w:pPr>
        <w:tabs>
          <w:tab w:val="num" w:pos="1871"/>
        </w:tabs>
        <w:ind w:left="1871" w:hanging="283"/>
      </w:pPr>
      <w:rPr>
        <w:rFonts w:ascii="Wingdings 2" w:hAnsi="Wingdings 2" w:hint="default"/>
        <w:color w:val="999999"/>
      </w:rPr>
    </w:lvl>
    <w:lvl w:ilvl="3">
      <w:start w:val="1"/>
      <w:numFmt w:val="bullet"/>
      <w:lvlText w:val=""/>
      <w:lvlJc w:val="left"/>
      <w:pPr>
        <w:tabs>
          <w:tab w:val="num" w:pos="2495"/>
        </w:tabs>
        <w:ind w:left="2495" w:hanging="284"/>
      </w:pPr>
      <w:rPr>
        <w:rFonts w:ascii="Wingdings 2" w:hAnsi="Wingdings 2" w:hint="default"/>
        <w:color w:val="C0C0C0"/>
      </w:rPr>
    </w:lvl>
    <w:lvl w:ilvl="4">
      <w:start w:val="1"/>
      <w:numFmt w:val="bullet"/>
      <w:lvlText w:val="o"/>
      <w:lvlJc w:val="left"/>
      <w:pPr>
        <w:tabs>
          <w:tab w:val="num" w:pos="3119"/>
        </w:tabs>
        <w:ind w:left="3119" w:hanging="284"/>
      </w:pPr>
      <w:rPr>
        <w:rFonts w:ascii="Symbol" w:hAnsi="Symbol" w:hint="default"/>
        <w:color w:val="999999"/>
        <w:sz w:val="14"/>
      </w:rPr>
    </w:lvl>
    <w:lvl w:ilvl="5">
      <w:start w:val="1"/>
      <w:numFmt w:val="bullet"/>
      <w:lvlText w:val=""/>
      <w:lvlJc w:val="left"/>
      <w:pPr>
        <w:tabs>
          <w:tab w:val="num" w:pos="3742"/>
        </w:tabs>
        <w:ind w:left="3742" w:hanging="283"/>
      </w:pPr>
      <w:rPr>
        <w:rFonts w:ascii="Wingdings" w:hAnsi="Wingdings" w:hint="default"/>
      </w:rPr>
    </w:lvl>
    <w:lvl w:ilvl="6">
      <w:start w:val="1"/>
      <w:numFmt w:val="bullet"/>
      <w:lvlText w:val=""/>
      <w:lvlJc w:val="left"/>
      <w:pPr>
        <w:tabs>
          <w:tab w:val="num" w:pos="4366"/>
        </w:tabs>
        <w:ind w:left="4366" w:hanging="284"/>
      </w:pPr>
      <w:rPr>
        <w:rFonts w:ascii="Symbol" w:hAnsi="Symbol" w:hint="default"/>
      </w:rPr>
    </w:lvl>
    <w:lvl w:ilvl="7">
      <w:start w:val="1"/>
      <w:numFmt w:val="bullet"/>
      <w:lvlText w:val="o"/>
      <w:lvlJc w:val="left"/>
      <w:pPr>
        <w:tabs>
          <w:tab w:val="num" w:pos="4990"/>
        </w:tabs>
        <w:ind w:left="4990" w:hanging="284"/>
      </w:pPr>
      <w:rPr>
        <w:rFonts w:ascii="Courier New" w:hAnsi="Courier New" w:hint="default"/>
      </w:rPr>
    </w:lvl>
    <w:lvl w:ilvl="8">
      <w:start w:val="1"/>
      <w:numFmt w:val="bullet"/>
      <w:lvlText w:val=""/>
      <w:lvlJc w:val="left"/>
      <w:pPr>
        <w:tabs>
          <w:tab w:val="num" w:pos="5670"/>
        </w:tabs>
        <w:ind w:left="5670" w:hanging="283"/>
      </w:pPr>
      <w:rPr>
        <w:rFonts w:ascii="Wingdings" w:hAnsi="Wingdings" w:hint="default"/>
      </w:rPr>
    </w:lvl>
  </w:abstractNum>
  <w:num w:numId="1">
    <w:abstractNumId w:val="14"/>
  </w:num>
  <w:num w:numId="2">
    <w:abstractNumId w:val="19"/>
  </w:num>
  <w:num w:numId="3">
    <w:abstractNumId w:val="13"/>
  </w:num>
  <w:num w:numId="4">
    <w:abstractNumId w:val="17"/>
  </w:num>
  <w:num w:numId="5">
    <w:abstractNumId w:val="22"/>
  </w:num>
  <w:num w:numId="6">
    <w:abstractNumId w:val="18"/>
  </w:num>
  <w:num w:numId="7">
    <w:abstractNumId w:val="12"/>
  </w:num>
  <w:num w:numId="8">
    <w:abstractNumId w:val="11"/>
  </w:num>
  <w:num w:numId="9">
    <w:abstractNumId w:val="20"/>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num>
  <w:num w:numId="13">
    <w:abstractNumId w:val="13"/>
  </w:num>
  <w:num w:numId="14">
    <w:abstractNumId w:val="23"/>
  </w:num>
  <w:num w:numId="15">
    <w:abstractNumId w:val="13"/>
  </w:num>
  <w:num w:numId="16">
    <w:abstractNumId w:val="13"/>
  </w:num>
  <w:num w:numId="17">
    <w:abstractNumId w:val="13"/>
  </w:num>
  <w:num w:numId="18">
    <w:abstractNumId w:val="21"/>
  </w:num>
  <w:num w:numId="19">
    <w:abstractNumId w:val="24"/>
  </w:num>
  <w:num w:numId="20">
    <w:abstractNumId w:val="16"/>
  </w:num>
  <w:num w:numId="21">
    <w:abstractNumId w:val="15"/>
  </w:num>
  <w:num w:numId="22">
    <w:abstractNumId w:val="14"/>
  </w:num>
  <w:num w:numId="23">
    <w:abstractNumId w:val="13"/>
  </w:num>
  <w:num w:numId="24">
    <w:abstractNumId w:val="14"/>
  </w:num>
  <w:num w:numId="25">
    <w:abstractNumId w:val="14"/>
  </w:num>
  <w:num w:numId="26">
    <w:abstractNumId w:val="13"/>
  </w:num>
  <w:num w:numId="27">
    <w:abstractNumId w:val="13"/>
  </w:num>
  <w:num w:numId="28">
    <w:abstractNumId w:val="13"/>
  </w:num>
  <w:num w:numId="29">
    <w:abstractNumId w:val="13"/>
  </w:num>
  <w:num w:numId="30">
    <w:abstractNumId w:val="13"/>
  </w:num>
  <w:num w:numId="31">
    <w:abstractNumId w:val="14"/>
  </w:num>
  <w:num w:numId="32">
    <w:abstractNumId w:val="14"/>
  </w:num>
  <w:num w:numId="33">
    <w:abstractNumId w:val="14"/>
  </w:num>
  <w:num w:numId="34">
    <w:abstractNumId w:val="13"/>
  </w:num>
  <w:num w:numId="35">
    <w:abstractNumId w:val="13"/>
  </w:num>
  <w:num w:numId="36">
    <w:abstractNumId w:val="14"/>
  </w:num>
  <w:num w:numId="37">
    <w:abstractNumId w:val="0"/>
  </w:num>
  <w:num w:numId="38">
    <w:abstractNumId w:val="1"/>
  </w:num>
  <w:num w:numId="39">
    <w:abstractNumId w:val="13"/>
  </w:num>
  <w:num w:numId="40">
    <w:abstractNumId w:val="14"/>
  </w:num>
  <w:num w:numId="41">
    <w:abstractNumId w:val="2"/>
  </w:num>
  <w:num w:numId="42">
    <w:abstractNumId w:val="3"/>
  </w:num>
  <w:num w:numId="43">
    <w:abstractNumId w:val="4"/>
  </w:num>
  <w:num w:numId="44">
    <w:abstractNumId w:val="5"/>
  </w:num>
  <w:num w:numId="45">
    <w:abstractNumId w:val="6"/>
  </w:num>
  <w:num w:numId="46">
    <w:abstractNumId w:val="7"/>
  </w:num>
  <w:num w:numId="47">
    <w:abstractNumId w:val="8"/>
  </w:num>
  <w:num w:numId="48">
    <w:abstractNumId w:val="9"/>
  </w:num>
  <w:num w:numId="49">
    <w:abstractNumId w:val="10"/>
  </w:num>
  <w:num w:numId="5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E5F"/>
    <w:rsid w:val="00000969"/>
    <w:rsid w:val="00004716"/>
    <w:rsid w:val="0000721F"/>
    <w:rsid w:val="000152A8"/>
    <w:rsid w:val="0001578A"/>
    <w:rsid w:val="00015F89"/>
    <w:rsid w:val="0002305E"/>
    <w:rsid w:val="000233F3"/>
    <w:rsid w:val="00024636"/>
    <w:rsid w:val="00025D01"/>
    <w:rsid w:val="00026A3D"/>
    <w:rsid w:val="00035C0B"/>
    <w:rsid w:val="0003737D"/>
    <w:rsid w:val="00037EAF"/>
    <w:rsid w:val="00041EAC"/>
    <w:rsid w:val="00041ECA"/>
    <w:rsid w:val="00044F86"/>
    <w:rsid w:val="00047976"/>
    <w:rsid w:val="000505D3"/>
    <w:rsid w:val="00050876"/>
    <w:rsid w:val="00052F9A"/>
    <w:rsid w:val="00060AD5"/>
    <w:rsid w:val="0006172C"/>
    <w:rsid w:val="00067738"/>
    <w:rsid w:val="000761EB"/>
    <w:rsid w:val="00082140"/>
    <w:rsid w:val="00087F2A"/>
    <w:rsid w:val="00093D62"/>
    <w:rsid w:val="000949E4"/>
    <w:rsid w:val="00096D47"/>
    <w:rsid w:val="000A3D35"/>
    <w:rsid w:val="000A57DC"/>
    <w:rsid w:val="000B28DA"/>
    <w:rsid w:val="000B324E"/>
    <w:rsid w:val="000B3C61"/>
    <w:rsid w:val="000B4205"/>
    <w:rsid w:val="000C6B82"/>
    <w:rsid w:val="000C6F16"/>
    <w:rsid w:val="000D1AA4"/>
    <w:rsid w:val="000D1C32"/>
    <w:rsid w:val="000D1DD5"/>
    <w:rsid w:val="000D4A36"/>
    <w:rsid w:val="000D6AE8"/>
    <w:rsid w:val="000E0159"/>
    <w:rsid w:val="000E7A55"/>
    <w:rsid w:val="000F000F"/>
    <w:rsid w:val="000F4B81"/>
    <w:rsid w:val="000F51AA"/>
    <w:rsid w:val="00104F7B"/>
    <w:rsid w:val="00105484"/>
    <w:rsid w:val="001054F0"/>
    <w:rsid w:val="00106586"/>
    <w:rsid w:val="00107CF7"/>
    <w:rsid w:val="0011080A"/>
    <w:rsid w:val="00115384"/>
    <w:rsid w:val="00126439"/>
    <w:rsid w:val="0013065B"/>
    <w:rsid w:val="00131BF5"/>
    <w:rsid w:val="001336C3"/>
    <w:rsid w:val="00133A7F"/>
    <w:rsid w:val="0014712D"/>
    <w:rsid w:val="00155CE9"/>
    <w:rsid w:val="00155F22"/>
    <w:rsid w:val="00156E09"/>
    <w:rsid w:val="001629A1"/>
    <w:rsid w:val="00164F4D"/>
    <w:rsid w:val="0017162B"/>
    <w:rsid w:val="00175FD1"/>
    <w:rsid w:val="0018136A"/>
    <w:rsid w:val="0018156E"/>
    <w:rsid w:val="00184347"/>
    <w:rsid w:val="0018537D"/>
    <w:rsid w:val="001868E8"/>
    <w:rsid w:val="00186F5C"/>
    <w:rsid w:val="00193BFE"/>
    <w:rsid w:val="001A5096"/>
    <w:rsid w:val="001A6937"/>
    <w:rsid w:val="001A6D1D"/>
    <w:rsid w:val="001B2436"/>
    <w:rsid w:val="001B3844"/>
    <w:rsid w:val="001B43E6"/>
    <w:rsid w:val="001C5EC9"/>
    <w:rsid w:val="001D1DE7"/>
    <w:rsid w:val="001E0913"/>
    <w:rsid w:val="001E3069"/>
    <w:rsid w:val="001E3B03"/>
    <w:rsid w:val="001E4053"/>
    <w:rsid w:val="001E4B62"/>
    <w:rsid w:val="001F0F10"/>
    <w:rsid w:val="001F3973"/>
    <w:rsid w:val="00203A08"/>
    <w:rsid w:val="00203DA8"/>
    <w:rsid w:val="00211C95"/>
    <w:rsid w:val="002129B9"/>
    <w:rsid w:val="00214537"/>
    <w:rsid w:val="00216A1E"/>
    <w:rsid w:val="00217C3D"/>
    <w:rsid w:val="00220241"/>
    <w:rsid w:val="00224882"/>
    <w:rsid w:val="0023151C"/>
    <w:rsid w:val="0023554C"/>
    <w:rsid w:val="002355E6"/>
    <w:rsid w:val="002376A8"/>
    <w:rsid w:val="00237F83"/>
    <w:rsid w:val="00242E24"/>
    <w:rsid w:val="00243012"/>
    <w:rsid w:val="0024356F"/>
    <w:rsid w:val="00244C0F"/>
    <w:rsid w:val="00244D00"/>
    <w:rsid w:val="00250D81"/>
    <w:rsid w:val="002514B3"/>
    <w:rsid w:val="00252F7A"/>
    <w:rsid w:val="00253427"/>
    <w:rsid w:val="002601B1"/>
    <w:rsid w:val="00262DC0"/>
    <w:rsid w:val="0026526B"/>
    <w:rsid w:val="00271BDA"/>
    <w:rsid w:val="00273153"/>
    <w:rsid w:val="00273448"/>
    <w:rsid w:val="00274C61"/>
    <w:rsid w:val="00281673"/>
    <w:rsid w:val="002828F6"/>
    <w:rsid w:val="00283FD5"/>
    <w:rsid w:val="002877D2"/>
    <w:rsid w:val="0029175F"/>
    <w:rsid w:val="00293FFF"/>
    <w:rsid w:val="0029606C"/>
    <w:rsid w:val="002A2DDA"/>
    <w:rsid w:val="002A576C"/>
    <w:rsid w:val="002A69E1"/>
    <w:rsid w:val="002B5DB2"/>
    <w:rsid w:val="002B7794"/>
    <w:rsid w:val="002C23D7"/>
    <w:rsid w:val="002D29A2"/>
    <w:rsid w:val="002D3841"/>
    <w:rsid w:val="002D7453"/>
    <w:rsid w:val="002E013D"/>
    <w:rsid w:val="002E219D"/>
    <w:rsid w:val="002E67B2"/>
    <w:rsid w:val="002F1D0D"/>
    <w:rsid w:val="002F3623"/>
    <w:rsid w:val="002F58CF"/>
    <w:rsid w:val="002F6387"/>
    <w:rsid w:val="00303C6C"/>
    <w:rsid w:val="00304243"/>
    <w:rsid w:val="00306EE5"/>
    <w:rsid w:val="00310B53"/>
    <w:rsid w:val="003116E3"/>
    <w:rsid w:val="00311BE9"/>
    <w:rsid w:val="0031242E"/>
    <w:rsid w:val="00320D44"/>
    <w:rsid w:val="00324832"/>
    <w:rsid w:val="00332205"/>
    <w:rsid w:val="0033308A"/>
    <w:rsid w:val="00333E85"/>
    <w:rsid w:val="003375D8"/>
    <w:rsid w:val="0034386B"/>
    <w:rsid w:val="0034514B"/>
    <w:rsid w:val="00346825"/>
    <w:rsid w:val="00352DD0"/>
    <w:rsid w:val="0035575F"/>
    <w:rsid w:val="00356897"/>
    <w:rsid w:val="00356B88"/>
    <w:rsid w:val="00357D83"/>
    <w:rsid w:val="00361B49"/>
    <w:rsid w:val="00361D93"/>
    <w:rsid w:val="00365EF9"/>
    <w:rsid w:val="00367271"/>
    <w:rsid w:val="00367848"/>
    <w:rsid w:val="00373505"/>
    <w:rsid w:val="00375BA1"/>
    <w:rsid w:val="00376E80"/>
    <w:rsid w:val="00377D35"/>
    <w:rsid w:val="00381D50"/>
    <w:rsid w:val="003824AE"/>
    <w:rsid w:val="00387490"/>
    <w:rsid w:val="00391315"/>
    <w:rsid w:val="003939E5"/>
    <w:rsid w:val="003A250B"/>
    <w:rsid w:val="003B1AFF"/>
    <w:rsid w:val="003B558E"/>
    <w:rsid w:val="003B6B70"/>
    <w:rsid w:val="003B7903"/>
    <w:rsid w:val="003C08FC"/>
    <w:rsid w:val="003C0FC2"/>
    <w:rsid w:val="003C1BDE"/>
    <w:rsid w:val="003C4BE6"/>
    <w:rsid w:val="003D10A8"/>
    <w:rsid w:val="003D1E2A"/>
    <w:rsid w:val="003E1A08"/>
    <w:rsid w:val="003E5F8E"/>
    <w:rsid w:val="003E6E15"/>
    <w:rsid w:val="003E751F"/>
    <w:rsid w:val="003F49F9"/>
    <w:rsid w:val="003F63D4"/>
    <w:rsid w:val="00402AAF"/>
    <w:rsid w:val="00406B4F"/>
    <w:rsid w:val="004314E0"/>
    <w:rsid w:val="00433A23"/>
    <w:rsid w:val="00453C67"/>
    <w:rsid w:val="004575DF"/>
    <w:rsid w:val="0046013A"/>
    <w:rsid w:val="00465A4C"/>
    <w:rsid w:val="00471D9E"/>
    <w:rsid w:val="00482809"/>
    <w:rsid w:val="00483F8F"/>
    <w:rsid w:val="00484B8F"/>
    <w:rsid w:val="00484C10"/>
    <w:rsid w:val="00485B91"/>
    <w:rsid w:val="00490367"/>
    <w:rsid w:val="004926E9"/>
    <w:rsid w:val="00496949"/>
    <w:rsid w:val="00496AF7"/>
    <w:rsid w:val="004A1D3E"/>
    <w:rsid w:val="004A3462"/>
    <w:rsid w:val="004A5301"/>
    <w:rsid w:val="004C0C35"/>
    <w:rsid w:val="004C205F"/>
    <w:rsid w:val="004C275F"/>
    <w:rsid w:val="004D1A8F"/>
    <w:rsid w:val="004D4CE4"/>
    <w:rsid w:val="004D5460"/>
    <w:rsid w:val="004D6510"/>
    <w:rsid w:val="004D756F"/>
    <w:rsid w:val="004D7919"/>
    <w:rsid w:val="004E76B4"/>
    <w:rsid w:val="004F0557"/>
    <w:rsid w:val="004F1CEB"/>
    <w:rsid w:val="004F30FD"/>
    <w:rsid w:val="005057E8"/>
    <w:rsid w:val="0050623B"/>
    <w:rsid w:val="0050663E"/>
    <w:rsid w:val="0050783C"/>
    <w:rsid w:val="00513B25"/>
    <w:rsid w:val="00522058"/>
    <w:rsid w:val="00525B8F"/>
    <w:rsid w:val="00531CE1"/>
    <w:rsid w:val="0053260A"/>
    <w:rsid w:val="0053529B"/>
    <w:rsid w:val="00536F27"/>
    <w:rsid w:val="00540EE6"/>
    <w:rsid w:val="0054149F"/>
    <w:rsid w:val="00542299"/>
    <w:rsid w:val="0054517C"/>
    <w:rsid w:val="00545CFD"/>
    <w:rsid w:val="005474D4"/>
    <w:rsid w:val="00553694"/>
    <w:rsid w:val="005622BF"/>
    <w:rsid w:val="0056385F"/>
    <w:rsid w:val="00564527"/>
    <w:rsid w:val="00565AE6"/>
    <w:rsid w:val="00566374"/>
    <w:rsid w:val="00566D83"/>
    <w:rsid w:val="00567483"/>
    <w:rsid w:val="0057143A"/>
    <w:rsid w:val="00571E7B"/>
    <w:rsid w:val="00574332"/>
    <w:rsid w:val="005747EB"/>
    <w:rsid w:val="005762B9"/>
    <w:rsid w:val="00580FFB"/>
    <w:rsid w:val="005942F4"/>
    <w:rsid w:val="005A4CDC"/>
    <w:rsid w:val="005B3DD1"/>
    <w:rsid w:val="005B6F1B"/>
    <w:rsid w:val="005C051D"/>
    <w:rsid w:val="005C0722"/>
    <w:rsid w:val="005C1499"/>
    <w:rsid w:val="005C5AC7"/>
    <w:rsid w:val="005D1EB9"/>
    <w:rsid w:val="005E237C"/>
    <w:rsid w:val="005E2DC3"/>
    <w:rsid w:val="005E34D9"/>
    <w:rsid w:val="005F161D"/>
    <w:rsid w:val="005F7CB7"/>
    <w:rsid w:val="0060067C"/>
    <w:rsid w:val="00603CCB"/>
    <w:rsid w:val="006048D4"/>
    <w:rsid w:val="00604D58"/>
    <w:rsid w:val="00613495"/>
    <w:rsid w:val="006136A9"/>
    <w:rsid w:val="0062104B"/>
    <w:rsid w:val="0062482A"/>
    <w:rsid w:val="00626AED"/>
    <w:rsid w:val="00626BDC"/>
    <w:rsid w:val="00630FBA"/>
    <w:rsid w:val="006327D6"/>
    <w:rsid w:val="006451D4"/>
    <w:rsid w:val="006503F3"/>
    <w:rsid w:val="006506E1"/>
    <w:rsid w:val="00657B4E"/>
    <w:rsid w:val="00661E67"/>
    <w:rsid w:val="00663E3F"/>
    <w:rsid w:val="00682DD5"/>
    <w:rsid w:val="006830FB"/>
    <w:rsid w:val="00687FBA"/>
    <w:rsid w:val="0069358C"/>
    <w:rsid w:val="00693EE7"/>
    <w:rsid w:val="0069580D"/>
    <w:rsid w:val="00696410"/>
    <w:rsid w:val="006A2518"/>
    <w:rsid w:val="006A3AF8"/>
    <w:rsid w:val="006A4986"/>
    <w:rsid w:val="006C43AB"/>
    <w:rsid w:val="006C79B3"/>
    <w:rsid w:val="006E232A"/>
    <w:rsid w:val="006E4C99"/>
    <w:rsid w:val="006E566F"/>
    <w:rsid w:val="006F0A33"/>
    <w:rsid w:val="006F454C"/>
    <w:rsid w:val="006F4A82"/>
    <w:rsid w:val="00702C5F"/>
    <w:rsid w:val="0071445F"/>
    <w:rsid w:val="007169F4"/>
    <w:rsid w:val="007230C4"/>
    <w:rsid w:val="00724ABA"/>
    <w:rsid w:val="00724C15"/>
    <w:rsid w:val="00726B76"/>
    <w:rsid w:val="00733880"/>
    <w:rsid w:val="00734957"/>
    <w:rsid w:val="0073600F"/>
    <w:rsid w:val="00736EFB"/>
    <w:rsid w:val="00741C25"/>
    <w:rsid w:val="00743024"/>
    <w:rsid w:val="007432D8"/>
    <w:rsid w:val="00745493"/>
    <w:rsid w:val="0074782D"/>
    <w:rsid w:val="007540BA"/>
    <w:rsid w:val="0075464A"/>
    <w:rsid w:val="007617FD"/>
    <w:rsid w:val="00765BA1"/>
    <w:rsid w:val="007665C8"/>
    <w:rsid w:val="0076796E"/>
    <w:rsid w:val="00767F80"/>
    <w:rsid w:val="00770E7E"/>
    <w:rsid w:val="007718B1"/>
    <w:rsid w:val="007738AB"/>
    <w:rsid w:val="00774422"/>
    <w:rsid w:val="007767D3"/>
    <w:rsid w:val="00781A14"/>
    <w:rsid w:val="00782217"/>
    <w:rsid w:val="00796C95"/>
    <w:rsid w:val="007A082F"/>
    <w:rsid w:val="007A22EB"/>
    <w:rsid w:val="007A581A"/>
    <w:rsid w:val="007A5A2D"/>
    <w:rsid w:val="007A6434"/>
    <w:rsid w:val="007A784D"/>
    <w:rsid w:val="007B6876"/>
    <w:rsid w:val="007C1FCD"/>
    <w:rsid w:val="007C394E"/>
    <w:rsid w:val="007C5730"/>
    <w:rsid w:val="007C7AF3"/>
    <w:rsid w:val="007D01BD"/>
    <w:rsid w:val="007D2B27"/>
    <w:rsid w:val="007D3FBB"/>
    <w:rsid w:val="007D699D"/>
    <w:rsid w:val="007E073E"/>
    <w:rsid w:val="007E5A0A"/>
    <w:rsid w:val="007F0A5E"/>
    <w:rsid w:val="007F51DE"/>
    <w:rsid w:val="007F64C5"/>
    <w:rsid w:val="007F74F9"/>
    <w:rsid w:val="00801834"/>
    <w:rsid w:val="00805E38"/>
    <w:rsid w:val="00807BB5"/>
    <w:rsid w:val="00810426"/>
    <w:rsid w:val="008120E0"/>
    <w:rsid w:val="00813023"/>
    <w:rsid w:val="00815EB1"/>
    <w:rsid w:val="00817556"/>
    <w:rsid w:val="008177D2"/>
    <w:rsid w:val="00833581"/>
    <w:rsid w:val="00836DF2"/>
    <w:rsid w:val="00843298"/>
    <w:rsid w:val="00851146"/>
    <w:rsid w:val="00851A7B"/>
    <w:rsid w:val="008547AC"/>
    <w:rsid w:val="008632B2"/>
    <w:rsid w:val="00881216"/>
    <w:rsid w:val="0088282F"/>
    <w:rsid w:val="00882E17"/>
    <w:rsid w:val="00886B47"/>
    <w:rsid w:val="00894CD2"/>
    <w:rsid w:val="00896B5E"/>
    <w:rsid w:val="008A2801"/>
    <w:rsid w:val="008A47B8"/>
    <w:rsid w:val="008A4D1A"/>
    <w:rsid w:val="008A6413"/>
    <w:rsid w:val="008B5A69"/>
    <w:rsid w:val="008C08B7"/>
    <w:rsid w:val="008C1A1B"/>
    <w:rsid w:val="008C282B"/>
    <w:rsid w:val="008D5695"/>
    <w:rsid w:val="008D77AC"/>
    <w:rsid w:val="008D78CB"/>
    <w:rsid w:val="008E3560"/>
    <w:rsid w:val="008E442F"/>
    <w:rsid w:val="008E679C"/>
    <w:rsid w:val="008F0B0F"/>
    <w:rsid w:val="008F1BCD"/>
    <w:rsid w:val="008F3DA4"/>
    <w:rsid w:val="008F483A"/>
    <w:rsid w:val="008F62FF"/>
    <w:rsid w:val="008F669E"/>
    <w:rsid w:val="00902079"/>
    <w:rsid w:val="00903A66"/>
    <w:rsid w:val="009044CD"/>
    <w:rsid w:val="0090559E"/>
    <w:rsid w:val="00905F4F"/>
    <w:rsid w:val="00906F14"/>
    <w:rsid w:val="00907DB4"/>
    <w:rsid w:val="00907EF7"/>
    <w:rsid w:val="00916886"/>
    <w:rsid w:val="00921192"/>
    <w:rsid w:val="0092539D"/>
    <w:rsid w:val="00925A49"/>
    <w:rsid w:val="0093757E"/>
    <w:rsid w:val="009377B7"/>
    <w:rsid w:val="00942207"/>
    <w:rsid w:val="00942F53"/>
    <w:rsid w:val="00943D3F"/>
    <w:rsid w:val="00951289"/>
    <w:rsid w:val="00953003"/>
    <w:rsid w:val="009572B7"/>
    <w:rsid w:val="00960072"/>
    <w:rsid w:val="00961519"/>
    <w:rsid w:val="009618FD"/>
    <w:rsid w:val="00963D95"/>
    <w:rsid w:val="00964852"/>
    <w:rsid w:val="00967617"/>
    <w:rsid w:val="00981C36"/>
    <w:rsid w:val="0098330C"/>
    <w:rsid w:val="009962E0"/>
    <w:rsid w:val="00996E5F"/>
    <w:rsid w:val="00997E5F"/>
    <w:rsid w:val="009A3347"/>
    <w:rsid w:val="009A3CD6"/>
    <w:rsid w:val="009A48AB"/>
    <w:rsid w:val="009A6745"/>
    <w:rsid w:val="009A684E"/>
    <w:rsid w:val="009B0144"/>
    <w:rsid w:val="009B0E18"/>
    <w:rsid w:val="009B5154"/>
    <w:rsid w:val="009B5E76"/>
    <w:rsid w:val="009B7A82"/>
    <w:rsid w:val="009C6426"/>
    <w:rsid w:val="009D1C27"/>
    <w:rsid w:val="009D317A"/>
    <w:rsid w:val="009D335F"/>
    <w:rsid w:val="009D3830"/>
    <w:rsid w:val="009D6A6E"/>
    <w:rsid w:val="009E56AA"/>
    <w:rsid w:val="009F3077"/>
    <w:rsid w:val="00A15D39"/>
    <w:rsid w:val="00A211D8"/>
    <w:rsid w:val="00A2276D"/>
    <w:rsid w:val="00A24FAE"/>
    <w:rsid w:val="00A2514A"/>
    <w:rsid w:val="00A27727"/>
    <w:rsid w:val="00A32386"/>
    <w:rsid w:val="00A325EA"/>
    <w:rsid w:val="00A40637"/>
    <w:rsid w:val="00A43155"/>
    <w:rsid w:val="00A44619"/>
    <w:rsid w:val="00A459C6"/>
    <w:rsid w:val="00A478ED"/>
    <w:rsid w:val="00A47BED"/>
    <w:rsid w:val="00A626D7"/>
    <w:rsid w:val="00A65C29"/>
    <w:rsid w:val="00A75A17"/>
    <w:rsid w:val="00A8301F"/>
    <w:rsid w:val="00A876B8"/>
    <w:rsid w:val="00A87ED2"/>
    <w:rsid w:val="00A94ACB"/>
    <w:rsid w:val="00A95085"/>
    <w:rsid w:val="00AA0373"/>
    <w:rsid w:val="00AA3AA7"/>
    <w:rsid w:val="00AB2823"/>
    <w:rsid w:val="00AB5663"/>
    <w:rsid w:val="00AC30CB"/>
    <w:rsid w:val="00AD5D4B"/>
    <w:rsid w:val="00AE65BD"/>
    <w:rsid w:val="00AF51EE"/>
    <w:rsid w:val="00AF6987"/>
    <w:rsid w:val="00AF69E0"/>
    <w:rsid w:val="00B01A13"/>
    <w:rsid w:val="00B01A20"/>
    <w:rsid w:val="00B02A7D"/>
    <w:rsid w:val="00B10429"/>
    <w:rsid w:val="00B12921"/>
    <w:rsid w:val="00B25641"/>
    <w:rsid w:val="00B25E66"/>
    <w:rsid w:val="00B36A98"/>
    <w:rsid w:val="00B57AF2"/>
    <w:rsid w:val="00B57D4C"/>
    <w:rsid w:val="00B6088C"/>
    <w:rsid w:val="00B629A4"/>
    <w:rsid w:val="00B704F2"/>
    <w:rsid w:val="00B71606"/>
    <w:rsid w:val="00B76F16"/>
    <w:rsid w:val="00B7711B"/>
    <w:rsid w:val="00B81842"/>
    <w:rsid w:val="00B83C8B"/>
    <w:rsid w:val="00B83CE7"/>
    <w:rsid w:val="00B93FFA"/>
    <w:rsid w:val="00B960E5"/>
    <w:rsid w:val="00B97FE6"/>
    <w:rsid w:val="00BB3EF8"/>
    <w:rsid w:val="00BB5BD3"/>
    <w:rsid w:val="00BB7B9D"/>
    <w:rsid w:val="00BC1201"/>
    <w:rsid w:val="00BC7787"/>
    <w:rsid w:val="00BD0436"/>
    <w:rsid w:val="00BD1D53"/>
    <w:rsid w:val="00BD3BB6"/>
    <w:rsid w:val="00BE173A"/>
    <w:rsid w:val="00BE58DE"/>
    <w:rsid w:val="00BE6448"/>
    <w:rsid w:val="00BF078C"/>
    <w:rsid w:val="00BF14D5"/>
    <w:rsid w:val="00BF6EB8"/>
    <w:rsid w:val="00C027C4"/>
    <w:rsid w:val="00C02EF4"/>
    <w:rsid w:val="00C03C2E"/>
    <w:rsid w:val="00C04F3A"/>
    <w:rsid w:val="00C11C3A"/>
    <w:rsid w:val="00C24D51"/>
    <w:rsid w:val="00C24E7E"/>
    <w:rsid w:val="00C30A6D"/>
    <w:rsid w:val="00C30AD5"/>
    <w:rsid w:val="00C32012"/>
    <w:rsid w:val="00C330F7"/>
    <w:rsid w:val="00C37103"/>
    <w:rsid w:val="00C50203"/>
    <w:rsid w:val="00C5268E"/>
    <w:rsid w:val="00C567AA"/>
    <w:rsid w:val="00C66DDA"/>
    <w:rsid w:val="00C6758E"/>
    <w:rsid w:val="00C713FF"/>
    <w:rsid w:val="00C73506"/>
    <w:rsid w:val="00C82CEA"/>
    <w:rsid w:val="00C8518F"/>
    <w:rsid w:val="00C90ACD"/>
    <w:rsid w:val="00CA110B"/>
    <w:rsid w:val="00CA2A52"/>
    <w:rsid w:val="00CA636D"/>
    <w:rsid w:val="00CB4DC9"/>
    <w:rsid w:val="00CC0CFC"/>
    <w:rsid w:val="00CC4546"/>
    <w:rsid w:val="00CD17EF"/>
    <w:rsid w:val="00CD2EE8"/>
    <w:rsid w:val="00CD4493"/>
    <w:rsid w:val="00CE6841"/>
    <w:rsid w:val="00CE6E8A"/>
    <w:rsid w:val="00CE7BEA"/>
    <w:rsid w:val="00CF2EA0"/>
    <w:rsid w:val="00CF7663"/>
    <w:rsid w:val="00D0575F"/>
    <w:rsid w:val="00D07972"/>
    <w:rsid w:val="00D1031A"/>
    <w:rsid w:val="00D141D2"/>
    <w:rsid w:val="00D2192B"/>
    <w:rsid w:val="00D21EFC"/>
    <w:rsid w:val="00D25344"/>
    <w:rsid w:val="00D27736"/>
    <w:rsid w:val="00D37A26"/>
    <w:rsid w:val="00D410DB"/>
    <w:rsid w:val="00D427C8"/>
    <w:rsid w:val="00D46E2E"/>
    <w:rsid w:val="00D5060D"/>
    <w:rsid w:val="00D5751D"/>
    <w:rsid w:val="00D6282B"/>
    <w:rsid w:val="00D674AE"/>
    <w:rsid w:val="00D729A7"/>
    <w:rsid w:val="00D73D3D"/>
    <w:rsid w:val="00D74C63"/>
    <w:rsid w:val="00D76593"/>
    <w:rsid w:val="00D84A2D"/>
    <w:rsid w:val="00D907E5"/>
    <w:rsid w:val="00D94FBE"/>
    <w:rsid w:val="00DA060F"/>
    <w:rsid w:val="00DA0E14"/>
    <w:rsid w:val="00DA13E6"/>
    <w:rsid w:val="00DA47A4"/>
    <w:rsid w:val="00DB08E3"/>
    <w:rsid w:val="00DB3C60"/>
    <w:rsid w:val="00DC26C4"/>
    <w:rsid w:val="00DC36E0"/>
    <w:rsid w:val="00DC6746"/>
    <w:rsid w:val="00DD0A4E"/>
    <w:rsid w:val="00DD78C2"/>
    <w:rsid w:val="00DE014E"/>
    <w:rsid w:val="00DE263B"/>
    <w:rsid w:val="00DE5371"/>
    <w:rsid w:val="00DE6632"/>
    <w:rsid w:val="00DF4EBC"/>
    <w:rsid w:val="00DF5460"/>
    <w:rsid w:val="00E0323E"/>
    <w:rsid w:val="00E036FD"/>
    <w:rsid w:val="00E15340"/>
    <w:rsid w:val="00E212F7"/>
    <w:rsid w:val="00E24D1A"/>
    <w:rsid w:val="00E25649"/>
    <w:rsid w:val="00E25F93"/>
    <w:rsid w:val="00E2639C"/>
    <w:rsid w:val="00E40ABE"/>
    <w:rsid w:val="00E42664"/>
    <w:rsid w:val="00E441EA"/>
    <w:rsid w:val="00E52F4B"/>
    <w:rsid w:val="00E616EE"/>
    <w:rsid w:val="00E7361F"/>
    <w:rsid w:val="00E75B08"/>
    <w:rsid w:val="00E77EA8"/>
    <w:rsid w:val="00E82917"/>
    <w:rsid w:val="00E849DE"/>
    <w:rsid w:val="00E867E0"/>
    <w:rsid w:val="00E91632"/>
    <w:rsid w:val="00E928E7"/>
    <w:rsid w:val="00EA0DDB"/>
    <w:rsid w:val="00EA7232"/>
    <w:rsid w:val="00EB4858"/>
    <w:rsid w:val="00EC3B80"/>
    <w:rsid w:val="00EC6B42"/>
    <w:rsid w:val="00ED2C50"/>
    <w:rsid w:val="00EE00AC"/>
    <w:rsid w:val="00EE0667"/>
    <w:rsid w:val="00EE1494"/>
    <w:rsid w:val="00EE2C2B"/>
    <w:rsid w:val="00EE446F"/>
    <w:rsid w:val="00EF182E"/>
    <w:rsid w:val="00EF3DC9"/>
    <w:rsid w:val="00F02B5E"/>
    <w:rsid w:val="00F10C40"/>
    <w:rsid w:val="00F11990"/>
    <w:rsid w:val="00F159FF"/>
    <w:rsid w:val="00F202AA"/>
    <w:rsid w:val="00F20C10"/>
    <w:rsid w:val="00F21483"/>
    <w:rsid w:val="00F21E0B"/>
    <w:rsid w:val="00F22610"/>
    <w:rsid w:val="00F22C93"/>
    <w:rsid w:val="00F25D61"/>
    <w:rsid w:val="00F345F8"/>
    <w:rsid w:val="00F36791"/>
    <w:rsid w:val="00F37290"/>
    <w:rsid w:val="00F3771F"/>
    <w:rsid w:val="00F378F9"/>
    <w:rsid w:val="00F46516"/>
    <w:rsid w:val="00F470B6"/>
    <w:rsid w:val="00F47ECB"/>
    <w:rsid w:val="00F47F66"/>
    <w:rsid w:val="00F529CE"/>
    <w:rsid w:val="00F56999"/>
    <w:rsid w:val="00F56F9D"/>
    <w:rsid w:val="00F64B11"/>
    <w:rsid w:val="00F730EA"/>
    <w:rsid w:val="00F7562D"/>
    <w:rsid w:val="00F76E1F"/>
    <w:rsid w:val="00F814B7"/>
    <w:rsid w:val="00F836B1"/>
    <w:rsid w:val="00F85870"/>
    <w:rsid w:val="00F8646E"/>
    <w:rsid w:val="00F91C3B"/>
    <w:rsid w:val="00F91D96"/>
    <w:rsid w:val="00F93636"/>
    <w:rsid w:val="00F95ABE"/>
    <w:rsid w:val="00F97747"/>
    <w:rsid w:val="00FA0AC9"/>
    <w:rsid w:val="00FA5185"/>
    <w:rsid w:val="00FA6643"/>
    <w:rsid w:val="00FB02DB"/>
    <w:rsid w:val="00FB0A30"/>
    <w:rsid w:val="00FB145F"/>
    <w:rsid w:val="00FB360F"/>
    <w:rsid w:val="00FC164E"/>
    <w:rsid w:val="00FD2B2F"/>
    <w:rsid w:val="00FE02CA"/>
    <w:rsid w:val="00FE66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6F81A2A0"/>
  <w15:chartTrackingRefBased/>
  <w15:docId w15:val="{5D163FE8-A4A9-4265-BAAD-D5177C4E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913"/>
    <w:pPr>
      <w:widowControl w:val="0"/>
      <w:spacing w:before="120"/>
      <w:jc w:val="both"/>
    </w:pPr>
    <w:rPr>
      <w:rFonts w:ascii="Arial" w:hAnsi="Arial"/>
      <w:szCs w:val="22"/>
    </w:rPr>
  </w:style>
  <w:style w:type="paragraph" w:styleId="Ttulo1">
    <w:name w:val="heading 1"/>
    <w:basedOn w:val="Normal"/>
    <w:next w:val="Normal"/>
    <w:link w:val="Ttulo1Car"/>
    <w:qFormat/>
    <w:rsid w:val="000E0159"/>
    <w:pPr>
      <w:keepNext/>
      <w:pageBreakBefore/>
      <w:numPr>
        <w:numId w:val="1"/>
      </w:numPr>
      <w:tabs>
        <w:tab w:val="left" w:pos="0"/>
      </w:tabs>
      <w:spacing w:before="0" w:after="60"/>
      <w:jc w:val="left"/>
      <w:outlineLvl w:val="0"/>
    </w:pPr>
    <w:rPr>
      <w:rFonts w:ascii="Arial Black" w:hAnsi="Arial Black" w:cs="Arial"/>
      <w:b/>
      <w:bCs/>
      <w:smallCaps/>
      <w:kern w:val="32"/>
      <w:sz w:val="40"/>
      <w:szCs w:val="32"/>
    </w:rPr>
  </w:style>
  <w:style w:type="paragraph" w:styleId="Ttulo2">
    <w:name w:val="heading 2"/>
    <w:basedOn w:val="Normal"/>
    <w:next w:val="Normal"/>
    <w:link w:val="Ttulo2Car"/>
    <w:qFormat/>
    <w:rsid w:val="0060067C"/>
    <w:pPr>
      <w:keepNext/>
      <w:numPr>
        <w:ilvl w:val="1"/>
        <w:numId w:val="1"/>
      </w:numPr>
      <w:tabs>
        <w:tab w:val="left" w:pos="0"/>
      </w:tabs>
      <w:spacing w:before="240" w:after="60"/>
      <w:jc w:val="left"/>
      <w:outlineLvl w:val="1"/>
    </w:pPr>
    <w:rPr>
      <w:rFonts w:cs="Arial"/>
      <w:b/>
      <w:bCs/>
      <w:iCs/>
      <w:sz w:val="36"/>
      <w:szCs w:val="28"/>
    </w:rPr>
  </w:style>
  <w:style w:type="paragraph" w:styleId="Ttulo3">
    <w:name w:val="heading 3"/>
    <w:basedOn w:val="Normal"/>
    <w:next w:val="Normal"/>
    <w:link w:val="Ttulo3Car"/>
    <w:qFormat/>
    <w:rsid w:val="0060067C"/>
    <w:pPr>
      <w:keepNext/>
      <w:numPr>
        <w:ilvl w:val="2"/>
        <w:numId w:val="1"/>
      </w:numPr>
      <w:tabs>
        <w:tab w:val="left" w:pos="0"/>
      </w:tabs>
      <w:spacing w:before="240" w:after="60"/>
      <w:jc w:val="left"/>
      <w:outlineLvl w:val="2"/>
    </w:pPr>
    <w:rPr>
      <w:rFonts w:cs="Arial"/>
      <w:b/>
      <w:bCs/>
      <w:sz w:val="28"/>
      <w:szCs w:val="26"/>
    </w:rPr>
  </w:style>
  <w:style w:type="paragraph" w:styleId="Ttulo4">
    <w:name w:val="heading 4"/>
    <w:basedOn w:val="Normal"/>
    <w:next w:val="Normal"/>
    <w:link w:val="Ttulo4Car"/>
    <w:qFormat/>
    <w:rsid w:val="00C713FF"/>
    <w:pPr>
      <w:keepNext/>
      <w:widowControl/>
      <w:numPr>
        <w:ilvl w:val="3"/>
        <w:numId w:val="1"/>
      </w:numPr>
      <w:tabs>
        <w:tab w:val="left" w:pos="0"/>
      </w:tabs>
      <w:spacing w:before="240" w:after="60"/>
      <w:jc w:val="left"/>
      <w:outlineLvl w:val="3"/>
    </w:pPr>
    <w:rPr>
      <w:b/>
      <w:bCs/>
      <w:sz w:val="24"/>
      <w:szCs w:val="28"/>
    </w:rPr>
  </w:style>
  <w:style w:type="paragraph" w:styleId="Ttulo5">
    <w:name w:val="heading 5"/>
    <w:basedOn w:val="Normal"/>
    <w:next w:val="Normal"/>
    <w:qFormat/>
    <w:rsid w:val="0060067C"/>
    <w:pPr>
      <w:spacing w:before="240" w:after="60"/>
      <w:jc w:val="left"/>
      <w:outlineLvl w:val="4"/>
    </w:pPr>
    <w:rPr>
      <w:b/>
      <w:bCs/>
      <w:i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alabraclave">
    <w:name w:val="Palabra clave"/>
    <w:rsid w:val="00743024"/>
    <w:rPr>
      <w:b/>
    </w:rPr>
  </w:style>
  <w:style w:type="paragraph" w:customStyle="1" w:styleId="Textotabla">
    <w:name w:val="Texto tabla"/>
    <w:basedOn w:val="Normal"/>
    <w:rsid w:val="00C37103"/>
    <w:pPr>
      <w:jc w:val="left"/>
    </w:pPr>
    <w:rPr>
      <w:sz w:val="16"/>
    </w:rPr>
  </w:style>
  <w:style w:type="paragraph" w:customStyle="1" w:styleId="Titulotabla">
    <w:name w:val="Titulo tabla"/>
    <w:basedOn w:val="Textotabla"/>
    <w:rsid w:val="00C37103"/>
    <w:rPr>
      <w:b/>
    </w:rPr>
  </w:style>
  <w:style w:type="paragraph" w:styleId="Encabezado">
    <w:name w:val="header"/>
    <w:basedOn w:val="Normal"/>
    <w:rsid w:val="00743024"/>
    <w:pPr>
      <w:tabs>
        <w:tab w:val="center" w:pos="4252"/>
        <w:tab w:val="right" w:pos="8504"/>
      </w:tabs>
    </w:pPr>
    <w:rPr>
      <w:sz w:val="16"/>
    </w:rPr>
  </w:style>
  <w:style w:type="paragraph" w:styleId="Piedepgina">
    <w:name w:val="footer"/>
    <w:basedOn w:val="Normal"/>
    <w:link w:val="PiedepginaCar"/>
    <w:uiPriority w:val="99"/>
    <w:rsid w:val="00724C15"/>
    <w:pPr>
      <w:tabs>
        <w:tab w:val="center" w:pos="4252"/>
        <w:tab w:val="right" w:pos="8504"/>
      </w:tabs>
    </w:pPr>
    <w:rPr>
      <w:sz w:val="14"/>
    </w:rPr>
  </w:style>
  <w:style w:type="paragraph" w:styleId="Textonotapie">
    <w:name w:val="footnote text"/>
    <w:basedOn w:val="Normal"/>
    <w:link w:val="TextonotapieCar"/>
    <w:autoRedefine/>
    <w:semiHidden/>
    <w:rsid w:val="00D141D2"/>
    <w:pPr>
      <w:widowControl/>
      <w:spacing w:before="0"/>
    </w:pPr>
    <w:rPr>
      <w:sz w:val="12"/>
      <w:szCs w:val="20"/>
    </w:rPr>
  </w:style>
  <w:style w:type="numbering" w:customStyle="1" w:styleId="EstiloConvietas">
    <w:name w:val="Estilo Con viñetas"/>
    <w:basedOn w:val="Sinlista"/>
    <w:rsid w:val="00A94ACB"/>
    <w:pPr>
      <w:numPr>
        <w:numId w:val="2"/>
      </w:numPr>
    </w:pPr>
  </w:style>
  <w:style w:type="paragraph" w:styleId="TDC1">
    <w:name w:val="toc 1"/>
    <w:basedOn w:val="Normal"/>
    <w:next w:val="Normal"/>
    <w:uiPriority w:val="39"/>
    <w:rsid w:val="002F3623"/>
    <w:pPr>
      <w:tabs>
        <w:tab w:val="left" w:pos="340"/>
        <w:tab w:val="right" w:pos="8505"/>
      </w:tabs>
    </w:pPr>
    <w:rPr>
      <w:rFonts w:ascii="Arial Black" w:hAnsi="Arial Black"/>
      <w:smallCaps/>
      <w:sz w:val="22"/>
    </w:rPr>
  </w:style>
  <w:style w:type="paragraph" w:styleId="TDC2">
    <w:name w:val="toc 2"/>
    <w:basedOn w:val="Normal"/>
    <w:next w:val="Normal"/>
    <w:uiPriority w:val="39"/>
    <w:rsid w:val="002F3623"/>
    <w:pPr>
      <w:tabs>
        <w:tab w:val="left" w:pos="771"/>
        <w:tab w:val="right" w:pos="8505"/>
      </w:tabs>
      <w:ind w:left="340"/>
    </w:pPr>
    <w:rPr>
      <w:b/>
    </w:rPr>
  </w:style>
  <w:style w:type="paragraph" w:styleId="TDC3">
    <w:name w:val="toc 3"/>
    <w:basedOn w:val="Normal"/>
    <w:next w:val="Normal"/>
    <w:uiPriority w:val="39"/>
    <w:rsid w:val="002F3623"/>
    <w:pPr>
      <w:tabs>
        <w:tab w:val="left" w:pos="1213"/>
        <w:tab w:val="right" w:pos="8505"/>
      </w:tabs>
      <w:ind w:left="771"/>
    </w:pPr>
    <w:rPr>
      <w:sz w:val="16"/>
    </w:rPr>
  </w:style>
  <w:style w:type="character" w:styleId="Hipervnculo">
    <w:name w:val="Hyperlink"/>
    <w:uiPriority w:val="99"/>
    <w:rsid w:val="001336C3"/>
    <w:rPr>
      <w:color w:val="0000FF"/>
      <w:u w:val="single"/>
    </w:rPr>
  </w:style>
  <w:style w:type="paragraph" w:customStyle="1" w:styleId="InformacinAclaracin">
    <w:name w:val="Información / Aclaración"/>
    <w:basedOn w:val="Normal"/>
    <w:rsid w:val="00F20C10"/>
    <w:pPr>
      <w:ind w:left="-794"/>
    </w:pPr>
    <w:rPr>
      <w:vanish/>
      <w:color w:val="3366FF"/>
    </w:rPr>
  </w:style>
  <w:style w:type="table" w:styleId="Tablacontema">
    <w:name w:val="Table Theme"/>
    <w:basedOn w:val="Tablanormal"/>
    <w:rsid w:val="00906F14"/>
    <w:pPr>
      <w:widowControl w:val="0"/>
      <w:tabs>
        <w:tab w:val="left" w:pos="284"/>
        <w:tab w:val="left" w:pos="567"/>
        <w:tab w:val="left" w:pos="851"/>
      </w:tabs>
      <w:spacing w:before="120"/>
    </w:pPr>
    <w:rPr>
      <w:rFonts w:ascii="Arial" w:hAnsi="Arial"/>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style>
  <w:style w:type="table" w:customStyle="1" w:styleId="Tablaautor">
    <w:name w:val="Tabla autor"/>
    <w:basedOn w:val="Tablanormal"/>
    <w:rsid w:val="00801834"/>
    <w:rPr>
      <w:rFonts w:ascii="Arial" w:hAnsi="Arial"/>
    </w:rPr>
    <w:tblPr>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val="0"/>
        <w:sz w:val="20"/>
      </w:rPr>
    </w:tblStylePr>
    <w:tblStylePr w:type="firstCol">
      <w:rPr>
        <w:b/>
      </w:rPr>
      <w:tblPr/>
      <w:tcPr>
        <w:shd w:val="clear" w:color="auto" w:fill="E6E6E6"/>
      </w:tcPr>
    </w:tblStylePr>
    <w:tblStylePr w:type="nwCell">
      <w:rPr>
        <w:b/>
      </w:rPr>
    </w:tblStylePr>
  </w:style>
  <w:style w:type="table" w:customStyle="1" w:styleId="Tablaficha">
    <w:name w:val="Tabla ficha"/>
    <w:basedOn w:val="Tablanormal"/>
    <w:rsid w:val="00AB2823"/>
    <w:rPr>
      <w:rFonts w:ascii="Arial" w:hAnsi="Arial"/>
      <w:sz w:val="16"/>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C0C0C0"/>
      </w:tcPr>
    </w:tblStylePr>
    <w:tblStylePr w:type="firstCol">
      <w:rPr>
        <w:b/>
      </w:rPr>
      <w:tblPr/>
      <w:tcPr>
        <w:shd w:val="clear" w:color="auto" w:fill="F3F3F3"/>
      </w:tcPr>
    </w:tblStylePr>
  </w:style>
  <w:style w:type="paragraph" w:customStyle="1" w:styleId="Cdigo">
    <w:name w:val="Código"/>
    <w:basedOn w:val="Normal"/>
    <w:rsid w:val="00542299"/>
    <w:pPr>
      <w:shd w:val="clear" w:color="auto" w:fill="E0E0E0"/>
      <w:spacing w:before="0"/>
      <w:ind w:firstLine="567"/>
      <w:jc w:val="left"/>
    </w:pPr>
    <w:rPr>
      <w:rFonts w:ascii="Courier New" w:hAnsi="Courier New"/>
      <w:noProof/>
      <w:sz w:val="16"/>
    </w:rPr>
  </w:style>
  <w:style w:type="paragraph" w:customStyle="1" w:styleId="Proyecto">
    <w:name w:val="Proyecto"/>
    <w:basedOn w:val="Normal"/>
    <w:next w:val="Normal"/>
    <w:rsid w:val="00F20C10"/>
    <w:pPr>
      <w:ind w:left="-794"/>
      <w:jc w:val="right"/>
    </w:pPr>
    <w:rPr>
      <w:rFonts w:ascii="Arial Black" w:hAnsi="Arial Black"/>
      <w:b/>
      <w:sz w:val="52"/>
    </w:rPr>
  </w:style>
  <w:style w:type="paragraph" w:customStyle="1" w:styleId="Lnea">
    <w:name w:val="Línea"/>
    <w:basedOn w:val="Normal"/>
    <w:next w:val="Normal"/>
    <w:rsid w:val="00F20C10"/>
    <w:pPr>
      <w:pBdr>
        <w:bottom w:val="single" w:sz="6" w:space="1" w:color="auto"/>
      </w:pBdr>
      <w:ind w:left="-794"/>
    </w:pPr>
    <w:rPr>
      <w:szCs w:val="20"/>
    </w:rPr>
  </w:style>
  <w:style w:type="paragraph" w:customStyle="1" w:styleId="Gesprona">
    <w:name w:val="Gesprona"/>
    <w:basedOn w:val="Normal"/>
    <w:rsid w:val="00542299"/>
    <w:pPr>
      <w:jc w:val="right"/>
    </w:pPr>
    <w:rPr>
      <w:b/>
      <w:color w:val="3366FF"/>
    </w:rPr>
  </w:style>
  <w:style w:type="paragraph" w:customStyle="1" w:styleId="Entregable">
    <w:name w:val="Entregable"/>
    <w:basedOn w:val="Normal"/>
    <w:rsid w:val="00F20C10"/>
    <w:pPr>
      <w:ind w:left="-794"/>
      <w:jc w:val="right"/>
    </w:pPr>
    <w:rPr>
      <w:rFonts w:ascii="Arial Black" w:hAnsi="Arial Black"/>
      <w:sz w:val="36"/>
    </w:rPr>
  </w:style>
  <w:style w:type="paragraph" w:customStyle="1" w:styleId="Versin">
    <w:name w:val="Versión"/>
    <w:basedOn w:val="Normal"/>
    <w:next w:val="Normal"/>
    <w:rsid w:val="005C5AC7"/>
    <w:pPr>
      <w:spacing w:before="360"/>
      <w:jc w:val="right"/>
    </w:pPr>
    <w:rPr>
      <w:b/>
      <w:sz w:val="28"/>
    </w:rPr>
  </w:style>
  <w:style w:type="paragraph" w:customStyle="1" w:styleId="Controldecambios">
    <w:name w:val="Control de cambios"/>
    <w:basedOn w:val="Normal"/>
    <w:next w:val="Normal"/>
    <w:rsid w:val="000D1DD5"/>
    <w:pPr>
      <w:pageBreakBefore/>
      <w:spacing w:after="120"/>
      <w:ind w:left="-794"/>
    </w:pPr>
    <w:rPr>
      <w:b/>
      <w:sz w:val="32"/>
    </w:rPr>
  </w:style>
  <w:style w:type="paragraph" w:customStyle="1" w:styleId="Revisiones">
    <w:name w:val="Revisiones"/>
    <w:basedOn w:val="Normal"/>
    <w:next w:val="Normal"/>
    <w:rsid w:val="000D1DD5"/>
    <w:pPr>
      <w:spacing w:before="480" w:after="120"/>
      <w:ind w:left="-794"/>
    </w:pPr>
    <w:rPr>
      <w:b/>
      <w:sz w:val="32"/>
    </w:rPr>
  </w:style>
  <w:style w:type="character" w:styleId="Nmerodepgina">
    <w:name w:val="page number"/>
    <w:rsid w:val="00724C15"/>
    <w:rPr>
      <w:rFonts w:ascii="Arial" w:hAnsi="Arial"/>
      <w:sz w:val="14"/>
    </w:rPr>
  </w:style>
  <w:style w:type="character" w:customStyle="1" w:styleId="Pendientedecompletar">
    <w:name w:val="Pendiente de completar"/>
    <w:rsid w:val="00743024"/>
    <w:rPr>
      <w:rFonts w:ascii="Arial" w:hAnsi="Arial"/>
      <w:dstrike w:val="0"/>
      <w:color w:val="FF0000"/>
      <w:sz w:val="20"/>
      <w:vertAlign w:val="baseline"/>
    </w:rPr>
  </w:style>
  <w:style w:type="paragraph" w:customStyle="1" w:styleId="Indicedecontenidos">
    <w:name w:val="Indice de contenidos"/>
    <w:basedOn w:val="Normal"/>
    <w:next w:val="Normal"/>
    <w:rsid w:val="00A47BED"/>
    <w:pPr>
      <w:pageBreakBefore/>
      <w:pBdr>
        <w:bottom w:val="single" w:sz="6" w:space="1" w:color="auto"/>
      </w:pBdr>
      <w:ind w:left="-794"/>
    </w:pPr>
    <w:rPr>
      <w:b/>
      <w:sz w:val="32"/>
      <w:szCs w:val="20"/>
    </w:rPr>
  </w:style>
  <w:style w:type="paragraph" w:styleId="Mapadeldocumento">
    <w:name w:val="Document Map"/>
    <w:basedOn w:val="Normal"/>
    <w:semiHidden/>
    <w:rsid w:val="00DE6632"/>
    <w:pPr>
      <w:shd w:val="clear" w:color="auto" w:fill="000080"/>
    </w:pPr>
    <w:rPr>
      <w:rFonts w:ascii="Tahoma" w:hAnsi="Tahoma" w:cs="Tahoma"/>
      <w:szCs w:val="20"/>
    </w:rPr>
  </w:style>
  <w:style w:type="character" w:customStyle="1" w:styleId="Nota">
    <w:name w:val="Nota"/>
    <w:rsid w:val="00DE6632"/>
    <w:rPr>
      <w:b/>
      <w:color w:val="008000"/>
    </w:rPr>
  </w:style>
  <w:style w:type="character" w:customStyle="1" w:styleId="NotaElementoclave">
    <w:name w:val="Nota: Elemento clave"/>
    <w:rsid w:val="00DE6632"/>
    <w:rPr>
      <w:b/>
      <w:bCs/>
      <w:i/>
      <w:iCs/>
      <w:color w:val="008000"/>
    </w:rPr>
  </w:style>
  <w:style w:type="character" w:customStyle="1" w:styleId="Elementoclave">
    <w:name w:val="Elemento clave"/>
    <w:rsid w:val="00702C5F"/>
    <w:rPr>
      <w:i/>
    </w:rPr>
  </w:style>
  <w:style w:type="character" w:styleId="Textoennegrita">
    <w:name w:val="Strong"/>
    <w:qFormat/>
    <w:rsid w:val="00DE6632"/>
    <w:rPr>
      <w:b/>
      <w:bCs/>
    </w:rPr>
  </w:style>
  <w:style w:type="character" w:styleId="nfasis">
    <w:name w:val="Emphasis"/>
    <w:qFormat/>
    <w:rsid w:val="00702C5F"/>
    <w:rPr>
      <w:i/>
      <w:iCs/>
    </w:rPr>
  </w:style>
  <w:style w:type="paragraph" w:styleId="Textodeglobo">
    <w:name w:val="Balloon Text"/>
    <w:basedOn w:val="Normal"/>
    <w:link w:val="TextodegloboCar"/>
    <w:rsid w:val="0018156E"/>
    <w:pPr>
      <w:spacing w:before="0"/>
    </w:pPr>
    <w:rPr>
      <w:rFonts w:ascii="Tahoma" w:hAnsi="Tahoma"/>
      <w:sz w:val="16"/>
      <w:szCs w:val="16"/>
      <w:lang w:val="x-none" w:eastAsia="x-none"/>
    </w:rPr>
  </w:style>
  <w:style w:type="character" w:customStyle="1" w:styleId="TextodegloboCar">
    <w:name w:val="Texto de globo Car"/>
    <w:link w:val="Textodeglobo"/>
    <w:rsid w:val="0018156E"/>
    <w:rPr>
      <w:rFonts w:ascii="Tahoma" w:hAnsi="Tahoma" w:cs="Tahoma"/>
      <w:sz w:val="16"/>
      <w:szCs w:val="16"/>
    </w:rPr>
  </w:style>
  <w:style w:type="paragraph" w:customStyle="1" w:styleId="Vietas">
    <w:name w:val="·Viñetas·"/>
    <w:basedOn w:val="Normal"/>
    <w:link w:val="VietasCar"/>
    <w:qFormat/>
    <w:rsid w:val="00961519"/>
    <w:pPr>
      <w:numPr>
        <w:numId w:val="3"/>
      </w:numPr>
    </w:pPr>
  </w:style>
  <w:style w:type="paragraph" w:styleId="Prrafodelista">
    <w:name w:val="List Paragraph"/>
    <w:basedOn w:val="Normal"/>
    <w:uiPriority w:val="34"/>
    <w:qFormat/>
    <w:rsid w:val="0023554C"/>
    <w:pPr>
      <w:ind w:left="720"/>
      <w:contextualSpacing/>
    </w:pPr>
  </w:style>
  <w:style w:type="character" w:customStyle="1" w:styleId="VietasCar">
    <w:name w:val="·Viñetas· Car"/>
    <w:link w:val="Vietas"/>
    <w:rsid w:val="00961519"/>
    <w:rPr>
      <w:rFonts w:ascii="Arial" w:hAnsi="Arial"/>
      <w:szCs w:val="22"/>
    </w:rPr>
  </w:style>
  <w:style w:type="table" w:styleId="Tablaconcuadrcula">
    <w:name w:val="Table Grid"/>
    <w:basedOn w:val="Tablanormal"/>
    <w:rsid w:val="00041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8632B2"/>
    <w:rPr>
      <w:rFonts w:ascii="Arial" w:hAnsi="Arial"/>
      <w:szCs w:val="22"/>
    </w:rPr>
  </w:style>
  <w:style w:type="character" w:styleId="Refdecomentario">
    <w:name w:val="annotation reference"/>
    <w:rsid w:val="008632B2"/>
    <w:rPr>
      <w:sz w:val="16"/>
      <w:szCs w:val="16"/>
    </w:rPr>
  </w:style>
  <w:style w:type="paragraph" w:styleId="Textocomentario">
    <w:name w:val="annotation text"/>
    <w:basedOn w:val="Normal"/>
    <w:link w:val="TextocomentarioCar"/>
    <w:rsid w:val="008632B2"/>
    <w:rPr>
      <w:szCs w:val="20"/>
    </w:rPr>
  </w:style>
  <w:style w:type="character" w:customStyle="1" w:styleId="TextocomentarioCar">
    <w:name w:val="Texto comentario Car"/>
    <w:link w:val="Textocomentario"/>
    <w:rsid w:val="008632B2"/>
    <w:rPr>
      <w:rFonts w:ascii="Arial" w:hAnsi="Arial"/>
    </w:rPr>
  </w:style>
  <w:style w:type="paragraph" w:styleId="Asuntodelcomentario">
    <w:name w:val="annotation subject"/>
    <w:basedOn w:val="Textocomentario"/>
    <w:next w:val="Textocomentario"/>
    <w:link w:val="AsuntodelcomentarioCar"/>
    <w:rsid w:val="008632B2"/>
    <w:rPr>
      <w:b/>
      <w:bCs/>
    </w:rPr>
  </w:style>
  <w:style w:type="character" w:customStyle="1" w:styleId="AsuntodelcomentarioCar">
    <w:name w:val="Asunto del comentario Car"/>
    <w:link w:val="Asuntodelcomentario"/>
    <w:rsid w:val="008632B2"/>
    <w:rPr>
      <w:rFonts w:ascii="Arial" w:hAnsi="Arial"/>
      <w:b/>
      <w:bCs/>
    </w:rPr>
  </w:style>
  <w:style w:type="character" w:styleId="Refdenotaalpie">
    <w:name w:val="footnote reference"/>
    <w:semiHidden/>
    <w:rsid w:val="008C08B7"/>
    <w:rPr>
      <w:vertAlign w:val="superscript"/>
    </w:rPr>
  </w:style>
  <w:style w:type="character" w:styleId="Hipervnculovisitado">
    <w:name w:val="FollowedHyperlink"/>
    <w:semiHidden/>
    <w:unhideWhenUsed/>
    <w:rsid w:val="003116E3"/>
    <w:rPr>
      <w:color w:val="800080"/>
      <w:u w:val="single"/>
    </w:rPr>
  </w:style>
  <w:style w:type="character" w:customStyle="1" w:styleId="Ttulo2Car">
    <w:name w:val="Título 2 Car"/>
    <w:link w:val="Ttulo2"/>
    <w:rsid w:val="007617FD"/>
    <w:rPr>
      <w:rFonts w:ascii="Arial" w:hAnsi="Arial" w:cs="Arial"/>
      <w:b/>
      <w:bCs/>
      <w:iCs/>
      <w:sz w:val="36"/>
      <w:szCs w:val="28"/>
    </w:rPr>
  </w:style>
  <w:style w:type="character" w:customStyle="1" w:styleId="Ttulo1Car">
    <w:name w:val="Título 1 Car"/>
    <w:link w:val="Ttulo1"/>
    <w:rsid w:val="00D25344"/>
    <w:rPr>
      <w:rFonts w:ascii="Arial Black" w:hAnsi="Arial Black" w:cs="Arial"/>
      <w:b/>
      <w:bCs/>
      <w:smallCaps/>
      <w:kern w:val="32"/>
      <w:sz w:val="40"/>
      <w:szCs w:val="32"/>
    </w:rPr>
  </w:style>
  <w:style w:type="character" w:customStyle="1" w:styleId="Ttulo3Car">
    <w:name w:val="Título 3 Car"/>
    <w:link w:val="Ttulo3"/>
    <w:rsid w:val="00D25344"/>
    <w:rPr>
      <w:rFonts w:ascii="Arial" w:hAnsi="Arial" w:cs="Arial"/>
      <w:b/>
      <w:bCs/>
      <w:sz w:val="28"/>
      <w:szCs w:val="26"/>
    </w:rPr>
  </w:style>
  <w:style w:type="character" w:customStyle="1" w:styleId="Ttulo4Car">
    <w:name w:val="Título 4 Car"/>
    <w:link w:val="Ttulo4"/>
    <w:uiPriority w:val="1"/>
    <w:rsid w:val="0014712D"/>
    <w:rPr>
      <w:rFonts w:ascii="Arial" w:hAnsi="Arial"/>
      <w:b/>
      <w:bCs/>
      <w:sz w:val="24"/>
      <w:szCs w:val="28"/>
    </w:rPr>
  </w:style>
  <w:style w:type="character" w:customStyle="1" w:styleId="TextonotapieCar">
    <w:name w:val="Texto nota pie Car"/>
    <w:link w:val="Textonotapie"/>
    <w:semiHidden/>
    <w:rsid w:val="0014712D"/>
    <w:rPr>
      <w:rFonts w:ascii="Arial" w:hAnsi="Arial"/>
      <w:sz w:val="12"/>
    </w:rPr>
  </w:style>
  <w:style w:type="character" w:customStyle="1" w:styleId="estadoencursoborde1">
    <w:name w:val="estado_en_curso_borde1"/>
    <w:basedOn w:val="Fuentedeprrafopredeter"/>
    <w:rsid w:val="00253427"/>
  </w:style>
  <w:style w:type="paragraph" w:customStyle="1" w:styleId="resolucion">
    <w:name w:val="resolucion"/>
    <w:basedOn w:val="Normal"/>
    <w:rsid w:val="005942F4"/>
    <w:pPr>
      <w:widowControl/>
      <w:spacing w:before="0" w:after="240" w:line="360" w:lineRule="atLeast"/>
      <w:ind w:firstLine="709"/>
    </w:pPr>
    <w:rPr>
      <w:rFonts w:eastAsia="Calibri" w:cs="Arial"/>
      <w:sz w:val="22"/>
    </w:rPr>
  </w:style>
  <w:style w:type="character" w:customStyle="1" w:styleId="PiedepginaCar">
    <w:name w:val="Pie de página Car"/>
    <w:link w:val="Piedepgina"/>
    <w:uiPriority w:val="99"/>
    <w:rsid w:val="00E849DE"/>
    <w:rPr>
      <w:rFonts w:ascii="Arial" w:hAnsi="Arial"/>
      <w:sz w:val="1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1110">
      <w:bodyDiv w:val="1"/>
      <w:marLeft w:val="0"/>
      <w:marRight w:val="0"/>
      <w:marTop w:val="0"/>
      <w:marBottom w:val="0"/>
      <w:divBdr>
        <w:top w:val="none" w:sz="0" w:space="0" w:color="auto"/>
        <w:left w:val="none" w:sz="0" w:space="0" w:color="auto"/>
        <w:bottom w:val="none" w:sz="0" w:space="0" w:color="auto"/>
        <w:right w:val="none" w:sz="0" w:space="0" w:color="auto"/>
      </w:divBdr>
    </w:div>
    <w:div w:id="162017072">
      <w:bodyDiv w:val="1"/>
      <w:marLeft w:val="0"/>
      <w:marRight w:val="0"/>
      <w:marTop w:val="0"/>
      <w:marBottom w:val="0"/>
      <w:divBdr>
        <w:top w:val="none" w:sz="0" w:space="0" w:color="auto"/>
        <w:left w:val="none" w:sz="0" w:space="0" w:color="auto"/>
        <w:bottom w:val="none" w:sz="0" w:space="0" w:color="auto"/>
        <w:right w:val="none" w:sz="0" w:space="0" w:color="auto"/>
      </w:divBdr>
    </w:div>
    <w:div w:id="235282414">
      <w:bodyDiv w:val="1"/>
      <w:marLeft w:val="0"/>
      <w:marRight w:val="0"/>
      <w:marTop w:val="0"/>
      <w:marBottom w:val="0"/>
      <w:divBdr>
        <w:top w:val="none" w:sz="0" w:space="0" w:color="auto"/>
        <w:left w:val="none" w:sz="0" w:space="0" w:color="auto"/>
        <w:bottom w:val="none" w:sz="0" w:space="0" w:color="auto"/>
        <w:right w:val="none" w:sz="0" w:space="0" w:color="auto"/>
      </w:divBdr>
    </w:div>
    <w:div w:id="432819001">
      <w:bodyDiv w:val="1"/>
      <w:marLeft w:val="0"/>
      <w:marRight w:val="0"/>
      <w:marTop w:val="0"/>
      <w:marBottom w:val="0"/>
      <w:divBdr>
        <w:top w:val="none" w:sz="0" w:space="0" w:color="auto"/>
        <w:left w:val="none" w:sz="0" w:space="0" w:color="auto"/>
        <w:bottom w:val="none" w:sz="0" w:space="0" w:color="auto"/>
        <w:right w:val="none" w:sz="0" w:space="0" w:color="auto"/>
      </w:divBdr>
    </w:div>
    <w:div w:id="449280930">
      <w:bodyDiv w:val="1"/>
      <w:marLeft w:val="0"/>
      <w:marRight w:val="0"/>
      <w:marTop w:val="0"/>
      <w:marBottom w:val="0"/>
      <w:divBdr>
        <w:top w:val="none" w:sz="0" w:space="0" w:color="auto"/>
        <w:left w:val="none" w:sz="0" w:space="0" w:color="auto"/>
        <w:bottom w:val="none" w:sz="0" w:space="0" w:color="auto"/>
        <w:right w:val="none" w:sz="0" w:space="0" w:color="auto"/>
      </w:divBdr>
    </w:div>
    <w:div w:id="470488260">
      <w:bodyDiv w:val="1"/>
      <w:marLeft w:val="0"/>
      <w:marRight w:val="0"/>
      <w:marTop w:val="0"/>
      <w:marBottom w:val="0"/>
      <w:divBdr>
        <w:top w:val="none" w:sz="0" w:space="0" w:color="auto"/>
        <w:left w:val="none" w:sz="0" w:space="0" w:color="auto"/>
        <w:bottom w:val="none" w:sz="0" w:space="0" w:color="auto"/>
        <w:right w:val="none" w:sz="0" w:space="0" w:color="auto"/>
      </w:divBdr>
    </w:div>
    <w:div w:id="500395410">
      <w:bodyDiv w:val="1"/>
      <w:marLeft w:val="0"/>
      <w:marRight w:val="0"/>
      <w:marTop w:val="0"/>
      <w:marBottom w:val="0"/>
      <w:divBdr>
        <w:top w:val="none" w:sz="0" w:space="0" w:color="auto"/>
        <w:left w:val="none" w:sz="0" w:space="0" w:color="auto"/>
        <w:bottom w:val="none" w:sz="0" w:space="0" w:color="auto"/>
        <w:right w:val="none" w:sz="0" w:space="0" w:color="auto"/>
      </w:divBdr>
    </w:div>
    <w:div w:id="528614504">
      <w:bodyDiv w:val="1"/>
      <w:marLeft w:val="0"/>
      <w:marRight w:val="0"/>
      <w:marTop w:val="0"/>
      <w:marBottom w:val="0"/>
      <w:divBdr>
        <w:top w:val="none" w:sz="0" w:space="0" w:color="auto"/>
        <w:left w:val="none" w:sz="0" w:space="0" w:color="auto"/>
        <w:bottom w:val="none" w:sz="0" w:space="0" w:color="auto"/>
        <w:right w:val="none" w:sz="0" w:space="0" w:color="auto"/>
      </w:divBdr>
    </w:div>
    <w:div w:id="709303210">
      <w:bodyDiv w:val="1"/>
      <w:marLeft w:val="0"/>
      <w:marRight w:val="0"/>
      <w:marTop w:val="0"/>
      <w:marBottom w:val="0"/>
      <w:divBdr>
        <w:top w:val="none" w:sz="0" w:space="0" w:color="auto"/>
        <w:left w:val="none" w:sz="0" w:space="0" w:color="auto"/>
        <w:bottom w:val="none" w:sz="0" w:space="0" w:color="auto"/>
        <w:right w:val="none" w:sz="0" w:space="0" w:color="auto"/>
      </w:divBdr>
    </w:div>
    <w:div w:id="746803934">
      <w:bodyDiv w:val="1"/>
      <w:marLeft w:val="0"/>
      <w:marRight w:val="0"/>
      <w:marTop w:val="0"/>
      <w:marBottom w:val="0"/>
      <w:divBdr>
        <w:top w:val="none" w:sz="0" w:space="0" w:color="auto"/>
        <w:left w:val="none" w:sz="0" w:space="0" w:color="auto"/>
        <w:bottom w:val="none" w:sz="0" w:space="0" w:color="auto"/>
        <w:right w:val="none" w:sz="0" w:space="0" w:color="auto"/>
      </w:divBdr>
    </w:div>
    <w:div w:id="751317377">
      <w:bodyDiv w:val="1"/>
      <w:marLeft w:val="0"/>
      <w:marRight w:val="0"/>
      <w:marTop w:val="0"/>
      <w:marBottom w:val="0"/>
      <w:divBdr>
        <w:top w:val="none" w:sz="0" w:space="0" w:color="auto"/>
        <w:left w:val="none" w:sz="0" w:space="0" w:color="auto"/>
        <w:bottom w:val="none" w:sz="0" w:space="0" w:color="auto"/>
        <w:right w:val="none" w:sz="0" w:space="0" w:color="auto"/>
      </w:divBdr>
    </w:div>
    <w:div w:id="1138645930">
      <w:bodyDiv w:val="1"/>
      <w:marLeft w:val="0"/>
      <w:marRight w:val="0"/>
      <w:marTop w:val="0"/>
      <w:marBottom w:val="0"/>
      <w:divBdr>
        <w:top w:val="none" w:sz="0" w:space="0" w:color="auto"/>
        <w:left w:val="none" w:sz="0" w:space="0" w:color="auto"/>
        <w:bottom w:val="none" w:sz="0" w:space="0" w:color="auto"/>
        <w:right w:val="none" w:sz="0" w:space="0" w:color="auto"/>
      </w:divBdr>
    </w:div>
    <w:div w:id="1144391974">
      <w:bodyDiv w:val="1"/>
      <w:marLeft w:val="0"/>
      <w:marRight w:val="0"/>
      <w:marTop w:val="0"/>
      <w:marBottom w:val="0"/>
      <w:divBdr>
        <w:top w:val="none" w:sz="0" w:space="0" w:color="auto"/>
        <w:left w:val="none" w:sz="0" w:space="0" w:color="auto"/>
        <w:bottom w:val="none" w:sz="0" w:space="0" w:color="auto"/>
        <w:right w:val="none" w:sz="0" w:space="0" w:color="auto"/>
      </w:divBdr>
    </w:div>
    <w:div w:id="1189611265">
      <w:bodyDiv w:val="1"/>
      <w:marLeft w:val="0"/>
      <w:marRight w:val="0"/>
      <w:marTop w:val="0"/>
      <w:marBottom w:val="0"/>
      <w:divBdr>
        <w:top w:val="none" w:sz="0" w:space="0" w:color="auto"/>
        <w:left w:val="none" w:sz="0" w:space="0" w:color="auto"/>
        <w:bottom w:val="none" w:sz="0" w:space="0" w:color="auto"/>
        <w:right w:val="none" w:sz="0" w:space="0" w:color="auto"/>
      </w:divBdr>
    </w:div>
    <w:div w:id="1240409008">
      <w:bodyDiv w:val="1"/>
      <w:marLeft w:val="0"/>
      <w:marRight w:val="0"/>
      <w:marTop w:val="0"/>
      <w:marBottom w:val="0"/>
      <w:divBdr>
        <w:top w:val="none" w:sz="0" w:space="0" w:color="auto"/>
        <w:left w:val="none" w:sz="0" w:space="0" w:color="auto"/>
        <w:bottom w:val="none" w:sz="0" w:space="0" w:color="auto"/>
        <w:right w:val="none" w:sz="0" w:space="0" w:color="auto"/>
      </w:divBdr>
    </w:div>
    <w:div w:id="1283808770">
      <w:bodyDiv w:val="1"/>
      <w:marLeft w:val="0"/>
      <w:marRight w:val="0"/>
      <w:marTop w:val="0"/>
      <w:marBottom w:val="0"/>
      <w:divBdr>
        <w:top w:val="none" w:sz="0" w:space="0" w:color="auto"/>
        <w:left w:val="none" w:sz="0" w:space="0" w:color="auto"/>
        <w:bottom w:val="none" w:sz="0" w:space="0" w:color="auto"/>
        <w:right w:val="none" w:sz="0" w:space="0" w:color="auto"/>
      </w:divBdr>
    </w:div>
    <w:div w:id="1531410483">
      <w:bodyDiv w:val="1"/>
      <w:marLeft w:val="0"/>
      <w:marRight w:val="0"/>
      <w:marTop w:val="0"/>
      <w:marBottom w:val="0"/>
      <w:divBdr>
        <w:top w:val="none" w:sz="0" w:space="0" w:color="auto"/>
        <w:left w:val="none" w:sz="0" w:space="0" w:color="auto"/>
        <w:bottom w:val="none" w:sz="0" w:space="0" w:color="auto"/>
        <w:right w:val="none" w:sz="0" w:space="0" w:color="auto"/>
      </w:divBdr>
    </w:div>
    <w:div w:id="1562909116">
      <w:bodyDiv w:val="1"/>
      <w:marLeft w:val="0"/>
      <w:marRight w:val="0"/>
      <w:marTop w:val="0"/>
      <w:marBottom w:val="0"/>
      <w:divBdr>
        <w:top w:val="none" w:sz="0" w:space="0" w:color="auto"/>
        <w:left w:val="none" w:sz="0" w:space="0" w:color="auto"/>
        <w:bottom w:val="none" w:sz="0" w:space="0" w:color="auto"/>
        <w:right w:val="none" w:sz="0" w:space="0" w:color="auto"/>
      </w:divBdr>
    </w:div>
    <w:div w:id="1669210826">
      <w:bodyDiv w:val="1"/>
      <w:marLeft w:val="0"/>
      <w:marRight w:val="0"/>
      <w:marTop w:val="0"/>
      <w:marBottom w:val="0"/>
      <w:divBdr>
        <w:top w:val="none" w:sz="0" w:space="0" w:color="auto"/>
        <w:left w:val="none" w:sz="0" w:space="0" w:color="auto"/>
        <w:bottom w:val="none" w:sz="0" w:space="0" w:color="auto"/>
        <w:right w:val="none" w:sz="0" w:space="0" w:color="auto"/>
      </w:divBdr>
    </w:div>
    <w:div w:id="1707834419">
      <w:bodyDiv w:val="1"/>
      <w:marLeft w:val="0"/>
      <w:marRight w:val="0"/>
      <w:marTop w:val="0"/>
      <w:marBottom w:val="0"/>
      <w:divBdr>
        <w:top w:val="none" w:sz="0" w:space="0" w:color="auto"/>
        <w:left w:val="none" w:sz="0" w:space="0" w:color="auto"/>
        <w:bottom w:val="none" w:sz="0" w:space="0" w:color="auto"/>
        <w:right w:val="none" w:sz="0" w:space="0" w:color="auto"/>
      </w:divBdr>
    </w:div>
    <w:div w:id="1716274408">
      <w:bodyDiv w:val="1"/>
      <w:marLeft w:val="0"/>
      <w:marRight w:val="0"/>
      <w:marTop w:val="0"/>
      <w:marBottom w:val="0"/>
      <w:divBdr>
        <w:top w:val="none" w:sz="0" w:space="0" w:color="auto"/>
        <w:left w:val="none" w:sz="0" w:space="0" w:color="auto"/>
        <w:bottom w:val="none" w:sz="0" w:space="0" w:color="auto"/>
        <w:right w:val="none" w:sz="0" w:space="0" w:color="auto"/>
      </w:divBdr>
    </w:div>
    <w:div w:id="1770732161">
      <w:bodyDiv w:val="1"/>
      <w:marLeft w:val="0"/>
      <w:marRight w:val="0"/>
      <w:marTop w:val="0"/>
      <w:marBottom w:val="0"/>
      <w:divBdr>
        <w:top w:val="none" w:sz="0" w:space="0" w:color="auto"/>
        <w:left w:val="none" w:sz="0" w:space="0" w:color="auto"/>
        <w:bottom w:val="none" w:sz="0" w:space="0" w:color="auto"/>
        <w:right w:val="none" w:sz="0" w:space="0" w:color="auto"/>
      </w:divBdr>
    </w:div>
    <w:div w:id="1871796641">
      <w:bodyDiv w:val="1"/>
      <w:marLeft w:val="0"/>
      <w:marRight w:val="0"/>
      <w:marTop w:val="0"/>
      <w:marBottom w:val="0"/>
      <w:divBdr>
        <w:top w:val="none" w:sz="0" w:space="0" w:color="auto"/>
        <w:left w:val="none" w:sz="0" w:space="0" w:color="auto"/>
        <w:bottom w:val="none" w:sz="0" w:space="0" w:color="auto"/>
        <w:right w:val="none" w:sz="0" w:space="0" w:color="auto"/>
      </w:divBdr>
    </w:div>
    <w:div w:id="1885751210">
      <w:bodyDiv w:val="1"/>
      <w:marLeft w:val="0"/>
      <w:marRight w:val="0"/>
      <w:marTop w:val="0"/>
      <w:marBottom w:val="0"/>
      <w:divBdr>
        <w:top w:val="none" w:sz="0" w:space="0" w:color="auto"/>
        <w:left w:val="none" w:sz="0" w:space="0" w:color="auto"/>
        <w:bottom w:val="none" w:sz="0" w:space="0" w:color="auto"/>
        <w:right w:val="none" w:sz="0" w:space="0" w:color="auto"/>
      </w:divBdr>
    </w:div>
    <w:div w:id="2130857113">
      <w:bodyDiv w:val="1"/>
      <w:marLeft w:val="0"/>
      <w:marRight w:val="0"/>
      <w:marTop w:val="0"/>
      <w:marBottom w:val="0"/>
      <w:divBdr>
        <w:top w:val="none" w:sz="0" w:space="0" w:color="auto"/>
        <w:left w:val="none" w:sz="0" w:space="0" w:color="auto"/>
        <w:bottom w:val="none" w:sz="0" w:space="0" w:color="auto"/>
        <w:right w:val="none" w:sz="0" w:space="0" w:color="auto"/>
      </w:divBdr>
    </w:div>
    <w:div w:id="214573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ccpublica.navarra.es/DGIT/SistemasInformacionGN/default.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Elements xmlns="http://schemas.Philips.com/OBTV.MSOffice.OfficeCommon/dataElements" ver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77C48-57FE-4906-8F04-79320FCC68D9}">
  <ds:schemaRefs>
    <ds:schemaRef ds:uri="http://schemas.Philips.com/OBTV.MSOffice.OfficeCommon/dataElements"/>
  </ds:schemaRefs>
</ds:datastoreItem>
</file>

<file path=customXml/itemProps2.xml><?xml version="1.0" encoding="utf-8"?>
<ds:datastoreItem xmlns:ds="http://schemas.openxmlformats.org/officeDocument/2006/customXml" ds:itemID="{4C9C3822-2FC5-41BF-9546-64E66D4A5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3057</Words>
  <Characters>18088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Título del proyecto</vt:lpstr>
    </vt:vector>
  </TitlesOfParts>
  <Company>Gobierno de Navarra</Company>
  <LinksUpToDate>false</LinksUpToDate>
  <CharactersWithSpaces>21103</CharactersWithSpaces>
  <SharedDoc>false</SharedDoc>
  <HLinks>
    <vt:vector size="30" baseType="variant">
      <vt:variant>
        <vt:i4>1114166</vt:i4>
      </vt:variant>
      <vt:variant>
        <vt:i4>26</vt:i4>
      </vt:variant>
      <vt:variant>
        <vt:i4>0</vt:i4>
      </vt:variant>
      <vt:variant>
        <vt:i4>5</vt:i4>
      </vt:variant>
      <vt:variant>
        <vt:lpwstr/>
      </vt:variant>
      <vt:variant>
        <vt:lpwstr>_Toc117010173</vt:lpwstr>
      </vt:variant>
      <vt:variant>
        <vt:i4>1114166</vt:i4>
      </vt:variant>
      <vt:variant>
        <vt:i4>20</vt:i4>
      </vt:variant>
      <vt:variant>
        <vt:i4>0</vt:i4>
      </vt:variant>
      <vt:variant>
        <vt:i4>5</vt:i4>
      </vt:variant>
      <vt:variant>
        <vt:lpwstr/>
      </vt:variant>
      <vt:variant>
        <vt:lpwstr>_Toc117010172</vt:lpwstr>
      </vt:variant>
      <vt:variant>
        <vt:i4>1114166</vt:i4>
      </vt:variant>
      <vt:variant>
        <vt:i4>14</vt:i4>
      </vt:variant>
      <vt:variant>
        <vt:i4>0</vt:i4>
      </vt:variant>
      <vt:variant>
        <vt:i4>5</vt:i4>
      </vt:variant>
      <vt:variant>
        <vt:lpwstr/>
      </vt:variant>
      <vt:variant>
        <vt:lpwstr>_Toc117010171</vt:lpwstr>
      </vt:variant>
      <vt:variant>
        <vt:i4>1114166</vt:i4>
      </vt:variant>
      <vt:variant>
        <vt:i4>8</vt:i4>
      </vt:variant>
      <vt:variant>
        <vt:i4>0</vt:i4>
      </vt:variant>
      <vt:variant>
        <vt:i4>5</vt:i4>
      </vt:variant>
      <vt:variant>
        <vt:lpwstr/>
      </vt:variant>
      <vt:variant>
        <vt:lpwstr>_Toc117010170</vt:lpwstr>
      </vt:variant>
      <vt:variant>
        <vt:i4>1048630</vt:i4>
      </vt:variant>
      <vt:variant>
        <vt:i4>2</vt:i4>
      </vt:variant>
      <vt:variant>
        <vt:i4>0</vt:i4>
      </vt:variant>
      <vt:variant>
        <vt:i4>5</vt:i4>
      </vt:variant>
      <vt:variant>
        <vt:lpwstr/>
      </vt:variant>
      <vt:variant>
        <vt:lpwstr>_Toc117010169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proyecto</dc:title>
  <dc:subject/>
  <dc:creator>Sánchez-Guardamino Lasheras, Teresa (Conasa-Departam</dc:creator>
  <cp:keywords/>
  <cp:lastModifiedBy>x076248</cp:lastModifiedBy>
  <cp:revision>16</cp:revision>
  <cp:lastPrinted>2016-05-02T07:03:00Z</cp:lastPrinted>
  <dcterms:created xsi:type="dcterms:W3CDTF">2022-10-18T16:31:00Z</dcterms:created>
  <dcterms:modified xsi:type="dcterms:W3CDTF">2023-02-09T11:37:00Z</dcterms:modified>
</cp:coreProperties>
</file>