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86" w:rsidRDefault="00105E86" w:rsidP="00105E86">
      <w:r>
        <w:t>“</w:t>
      </w:r>
      <w:r>
        <w:rPr>
          <w:u w:val="single"/>
        </w:rPr>
        <w:t>Aclaración al  punto “O” del pliego de condiciones particulares del contrato</w:t>
      </w:r>
      <w:r>
        <w:t>:</w:t>
      </w:r>
    </w:p>
    <w:p w:rsidR="00105E86" w:rsidRDefault="00105E86" w:rsidP="00105E86">
      <w:r>
        <w:t xml:space="preserve">En relación a la posibilidad de subcontratación </w:t>
      </w:r>
      <w:r>
        <w:rPr>
          <w:b/>
          <w:bCs/>
        </w:rPr>
        <w:t>no  existe límite de subcontratación en la fase de licitación</w:t>
      </w:r>
      <w:r>
        <w:t>.  El licitador podrá presentar oferta sin límite de subcontratación.</w:t>
      </w:r>
    </w:p>
    <w:p w:rsidR="00105E86" w:rsidRDefault="00105E86" w:rsidP="00105E86">
      <w:r>
        <w:t>El límite del 20% que se establece es únicamente  tras la formalización del contrato., en fase de ejecución.”</w:t>
      </w:r>
    </w:p>
    <w:p w:rsidR="00105E86" w:rsidRDefault="00105E86" w:rsidP="00105E86"/>
    <w:p w:rsidR="004478C3" w:rsidRDefault="004478C3">
      <w:bookmarkStart w:id="0" w:name="_GoBack"/>
      <w:bookmarkEnd w:id="0"/>
    </w:p>
    <w:sectPr w:rsidR="004478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86"/>
    <w:rsid w:val="00105E86"/>
    <w:rsid w:val="0044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E86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E86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314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jacinto</dc:creator>
  <cp:keywords/>
  <dc:description/>
  <cp:lastModifiedBy>jacinto</cp:lastModifiedBy>
  <cp:revision>1</cp:revision>
  <dcterms:created xsi:type="dcterms:W3CDTF">2022-06-03T07:01:00Z</dcterms:created>
  <dcterms:modified xsi:type="dcterms:W3CDTF">2022-06-03T07:01:00Z</dcterms:modified>
</cp:coreProperties>
</file>