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69A" w:rsidRDefault="0066669A" w:rsidP="0066669A">
      <w:pPr>
        <w:autoSpaceDE w:val="0"/>
        <w:autoSpaceDN w:val="0"/>
        <w:adjustRightInd w:val="0"/>
        <w:spacing w:after="0" w:line="240" w:lineRule="auto"/>
        <w:jc w:val="both"/>
        <w:rPr>
          <w:rFonts w:ascii="Arial" w:hAnsi="Arial" w:cs="Arial"/>
        </w:rPr>
      </w:pPr>
    </w:p>
    <w:p w:rsidR="0066669A" w:rsidRDefault="0066669A" w:rsidP="0066669A">
      <w:pPr>
        <w:autoSpaceDE w:val="0"/>
        <w:autoSpaceDN w:val="0"/>
        <w:adjustRightInd w:val="0"/>
        <w:spacing w:after="0" w:line="240" w:lineRule="auto"/>
        <w:jc w:val="both"/>
        <w:rPr>
          <w:rFonts w:ascii="Arial" w:hAnsi="Arial" w:cs="Arial"/>
        </w:rPr>
      </w:pPr>
    </w:p>
    <w:p w:rsidR="0066669A" w:rsidRDefault="0066669A" w:rsidP="0066669A">
      <w:pPr>
        <w:autoSpaceDE w:val="0"/>
        <w:autoSpaceDN w:val="0"/>
        <w:adjustRightInd w:val="0"/>
        <w:spacing w:after="0" w:line="240" w:lineRule="auto"/>
        <w:jc w:val="both"/>
        <w:rPr>
          <w:rFonts w:ascii="Arial" w:hAnsi="Arial" w:cs="Arial"/>
        </w:rPr>
      </w:pPr>
    </w:p>
    <w:p w:rsidR="0066669A" w:rsidRPr="003964E1" w:rsidRDefault="0066669A" w:rsidP="0066669A">
      <w:pPr>
        <w:autoSpaceDE w:val="0"/>
        <w:autoSpaceDN w:val="0"/>
        <w:adjustRightInd w:val="0"/>
        <w:spacing w:after="0" w:line="240" w:lineRule="auto"/>
        <w:jc w:val="both"/>
        <w:rPr>
          <w:rFonts w:ascii="Arial" w:hAnsi="Arial" w:cs="Arial"/>
          <w:b/>
        </w:rPr>
      </w:pPr>
      <w:r w:rsidRPr="003964E1">
        <w:rPr>
          <w:rFonts w:ascii="Arial" w:hAnsi="Arial" w:cs="Arial"/>
          <w:b/>
        </w:rPr>
        <w:t xml:space="preserve">En cumplimiento de lo dispuesto en el artículo 49 de la Ley Foral 2/2018, de 13 de abril, de Contratos Públicos, se hace pública </w:t>
      </w:r>
      <w:r w:rsidR="00582C54" w:rsidRPr="003964E1">
        <w:rPr>
          <w:rFonts w:ascii="Arial" w:hAnsi="Arial" w:cs="Arial"/>
          <w:b/>
        </w:rPr>
        <w:t>una aclaración</w:t>
      </w:r>
      <w:r w:rsidRPr="003964E1">
        <w:rPr>
          <w:rFonts w:ascii="Arial" w:hAnsi="Arial" w:cs="Arial"/>
          <w:b/>
        </w:rPr>
        <w:t xml:space="preserve"> en relación con el </w:t>
      </w:r>
      <w:r w:rsidR="003964E1" w:rsidRPr="003964E1">
        <w:rPr>
          <w:rFonts w:ascii="Arial" w:hAnsi="Arial" w:cs="Arial"/>
          <w:b/>
        </w:rPr>
        <w:t>“Contrato</w:t>
      </w:r>
      <w:r w:rsidR="0051390B" w:rsidRPr="003964E1">
        <w:rPr>
          <w:rFonts w:ascii="Arial" w:hAnsi="Arial" w:cs="Arial"/>
          <w:b/>
        </w:rPr>
        <w:t xml:space="preserve"> de Servicios para la realización de una auditoría externa sobre el control oficial en material de seguridad alimentaria y de una </w:t>
      </w:r>
      <w:r w:rsidR="003964E1" w:rsidRPr="003964E1">
        <w:rPr>
          <w:rFonts w:ascii="Arial" w:hAnsi="Arial" w:cs="Arial"/>
          <w:b/>
        </w:rPr>
        <w:t>auditoría</w:t>
      </w:r>
      <w:r w:rsidR="0051390B" w:rsidRPr="003964E1">
        <w:rPr>
          <w:rFonts w:ascii="Arial" w:hAnsi="Arial" w:cs="Arial"/>
          <w:b/>
        </w:rPr>
        <w:t xml:space="preserve"> técnica del Laboratorio del ISPLN</w:t>
      </w:r>
      <w:r w:rsidRPr="003964E1">
        <w:rPr>
          <w:rFonts w:ascii="Arial" w:hAnsi="Arial" w:cs="Arial"/>
          <w:b/>
          <w:bCs/>
        </w:rPr>
        <w:t>”</w:t>
      </w:r>
      <w:r w:rsidRPr="003964E1">
        <w:rPr>
          <w:rFonts w:ascii="Arial" w:hAnsi="Arial" w:cs="Arial"/>
          <w:b/>
        </w:rPr>
        <w:t>,</w:t>
      </w:r>
    </w:p>
    <w:p w:rsidR="0066669A" w:rsidRDefault="0066669A" w:rsidP="0066669A">
      <w:pPr>
        <w:autoSpaceDE w:val="0"/>
        <w:autoSpaceDN w:val="0"/>
        <w:adjustRightInd w:val="0"/>
        <w:spacing w:after="0" w:line="240" w:lineRule="auto"/>
        <w:jc w:val="both"/>
        <w:rPr>
          <w:rFonts w:ascii="Arial" w:hAnsi="Arial" w:cs="Arial"/>
        </w:rPr>
      </w:pPr>
    </w:p>
    <w:p w:rsidR="0066669A" w:rsidRDefault="0066669A" w:rsidP="0066669A">
      <w:pPr>
        <w:autoSpaceDE w:val="0"/>
        <w:autoSpaceDN w:val="0"/>
        <w:adjustRightInd w:val="0"/>
        <w:spacing w:after="0" w:line="240" w:lineRule="auto"/>
        <w:jc w:val="both"/>
        <w:rPr>
          <w:rFonts w:ascii="Arial" w:hAnsi="Arial" w:cs="Arial"/>
        </w:rPr>
      </w:pPr>
    </w:p>
    <w:p w:rsidR="00582C54" w:rsidRDefault="00582C54" w:rsidP="0066669A">
      <w:pPr>
        <w:jc w:val="both"/>
        <w:rPr>
          <w:rFonts w:ascii="Arial" w:hAnsi="Arial" w:cs="Arial"/>
          <w:b/>
          <w:bCs/>
        </w:rPr>
      </w:pPr>
      <w:r>
        <w:rPr>
          <w:rFonts w:ascii="Arial" w:hAnsi="Arial" w:cs="Arial"/>
          <w:b/>
          <w:bCs/>
        </w:rPr>
        <w:t>Pregunta:</w:t>
      </w:r>
    </w:p>
    <w:p w:rsidR="0051390B" w:rsidRPr="00FC6744" w:rsidRDefault="0051390B" w:rsidP="0066669A">
      <w:pPr>
        <w:jc w:val="both"/>
        <w:rPr>
          <w:rFonts w:ascii="Arial" w:hAnsi="Arial" w:cs="Arial"/>
          <w:b/>
          <w:bCs/>
        </w:rPr>
      </w:pPr>
      <w:r w:rsidRPr="00FC6744">
        <w:rPr>
          <w:rFonts w:ascii="Arial" w:hAnsi="Arial" w:cs="Arial"/>
          <w:b/>
          <w:bCs/>
        </w:rPr>
        <w:t>La entidad presenta la siguiente consulta:</w:t>
      </w:r>
    </w:p>
    <w:p w:rsidR="0051390B" w:rsidRPr="0051390B" w:rsidRDefault="0051390B" w:rsidP="0066669A">
      <w:pPr>
        <w:jc w:val="both"/>
        <w:rPr>
          <w:rFonts w:ascii="Arial" w:hAnsi="Arial" w:cs="Arial"/>
          <w:bCs/>
        </w:rPr>
      </w:pPr>
      <w:r w:rsidRPr="0051390B">
        <w:rPr>
          <w:rFonts w:ascii="Arial" w:hAnsi="Arial" w:cs="Arial"/>
          <w:bCs/>
        </w:rPr>
        <w:t>Las auditorías internas de la totalidad de las actividades de control oficial relacionadas con la Seguridad alimentaria, se definen a través del establecimiento del ciclo del programa de auditoría. El ciclo del programa de auditoría de la autoridad competente (en este caso de Navarra) debería ser coincidente con el periodo de vigencia del Plan Nacional de Control Oficial de la Cadena Alimentaria, por lo que parece razonable que, tanto la estructura y relaciones con las autoridades centrales, como la ejecución de los diferentes planes y programas, se realicen a lo largo de ese periodo (plan quinquenal 2021-2025). Por ello, es necesario la definición de esa planificación. La licitación objeto en este caso, plant</w:t>
      </w:r>
      <w:r w:rsidR="004C6D45">
        <w:rPr>
          <w:rFonts w:ascii="Arial" w:hAnsi="Arial" w:cs="Arial"/>
          <w:bCs/>
        </w:rPr>
        <w:t>e</w:t>
      </w:r>
      <w:r w:rsidRPr="0051390B">
        <w:rPr>
          <w:rFonts w:ascii="Arial" w:hAnsi="Arial" w:cs="Arial"/>
          <w:bCs/>
        </w:rPr>
        <w:t>a, prórrogas a 5 años.</w:t>
      </w:r>
    </w:p>
    <w:p w:rsidR="0051390B" w:rsidRPr="0051390B" w:rsidRDefault="0051390B" w:rsidP="0066669A">
      <w:pPr>
        <w:jc w:val="both"/>
        <w:rPr>
          <w:rFonts w:ascii="Arial" w:hAnsi="Arial" w:cs="Arial"/>
          <w:bCs/>
        </w:rPr>
      </w:pPr>
      <w:r w:rsidRPr="0051390B">
        <w:rPr>
          <w:rFonts w:ascii="Arial" w:hAnsi="Arial" w:cs="Arial"/>
          <w:bCs/>
        </w:rPr>
        <w:t xml:space="preserve">Entendemos que el compromiso del adjudicatario será establecer con la autoridad competente el universo de auditoría y planificar las auditorías de forma que el alcance total se divida a lo largo de los 5 años, es decir, los programas que se auditarán cada uno de los años, aunque, por su incidencia, riesgos o importancia, algunos programas se auditen todos los años. Entendemos que lo importantes es que se cubren los requisitos del </w:t>
      </w:r>
      <w:proofErr w:type="spellStart"/>
      <w:r w:rsidRPr="0051390B">
        <w:rPr>
          <w:rFonts w:ascii="Arial" w:hAnsi="Arial" w:cs="Arial"/>
          <w:bCs/>
        </w:rPr>
        <w:t>Rgto</w:t>
      </w:r>
      <w:proofErr w:type="spellEnd"/>
      <w:r w:rsidRPr="0051390B">
        <w:rPr>
          <w:rFonts w:ascii="Arial" w:hAnsi="Arial" w:cs="Arial"/>
          <w:bCs/>
        </w:rPr>
        <w:t xml:space="preserve"> (UE)N 2017/625, la legislación relevante sobre alimentos, todas las áreas de actividad del PNCOCA y los programas de control oficial de competencia de salud pública en los 5 años.</w:t>
      </w:r>
    </w:p>
    <w:p w:rsidR="0051390B" w:rsidRPr="004D1CA9" w:rsidRDefault="0051390B" w:rsidP="0066669A">
      <w:pPr>
        <w:jc w:val="both"/>
        <w:rPr>
          <w:rFonts w:ascii="Arial" w:hAnsi="Arial" w:cs="Arial"/>
          <w:bCs/>
        </w:rPr>
      </w:pPr>
      <w:r w:rsidRPr="004D1CA9">
        <w:rPr>
          <w:rFonts w:ascii="Arial" w:hAnsi="Arial" w:cs="Arial"/>
          <w:bCs/>
        </w:rPr>
        <w:t xml:space="preserve">Tras la adjudicación los temas se definirán y se </w:t>
      </w:r>
      <w:r w:rsidR="004D1CA9" w:rsidRPr="004D1CA9">
        <w:rPr>
          <w:rFonts w:ascii="Arial" w:hAnsi="Arial" w:cs="Arial"/>
          <w:bCs/>
        </w:rPr>
        <w:t>presentarán</w:t>
      </w:r>
      <w:r w:rsidRPr="004D1CA9">
        <w:rPr>
          <w:rFonts w:ascii="Arial" w:hAnsi="Arial" w:cs="Arial"/>
          <w:bCs/>
        </w:rPr>
        <w:t xml:space="preserve"> de forma que faciliten la evaluación del riesgo</w:t>
      </w:r>
      <w:r w:rsidR="004D1CA9">
        <w:rPr>
          <w:rFonts w:ascii="Arial" w:hAnsi="Arial" w:cs="Arial"/>
          <w:bCs/>
        </w:rPr>
        <w:t xml:space="preserve"> </w:t>
      </w:r>
      <w:r w:rsidRPr="004D1CA9">
        <w:rPr>
          <w:rFonts w:ascii="Arial" w:hAnsi="Arial" w:cs="Arial"/>
          <w:bCs/>
        </w:rPr>
        <w:t>y la planificación de la auditoría. Este trabajo deberá ser realizado entre el equ</w:t>
      </w:r>
      <w:r w:rsidR="004D1CA9">
        <w:rPr>
          <w:rFonts w:ascii="Arial" w:hAnsi="Arial" w:cs="Arial"/>
          <w:bCs/>
        </w:rPr>
        <w:t>i</w:t>
      </w:r>
      <w:r w:rsidRPr="004D1CA9">
        <w:rPr>
          <w:rFonts w:ascii="Arial" w:hAnsi="Arial" w:cs="Arial"/>
          <w:bCs/>
        </w:rPr>
        <w:t xml:space="preserve">po auditor y la </w:t>
      </w:r>
      <w:r w:rsidR="004D1CA9" w:rsidRPr="004D1CA9">
        <w:rPr>
          <w:rFonts w:ascii="Arial" w:hAnsi="Arial" w:cs="Arial"/>
          <w:bCs/>
        </w:rPr>
        <w:t>autoridad</w:t>
      </w:r>
      <w:r w:rsidRPr="004D1CA9">
        <w:rPr>
          <w:rFonts w:ascii="Arial" w:hAnsi="Arial" w:cs="Arial"/>
          <w:bCs/>
        </w:rPr>
        <w:t xml:space="preserve"> competente.</w:t>
      </w:r>
    </w:p>
    <w:p w:rsidR="00582C54" w:rsidRPr="00FC6744" w:rsidRDefault="004D1CA9" w:rsidP="0066669A">
      <w:pPr>
        <w:jc w:val="both"/>
        <w:rPr>
          <w:rFonts w:ascii="Arial" w:hAnsi="Arial" w:cs="Arial"/>
          <w:b/>
          <w:bCs/>
        </w:rPr>
      </w:pPr>
      <w:r w:rsidRPr="00FC6744">
        <w:rPr>
          <w:rFonts w:ascii="Arial" w:hAnsi="Arial" w:cs="Arial"/>
          <w:b/>
          <w:bCs/>
        </w:rPr>
        <w:t>Por tanto, la consulta es para</w:t>
      </w:r>
      <w:r w:rsidR="0051390B" w:rsidRPr="00FC6744">
        <w:rPr>
          <w:rFonts w:ascii="Arial" w:hAnsi="Arial" w:cs="Arial"/>
          <w:b/>
          <w:bCs/>
        </w:rPr>
        <w:t xml:space="preserve"> confirmar que </w:t>
      </w:r>
      <w:r w:rsidRPr="00FC6744">
        <w:rPr>
          <w:rFonts w:ascii="Arial" w:hAnsi="Arial" w:cs="Arial"/>
          <w:b/>
          <w:bCs/>
        </w:rPr>
        <w:t>el alcance global de las auditorias debe</w:t>
      </w:r>
      <w:r w:rsidR="0051390B" w:rsidRPr="00FC6744">
        <w:rPr>
          <w:rFonts w:ascii="Arial" w:hAnsi="Arial" w:cs="Arial"/>
          <w:b/>
          <w:bCs/>
        </w:rPr>
        <w:t xml:space="preserve"> alcanzarse a lo largo de los 5 años, y no es objeto de una auditoría la totalidad de programas cada año</w:t>
      </w:r>
      <w:r w:rsidR="00FC6744">
        <w:rPr>
          <w:rFonts w:ascii="Arial" w:hAnsi="Arial" w:cs="Arial"/>
          <w:b/>
          <w:bCs/>
        </w:rPr>
        <w:t>.</w:t>
      </w:r>
      <w:bookmarkStart w:id="0" w:name="_GoBack"/>
      <w:bookmarkEnd w:id="0"/>
    </w:p>
    <w:p w:rsidR="00582C54" w:rsidRDefault="0007646A" w:rsidP="0066669A">
      <w:pPr>
        <w:jc w:val="both"/>
        <w:rPr>
          <w:rFonts w:ascii="Arial" w:hAnsi="Arial" w:cs="Arial"/>
          <w:b/>
          <w:bCs/>
        </w:rPr>
      </w:pPr>
      <w:r>
        <w:rPr>
          <w:rFonts w:ascii="Arial" w:hAnsi="Arial" w:cs="Arial"/>
          <w:b/>
          <w:bCs/>
        </w:rPr>
        <w:t>Contestación</w:t>
      </w:r>
      <w:r w:rsidR="0066669A">
        <w:rPr>
          <w:rFonts w:ascii="Arial" w:hAnsi="Arial" w:cs="Arial"/>
          <w:b/>
          <w:bCs/>
        </w:rPr>
        <w:t>:</w:t>
      </w:r>
    </w:p>
    <w:p w:rsidR="002372FF" w:rsidRDefault="004D1CA9" w:rsidP="00E07F54">
      <w:pPr>
        <w:jc w:val="both"/>
        <w:rPr>
          <w:rFonts w:ascii="Arial" w:hAnsi="Arial" w:cs="Arial"/>
          <w:bCs/>
        </w:rPr>
      </w:pPr>
      <w:r>
        <w:rPr>
          <w:rFonts w:ascii="Arial" w:hAnsi="Arial" w:cs="Arial"/>
          <w:bCs/>
        </w:rPr>
        <w:t>El alcance global de las auditorías debe</w:t>
      </w:r>
      <w:r w:rsidR="0051390B">
        <w:rPr>
          <w:rFonts w:ascii="Arial" w:hAnsi="Arial" w:cs="Arial"/>
          <w:bCs/>
        </w:rPr>
        <w:t xml:space="preserve"> alcanzarse a lo largo de los 5 años de vigencia del PNCOCA 2021-2025, periodo a lo largo del cual se planificará la auditoría de los programas según su evaluación de riesgo, y no se contempla la auditoria de la totalidad de los programas cada año.</w:t>
      </w:r>
    </w:p>
    <w:sectPr w:rsidR="002372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8D0032"/>
    <w:multiLevelType w:val="hybridMultilevel"/>
    <w:tmpl w:val="7988C37E"/>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9A"/>
    <w:rsid w:val="0007646A"/>
    <w:rsid w:val="000C6F6A"/>
    <w:rsid w:val="001D3AB4"/>
    <w:rsid w:val="00235902"/>
    <w:rsid w:val="002372FF"/>
    <w:rsid w:val="002A127A"/>
    <w:rsid w:val="003964E1"/>
    <w:rsid w:val="0042076F"/>
    <w:rsid w:val="004C6D45"/>
    <w:rsid w:val="004D1CA9"/>
    <w:rsid w:val="0051390B"/>
    <w:rsid w:val="00582C54"/>
    <w:rsid w:val="005C5073"/>
    <w:rsid w:val="005D52E2"/>
    <w:rsid w:val="0066669A"/>
    <w:rsid w:val="007441D9"/>
    <w:rsid w:val="00E054C6"/>
    <w:rsid w:val="00E07F54"/>
    <w:rsid w:val="00E46C5A"/>
    <w:rsid w:val="00E60A08"/>
    <w:rsid w:val="00F56520"/>
    <w:rsid w:val="00FC6744"/>
    <w:rsid w:val="00FD0F5B"/>
    <w:rsid w:val="00FD4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1CFC"/>
  <w15:docId w15:val="{22CE2934-092C-4242-8251-99E6E8B5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666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66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421914">
      <w:bodyDiv w:val="1"/>
      <w:marLeft w:val="0"/>
      <w:marRight w:val="0"/>
      <w:marTop w:val="0"/>
      <w:marBottom w:val="0"/>
      <w:divBdr>
        <w:top w:val="none" w:sz="0" w:space="0" w:color="auto"/>
        <w:left w:val="none" w:sz="0" w:space="0" w:color="auto"/>
        <w:bottom w:val="none" w:sz="0" w:space="0" w:color="auto"/>
        <w:right w:val="none" w:sz="0" w:space="0" w:color="auto"/>
      </w:divBdr>
    </w:div>
    <w:div w:id="134108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383</Words>
  <Characters>2109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Barbarin López, Ana (ANADP)</dc:creator>
  <cp:lastModifiedBy>x053670</cp:lastModifiedBy>
  <cp:revision>19</cp:revision>
  <cp:lastPrinted>2019-11-11T13:03:00Z</cp:lastPrinted>
  <dcterms:created xsi:type="dcterms:W3CDTF">2019-11-11T12:55:00Z</dcterms:created>
  <dcterms:modified xsi:type="dcterms:W3CDTF">2021-04-26T12:08:00Z</dcterms:modified>
</cp:coreProperties>
</file>