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EB9" w:rsidRDefault="001E4FF2" w:rsidP="001E4FF2">
      <w:pPr>
        <w:pStyle w:val="Subttulo"/>
        <w:jc w:val="center"/>
      </w:pPr>
      <w:r>
        <w:t>PREGUNTAS LICITADORES</w:t>
      </w:r>
      <w:r w:rsidR="000E7572">
        <w:t xml:space="preserve"> 1</w:t>
      </w:r>
    </w:p>
    <w:p w:rsidR="007D42DB" w:rsidRDefault="007D42DB" w:rsidP="007D42DB"/>
    <w:p w:rsidR="007D42DB" w:rsidRDefault="007D42DB" w:rsidP="007D42DB">
      <w:pPr>
        <w:pStyle w:val="Prrafodelista"/>
        <w:numPr>
          <w:ilvl w:val="0"/>
          <w:numId w:val="1"/>
        </w:numPr>
        <w:spacing w:before="120" w:after="120" w:line="360" w:lineRule="auto"/>
        <w:ind w:left="357" w:hanging="357"/>
        <w:contextualSpacing w:val="0"/>
        <w:jc w:val="both"/>
        <w:rPr>
          <w:rFonts w:ascii="Arial" w:hAnsi="Arial" w:cs="Arial"/>
          <w:color w:val="333333"/>
          <w:sz w:val="18"/>
          <w:szCs w:val="18"/>
        </w:rPr>
      </w:pPr>
      <w:r>
        <w:rPr>
          <w:rFonts w:ascii="Arial" w:hAnsi="Arial" w:cs="Arial"/>
          <w:color w:val="333333"/>
          <w:sz w:val="18"/>
          <w:szCs w:val="18"/>
        </w:rPr>
        <w:t>¿Q</w:t>
      </w:r>
      <w:r w:rsidRPr="007D42DB">
        <w:rPr>
          <w:rFonts w:ascii="Arial" w:hAnsi="Arial" w:cs="Arial"/>
          <w:color w:val="333333"/>
          <w:sz w:val="18"/>
          <w:szCs w:val="18"/>
        </w:rPr>
        <w:t xml:space="preserve">ué </w:t>
      </w:r>
      <w:r>
        <w:rPr>
          <w:rFonts w:ascii="Arial" w:hAnsi="Arial" w:cs="Arial"/>
          <w:color w:val="333333"/>
          <w:sz w:val="18"/>
          <w:szCs w:val="18"/>
        </w:rPr>
        <w:t>pasa con las plazas residenciales que actualmente se tienen concertadas en el caso de no presentar oferta para el Acuerdo Marco?</w:t>
      </w:r>
    </w:p>
    <w:p w:rsidR="007D42DB" w:rsidRPr="000E7572" w:rsidRDefault="007D42DB" w:rsidP="007D42DB">
      <w:pPr>
        <w:pStyle w:val="Prrafodelista"/>
        <w:spacing w:before="120" w:after="120" w:line="360" w:lineRule="auto"/>
        <w:ind w:left="357" w:firstLine="351"/>
        <w:contextualSpacing w:val="0"/>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Respuesta:</w:t>
      </w:r>
    </w:p>
    <w:p w:rsidR="007D42DB" w:rsidRPr="000E7572" w:rsidRDefault="007D42DB" w:rsidP="007D42DB">
      <w:pPr>
        <w:pStyle w:val="Prrafodelista"/>
        <w:numPr>
          <w:ilvl w:val="1"/>
          <w:numId w:val="1"/>
        </w:numPr>
        <w:spacing w:before="120" w:after="120" w:line="360" w:lineRule="auto"/>
        <w:contextualSpacing w:val="0"/>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Desde el momento de la apertura de ofertas no se realizarán más altas de usuarios en el centro.</w:t>
      </w:r>
    </w:p>
    <w:p w:rsidR="007D42DB" w:rsidRPr="000E7572" w:rsidRDefault="007D42DB" w:rsidP="00A225B6">
      <w:pPr>
        <w:pStyle w:val="Prrafodelista"/>
        <w:numPr>
          <w:ilvl w:val="1"/>
          <w:numId w:val="1"/>
        </w:numPr>
        <w:spacing w:before="120" w:after="120" w:line="360" w:lineRule="auto"/>
        <w:contextualSpacing w:val="0"/>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A las personas que estuviesen ocupando las plazas concertadas se les dará la opción de trasladarse a otra plaza concertada en otro centro o mantenerse en el centro percibiendo una prestación vinculada al servicio. En éste último caso</w:t>
      </w:r>
      <w:r w:rsidR="00AA0411" w:rsidRPr="000E7572">
        <w:rPr>
          <w:rFonts w:ascii="Arial" w:hAnsi="Arial" w:cs="Arial"/>
          <w:color w:val="76923C" w:themeColor="accent3" w:themeShade="BF"/>
          <w:sz w:val="18"/>
          <w:szCs w:val="18"/>
        </w:rPr>
        <w:t>,</w:t>
      </w:r>
      <w:r w:rsidRPr="000E7572">
        <w:rPr>
          <w:rFonts w:ascii="Arial" w:hAnsi="Arial" w:cs="Arial"/>
          <w:color w:val="76923C" w:themeColor="accent3" w:themeShade="BF"/>
          <w:sz w:val="18"/>
          <w:szCs w:val="18"/>
        </w:rPr>
        <w:t xml:space="preserve">  el importe de la prestación se calculará de acuerdo a lo establecido en el artículo 2.Bis, apartado 1. </w:t>
      </w:r>
      <w:r w:rsidR="000E7572">
        <w:rPr>
          <w:rFonts w:ascii="Arial" w:hAnsi="Arial" w:cs="Arial"/>
          <w:color w:val="76923C" w:themeColor="accent3" w:themeShade="BF"/>
          <w:sz w:val="18"/>
          <w:szCs w:val="18"/>
        </w:rPr>
        <w:t>d</w:t>
      </w:r>
      <w:r w:rsidRPr="000E7572">
        <w:rPr>
          <w:rFonts w:ascii="Arial" w:hAnsi="Arial" w:cs="Arial"/>
          <w:color w:val="76923C" w:themeColor="accent3" w:themeShade="BF"/>
          <w:sz w:val="18"/>
          <w:szCs w:val="18"/>
        </w:rPr>
        <w:t>).</w:t>
      </w:r>
      <w:r w:rsidR="000E7572">
        <w:rPr>
          <w:rFonts w:ascii="Arial" w:hAnsi="Arial" w:cs="Arial"/>
          <w:color w:val="76923C" w:themeColor="accent3" w:themeShade="BF"/>
          <w:sz w:val="18"/>
          <w:szCs w:val="18"/>
        </w:rPr>
        <w:t xml:space="preserve"> de la</w:t>
      </w:r>
      <w:r w:rsidRPr="000E7572">
        <w:rPr>
          <w:rFonts w:ascii="Arial" w:hAnsi="Arial" w:cs="Arial"/>
          <w:color w:val="76923C" w:themeColor="accent3" w:themeShade="BF"/>
          <w:sz w:val="18"/>
          <w:szCs w:val="18"/>
        </w:rPr>
        <w:t xml:space="preserve"> </w:t>
      </w:r>
      <w:r w:rsidR="000E7572" w:rsidRPr="000E7572">
        <w:rPr>
          <w:rFonts w:ascii="Arial" w:hAnsi="Arial" w:cs="Arial"/>
          <w:color w:val="76923C" w:themeColor="accent3" w:themeShade="BF"/>
          <w:sz w:val="18"/>
          <w:szCs w:val="18"/>
        </w:rPr>
        <w:t xml:space="preserve">Orden Foral 210/2009, </w:t>
      </w:r>
      <w:r w:rsidR="000E7572">
        <w:rPr>
          <w:rFonts w:ascii="Arial" w:hAnsi="Arial" w:cs="Arial"/>
          <w:color w:val="76923C" w:themeColor="accent3" w:themeShade="BF"/>
          <w:sz w:val="18"/>
          <w:szCs w:val="18"/>
        </w:rPr>
        <w:t>d</w:t>
      </w:r>
      <w:r w:rsidR="000E7572" w:rsidRPr="000E7572">
        <w:rPr>
          <w:rFonts w:ascii="Arial" w:hAnsi="Arial" w:cs="Arial"/>
          <w:color w:val="76923C" w:themeColor="accent3" w:themeShade="BF"/>
          <w:sz w:val="18"/>
          <w:szCs w:val="18"/>
        </w:rPr>
        <w:t xml:space="preserve">e 1 De Junio, De La Consejera De Asuntos Sociales, Familia, Juventud </w:t>
      </w:r>
      <w:r w:rsidR="000E7572">
        <w:rPr>
          <w:rFonts w:ascii="Arial" w:hAnsi="Arial" w:cs="Arial"/>
          <w:color w:val="76923C" w:themeColor="accent3" w:themeShade="BF"/>
          <w:sz w:val="18"/>
          <w:szCs w:val="18"/>
        </w:rPr>
        <w:t>y</w:t>
      </w:r>
      <w:r w:rsidR="000E7572" w:rsidRPr="000E7572">
        <w:rPr>
          <w:rFonts w:ascii="Arial" w:hAnsi="Arial" w:cs="Arial"/>
          <w:color w:val="76923C" w:themeColor="accent3" w:themeShade="BF"/>
          <w:sz w:val="18"/>
          <w:szCs w:val="18"/>
        </w:rPr>
        <w:t xml:space="preserve"> Deporte, </w:t>
      </w:r>
      <w:r w:rsidR="000E7572">
        <w:rPr>
          <w:rFonts w:ascii="Arial" w:hAnsi="Arial" w:cs="Arial"/>
          <w:color w:val="76923C" w:themeColor="accent3" w:themeShade="BF"/>
          <w:sz w:val="18"/>
          <w:szCs w:val="18"/>
        </w:rPr>
        <w:t>p</w:t>
      </w:r>
      <w:r w:rsidR="000E7572" w:rsidRPr="000E7572">
        <w:rPr>
          <w:rFonts w:ascii="Arial" w:hAnsi="Arial" w:cs="Arial"/>
          <w:color w:val="76923C" w:themeColor="accent3" w:themeShade="BF"/>
          <w:sz w:val="18"/>
          <w:szCs w:val="18"/>
        </w:rPr>
        <w:t xml:space="preserve">or </w:t>
      </w:r>
      <w:r w:rsidR="000E7572">
        <w:rPr>
          <w:rFonts w:ascii="Arial" w:hAnsi="Arial" w:cs="Arial"/>
          <w:color w:val="76923C" w:themeColor="accent3" w:themeShade="BF"/>
          <w:sz w:val="18"/>
          <w:szCs w:val="18"/>
        </w:rPr>
        <w:t>l</w:t>
      </w:r>
      <w:r w:rsidR="000E7572" w:rsidRPr="000E7572">
        <w:rPr>
          <w:rFonts w:ascii="Arial" w:hAnsi="Arial" w:cs="Arial"/>
          <w:color w:val="76923C" w:themeColor="accent3" w:themeShade="BF"/>
          <w:sz w:val="18"/>
          <w:szCs w:val="18"/>
        </w:rPr>
        <w:t xml:space="preserve">a </w:t>
      </w:r>
      <w:r w:rsidR="000E7572">
        <w:rPr>
          <w:rFonts w:ascii="Arial" w:hAnsi="Arial" w:cs="Arial"/>
          <w:color w:val="76923C" w:themeColor="accent3" w:themeShade="BF"/>
          <w:sz w:val="18"/>
          <w:szCs w:val="18"/>
        </w:rPr>
        <w:t>que</w:t>
      </w:r>
      <w:r w:rsidR="000E7572" w:rsidRPr="000E7572">
        <w:rPr>
          <w:rFonts w:ascii="Arial" w:hAnsi="Arial" w:cs="Arial"/>
          <w:color w:val="76923C" w:themeColor="accent3" w:themeShade="BF"/>
          <w:sz w:val="18"/>
          <w:szCs w:val="18"/>
        </w:rPr>
        <w:t xml:space="preserve"> </w:t>
      </w:r>
      <w:r w:rsidR="000E7572">
        <w:rPr>
          <w:rFonts w:ascii="Arial" w:hAnsi="Arial" w:cs="Arial"/>
          <w:color w:val="76923C" w:themeColor="accent3" w:themeShade="BF"/>
          <w:sz w:val="18"/>
          <w:szCs w:val="18"/>
        </w:rPr>
        <w:t>s</w:t>
      </w:r>
      <w:r w:rsidR="000E7572" w:rsidRPr="000E7572">
        <w:rPr>
          <w:rFonts w:ascii="Arial" w:hAnsi="Arial" w:cs="Arial"/>
          <w:color w:val="76923C" w:themeColor="accent3" w:themeShade="BF"/>
          <w:sz w:val="18"/>
          <w:szCs w:val="18"/>
        </w:rPr>
        <w:t xml:space="preserve">e </w:t>
      </w:r>
      <w:r w:rsidR="000E7572">
        <w:rPr>
          <w:rFonts w:ascii="Arial" w:hAnsi="Arial" w:cs="Arial"/>
          <w:color w:val="76923C" w:themeColor="accent3" w:themeShade="BF"/>
          <w:sz w:val="18"/>
          <w:szCs w:val="18"/>
        </w:rPr>
        <w:t>r</w:t>
      </w:r>
      <w:r w:rsidR="000E7572" w:rsidRPr="000E7572">
        <w:rPr>
          <w:rFonts w:ascii="Arial" w:hAnsi="Arial" w:cs="Arial"/>
          <w:color w:val="76923C" w:themeColor="accent3" w:themeShade="BF"/>
          <w:sz w:val="18"/>
          <w:szCs w:val="18"/>
        </w:rPr>
        <w:t xml:space="preserve">egulan </w:t>
      </w:r>
      <w:r w:rsidR="000E7572">
        <w:rPr>
          <w:rFonts w:ascii="Arial" w:hAnsi="Arial" w:cs="Arial"/>
          <w:color w:val="76923C" w:themeColor="accent3" w:themeShade="BF"/>
          <w:sz w:val="18"/>
          <w:szCs w:val="18"/>
        </w:rPr>
        <w:t>l</w:t>
      </w:r>
      <w:r w:rsidR="000E7572" w:rsidRPr="000E7572">
        <w:rPr>
          <w:rFonts w:ascii="Arial" w:hAnsi="Arial" w:cs="Arial"/>
          <w:color w:val="76923C" w:themeColor="accent3" w:themeShade="BF"/>
          <w:sz w:val="18"/>
          <w:szCs w:val="18"/>
        </w:rPr>
        <w:t xml:space="preserve">as Prestaciones Económicas Vinculadas </w:t>
      </w:r>
      <w:r w:rsidR="000E7572">
        <w:rPr>
          <w:rFonts w:ascii="Arial" w:hAnsi="Arial" w:cs="Arial"/>
          <w:color w:val="76923C" w:themeColor="accent3" w:themeShade="BF"/>
          <w:sz w:val="18"/>
          <w:szCs w:val="18"/>
        </w:rPr>
        <w:t>a</w:t>
      </w:r>
      <w:r w:rsidR="000E7572" w:rsidRPr="000E7572">
        <w:rPr>
          <w:rFonts w:ascii="Arial" w:hAnsi="Arial" w:cs="Arial"/>
          <w:color w:val="76923C" w:themeColor="accent3" w:themeShade="BF"/>
          <w:sz w:val="18"/>
          <w:szCs w:val="18"/>
        </w:rPr>
        <w:t xml:space="preserve"> Servicio</w:t>
      </w:r>
      <w:r w:rsidR="00A225B6" w:rsidRPr="000E7572">
        <w:rPr>
          <w:rFonts w:ascii="Arial" w:hAnsi="Arial" w:cs="Arial"/>
          <w:color w:val="76923C" w:themeColor="accent3" w:themeShade="BF"/>
          <w:sz w:val="18"/>
          <w:szCs w:val="18"/>
        </w:rPr>
        <w:t xml:space="preserve">. </w:t>
      </w:r>
      <w:hyperlink r:id="rId6" w:history="1">
        <w:r w:rsidR="00CD7E7F" w:rsidRPr="000E7572">
          <w:rPr>
            <w:rStyle w:val="Hipervnculo"/>
            <w:rFonts w:ascii="Arial" w:hAnsi="Arial" w:cs="Arial"/>
            <w:color w:val="76923C" w:themeColor="accent3" w:themeShade="BF"/>
            <w:sz w:val="18"/>
            <w:szCs w:val="18"/>
          </w:rPr>
          <w:t>http://www.lexnavarra.navarra.es/detalle.asp?r=29890</w:t>
        </w:r>
      </w:hyperlink>
    </w:p>
    <w:p w:rsidR="00CD7E7F" w:rsidRPr="000E7572" w:rsidRDefault="00CD7E7F" w:rsidP="007D42DB">
      <w:pPr>
        <w:pStyle w:val="Prrafodelista"/>
        <w:numPr>
          <w:ilvl w:val="1"/>
          <w:numId w:val="1"/>
        </w:numPr>
        <w:spacing w:before="120" w:after="120" w:line="360" w:lineRule="auto"/>
        <w:contextualSpacing w:val="0"/>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Las personas que opten por trasladarse a otra plaza concertada tendrán prioridad en el acceso a la nueva plaza con prioridad sobre el resto de personas que encuentren en la lista de espera.</w:t>
      </w:r>
    </w:p>
    <w:p w:rsidR="001E4FF2" w:rsidRDefault="001E4FF2" w:rsidP="001E4FF2"/>
    <w:p w:rsidR="00CD7E7F" w:rsidRPr="00CD7E7F" w:rsidRDefault="00CD7E7F" w:rsidP="00CD7E7F">
      <w:pPr>
        <w:pStyle w:val="Prrafodelista"/>
        <w:numPr>
          <w:ilvl w:val="0"/>
          <w:numId w:val="1"/>
        </w:numPr>
        <w:spacing w:before="120" w:after="120" w:line="360" w:lineRule="auto"/>
        <w:jc w:val="both"/>
        <w:rPr>
          <w:rFonts w:ascii="Arial" w:hAnsi="Arial" w:cs="Arial"/>
          <w:color w:val="333333"/>
          <w:sz w:val="18"/>
          <w:szCs w:val="18"/>
        </w:rPr>
      </w:pPr>
      <w:r w:rsidRPr="00CD7E7F">
        <w:rPr>
          <w:rFonts w:ascii="Arial" w:hAnsi="Arial" w:cs="Arial"/>
          <w:color w:val="333333"/>
          <w:sz w:val="18"/>
          <w:szCs w:val="18"/>
        </w:rPr>
        <w:t>Según lo recogido en el párrafo 1 de la página 8 del pliego de Cláusulas técnicas:</w:t>
      </w:r>
    </w:p>
    <w:p w:rsidR="00CD7E7F" w:rsidRPr="00CD7E7F" w:rsidRDefault="00CD7E7F" w:rsidP="000E7572">
      <w:pPr>
        <w:spacing w:before="120" w:after="120" w:line="360" w:lineRule="auto"/>
        <w:ind w:left="360"/>
        <w:jc w:val="both"/>
        <w:rPr>
          <w:rFonts w:ascii="Arial" w:hAnsi="Arial" w:cs="Arial"/>
          <w:color w:val="333333"/>
          <w:sz w:val="18"/>
          <w:szCs w:val="18"/>
        </w:rPr>
      </w:pPr>
      <w:r>
        <w:rPr>
          <w:rFonts w:ascii="Arial" w:hAnsi="Arial" w:cs="Arial"/>
          <w:color w:val="333333"/>
          <w:sz w:val="18"/>
          <w:szCs w:val="18"/>
        </w:rPr>
        <w:t>“</w:t>
      </w:r>
      <w:r w:rsidRPr="00CD7E7F">
        <w:rPr>
          <w:rFonts w:ascii="Arial" w:hAnsi="Arial" w:cs="Arial"/>
          <w:color w:val="333333"/>
          <w:sz w:val="18"/>
          <w:szCs w:val="18"/>
        </w:rPr>
        <w:t>3.1PLAZAS DE ATENCIÓN RESIDENCIAL. 3000 PLAZAS.</w:t>
      </w:r>
    </w:p>
    <w:p w:rsidR="00CD7E7F" w:rsidRDefault="00CD7E7F" w:rsidP="000E7572">
      <w:pPr>
        <w:spacing w:before="120" w:after="120" w:line="360" w:lineRule="auto"/>
        <w:ind w:left="360"/>
        <w:jc w:val="both"/>
        <w:rPr>
          <w:rFonts w:ascii="Arial" w:hAnsi="Arial" w:cs="Arial"/>
          <w:color w:val="333333"/>
          <w:sz w:val="18"/>
          <w:szCs w:val="18"/>
        </w:rPr>
      </w:pPr>
      <w:r w:rsidRPr="00CD7E7F">
        <w:rPr>
          <w:rFonts w:ascii="Arial" w:hAnsi="Arial" w:cs="Arial"/>
          <w:color w:val="333333"/>
          <w:sz w:val="18"/>
          <w:szCs w:val="18"/>
        </w:rPr>
        <w:t>¿Los dependientes moderados son susceptibles de ocupar plaza concertada residencial? Es decir, ¿las plazas residenciales para personas dependientes irían destinadas a Grandes Dependientes, Severas y Moderadas?</w:t>
      </w:r>
    </w:p>
    <w:p w:rsidR="00CD7E7F" w:rsidRPr="000E7572" w:rsidRDefault="00CD7E7F" w:rsidP="000E7572">
      <w:pPr>
        <w:spacing w:before="120" w:after="120" w:line="360" w:lineRule="auto"/>
        <w:ind w:left="357"/>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Respuesta:</w:t>
      </w:r>
    </w:p>
    <w:p w:rsidR="00CD7E7F" w:rsidRPr="000E7572" w:rsidRDefault="00234D7D" w:rsidP="000E7572">
      <w:pPr>
        <w:spacing w:before="120" w:after="120" w:line="360" w:lineRule="auto"/>
        <w:ind w:left="357"/>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 xml:space="preserve">Ver corrección nº 1 de las prescripciones técnicas </w:t>
      </w:r>
    </w:p>
    <w:p w:rsidR="00CD7E7F" w:rsidRPr="00CD7E7F" w:rsidRDefault="00CD7E7F" w:rsidP="00CD7E7F">
      <w:pPr>
        <w:spacing w:before="120" w:after="120" w:line="360" w:lineRule="auto"/>
        <w:jc w:val="both"/>
        <w:rPr>
          <w:rFonts w:ascii="Arial" w:hAnsi="Arial" w:cs="Arial"/>
          <w:color w:val="333333"/>
          <w:sz w:val="18"/>
          <w:szCs w:val="18"/>
        </w:rPr>
      </w:pPr>
    </w:p>
    <w:p w:rsidR="001E4FF2" w:rsidRDefault="001E4FF2" w:rsidP="001E4FF2">
      <w:pPr>
        <w:pStyle w:val="Prrafodelista"/>
        <w:numPr>
          <w:ilvl w:val="0"/>
          <w:numId w:val="1"/>
        </w:numPr>
        <w:spacing w:before="120" w:after="120" w:line="360" w:lineRule="auto"/>
        <w:ind w:left="357" w:hanging="357"/>
        <w:contextualSpacing w:val="0"/>
        <w:jc w:val="both"/>
        <w:rPr>
          <w:rFonts w:ascii="Arial" w:hAnsi="Arial" w:cs="Arial"/>
          <w:color w:val="333333"/>
          <w:sz w:val="18"/>
          <w:szCs w:val="18"/>
        </w:rPr>
      </w:pPr>
      <w:r w:rsidRPr="001E4FF2">
        <w:rPr>
          <w:rFonts w:ascii="Arial" w:hAnsi="Arial" w:cs="Arial"/>
          <w:color w:val="333333"/>
          <w:sz w:val="18"/>
          <w:szCs w:val="18"/>
        </w:rPr>
        <w:t>En la simulación de la tarifa, compruebo que si añadimos horas de personal técnico (pe Trabajadora Social), nos sube la tarifa asignada. Sólo con los requisitos que vienen en el Acuerdo se va haciendo necesario reforzar los perfiles técnicos.  ¿Se admite, que no teniendo en estos momentos, se compute desde el inicio del nuevo concierto? ¿O solo admitís la foto actual</w:t>
      </w:r>
      <w:r w:rsidR="00FD5C1A" w:rsidRPr="001E4FF2">
        <w:rPr>
          <w:rFonts w:ascii="Arial" w:hAnsi="Arial" w:cs="Arial"/>
          <w:color w:val="333333"/>
          <w:sz w:val="18"/>
          <w:szCs w:val="18"/>
        </w:rPr>
        <w:t>?</w:t>
      </w:r>
    </w:p>
    <w:p w:rsidR="000E7572" w:rsidRPr="000E7572" w:rsidRDefault="000E7572" w:rsidP="000E7572">
      <w:pPr>
        <w:spacing w:before="120" w:after="120" w:line="360" w:lineRule="auto"/>
        <w:ind w:left="357"/>
        <w:jc w:val="both"/>
        <w:rPr>
          <w:rFonts w:ascii="Arial" w:hAnsi="Arial" w:cs="Arial"/>
          <w:color w:val="76923C" w:themeColor="accent3" w:themeShade="BF"/>
          <w:sz w:val="18"/>
          <w:szCs w:val="18"/>
        </w:rPr>
      </w:pPr>
      <w:r w:rsidRPr="000E7572">
        <w:rPr>
          <w:rFonts w:ascii="Arial" w:hAnsi="Arial" w:cs="Arial"/>
          <w:color w:val="76923C" w:themeColor="accent3" w:themeShade="BF"/>
          <w:sz w:val="18"/>
          <w:szCs w:val="18"/>
        </w:rPr>
        <w:t>Respuesta:</w:t>
      </w:r>
    </w:p>
    <w:p w:rsidR="001E4FF2" w:rsidRPr="00BC7D2D" w:rsidRDefault="00BC7D2D" w:rsidP="00BC7D2D">
      <w:pPr>
        <w:spacing w:line="480" w:lineRule="auto"/>
        <w:ind w:left="357"/>
        <w:jc w:val="both"/>
        <w:rPr>
          <w:rFonts w:ascii="Arial" w:hAnsi="Arial" w:cs="Arial"/>
          <w:color w:val="76923C" w:themeColor="accent3" w:themeShade="BF"/>
          <w:sz w:val="18"/>
          <w:szCs w:val="18"/>
        </w:rPr>
      </w:pPr>
      <w:r w:rsidRPr="00BC7D2D">
        <w:rPr>
          <w:rFonts w:ascii="Arial" w:hAnsi="Arial" w:cs="Arial"/>
          <w:color w:val="76923C" w:themeColor="accent3" w:themeShade="BF"/>
          <w:sz w:val="18"/>
          <w:szCs w:val="18"/>
        </w:rPr>
        <w:t>La Excel a rellenar forma parte de la oferta a presentar, por lo que tal y como establece la cláusula 18</w:t>
      </w:r>
      <w:r w:rsidR="00260A36">
        <w:rPr>
          <w:rFonts w:ascii="Arial" w:hAnsi="Arial" w:cs="Arial"/>
          <w:color w:val="76923C" w:themeColor="accent3" w:themeShade="BF"/>
          <w:sz w:val="18"/>
          <w:szCs w:val="18"/>
        </w:rPr>
        <w:t xml:space="preserve"> </w:t>
      </w:r>
      <w:r w:rsidRPr="00BC7D2D">
        <w:rPr>
          <w:rFonts w:ascii="Arial" w:hAnsi="Arial" w:cs="Arial"/>
          <w:color w:val="76923C" w:themeColor="accent3" w:themeShade="BF"/>
          <w:sz w:val="18"/>
          <w:szCs w:val="18"/>
        </w:rPr>
        <w:t xml:space="preserve">de las condiciones </w:t>
      </w:r>
      <w:r w:rsidR="00037146" w:rsidRPr="00BC7D2D">
        <w:rPr>
          <w:rFonts w:ascii="Arial" w:hAnsi="Arial" w:cs="Arial"/>
          <w:color w:val="76923C" w:themeColor="accent3" w:themeShade="BF"/>
          <w:sz w:val="18"/>
          <w:szCs w:val="18"/>
        </w:rPr>
        <w:t>particulares</w:t>
      </w:r>
      <w:r w:rsidR="00260A36">
        <w:rPr>
          <w:rFonts w:ascii="Arial" w:hAnsi="Arial" w:cs="Arial"/>
          <w:color w:val="76923C" w:themeColor="accent3" w:themeShade="BF"/>
          <w:sz w:val="18"/>
          <w:szCs w:val="18"/>
        </w:rPr>
        <w:t>, y teniendo en cuenta la nota aclaratoria publicada</w:t>
      </w:r>
      <w:r w:rsidR="00037146" w:rsidRPr="00BC7D2D">
        <w:rPr>
          <w:rFonts w:ascii="Arial" w:hAnsi="Arial" w:cs="Arial"/>
          <w:color w:val="76923C" w:themeColor="accent3" w:themeShade="BF"/>
          <w:sz w:val="18"/>
          <w:szCs w:val="18"/>
        </w:rPr>
        <w:t>: “</w:t>
      </w:r>
      <w:r w:rsidRPr="00BC7D2D">
        <w:rPr>
          <w:rFonts w:ascii="Arial" w:hAnsi="Arial" w:cs="Arial"/>
          <w:color w:val="76923C" w:themeColor="accent3" w:themeShade="BF"/>
          <w:sz w:val="18"/>
          <w:szCs w:val="18"/>
        </w:rPr>
        <w:t>Durante toda la ejecución</w:t>
      </w:r>
      <w:r w:rsidR="00260A36">
        <w:rPr>
          <w:rFonts w:ascii="Arial" w:hAnsi="Arial" w:cs="Arial"/>
          <w:color w:val="76923C" w:themeColor="accent3" w:themeShade="BF"/>
          <w:sz w:val="18"/>
          <w:szCs w:val="18"/>
        </w:rPr>
        <w:t xml:space="preserve"> </w:t>
      </w:r>
      <w:r w:rsidR="00260A36" w:rsidRPr="00260A36">
        <w:rPr>
          <w:rFonts w:ascii="Arial" w:hAnsi="Arial" w:cs="Arial"/>
          <w:i/>
          <w:color w:val="76923C" w:themeColor="accent3" w:themeShade="BF"/>
          <w:sz w:val="18"/>
          <w:szCs w:val="18"/>
        </w:rPr>
        <w:t>(</w:t>
      </w:r>
      <w:r w:rsidR="00D34926">
        <w:rPr>
          <w:rFonts w:ascii="Arial" w:hAnsi="Arial" w:cs="Arial"/>
          <w:i/>
          <w:color w:val="76923C" w:themeColor="accent3" w:themeShade="BF"/>
          <w:sz w:val="18"/>
          <w:szCs w:val="18"/>
        </w:rPr>
        <w:t xml:space="preserve">del </w:t>
      </w:r>
      <w:r w:rsidR="00260A36" w:rsidRPr="00260A36">
        <w:rPr>
          <w:rFonts w:ascii="Arial" w:hAnsi="Arial" w:cs="Arial"/>
          <w:i/>
          <w:color w:val="76923C" w:themeColor="accent3" w:themeShade="BF"/>
          <w:sz w:val="18"/>
          <w:szCs w:val="18"/>
        </w:rPr>
        <w:t>contrato derivado)</w:t>
      </w:r>
      <w:r w:rsidRPr="00BC7D2D">
        <w:rPr>
          <w:rFonts w:ascii="Arial" w:hAnsi="Arial" w:cs="Arial"/>
          <w:color w:val="76923C" w:themeColor="accent3" w:themeShade="BF"/>
          <w:sz w:val="18"/>
          <w:szCs w:val="18"/>
        </w:rPr>
        <w:t xml:space="preserve"> del Acuerdo Marco las ratios de personal se corresponderán, al menos, con la oferta presentada, en función de las plazas ocupadas en cada momento y del grado de dependencia del conjunto de usuarios.</w:t>
      </w:r>
      <w:r>
        <w:rPr>
          <w:rFonts w:ascii="Arial" w:hAnsi="Arial" w:cs="Arial"/>
          <w:color w:val="76923C" w:themeColor="accent3" w:themeShade="BF"/>
          <w:sz w:val="18"/>
          <w:szCs w:val="18"/>
        </w:rPr>
        <w:t>”</w:t>
      </w:r>
      <w:r w:rsidRPr="00BC7D2D">
        <w:rPr>
          <w:rFonts w:ascii="Arial" w:hAnsi="Arial" w:cs="Arial"/>
          <w:color w:val="76923C" w:themeColor="accent3" w:themeShade="BF"/>
          <w:sz w:val="18"/>
          <w:szCs w:val="18"/>
        </w:rPr>
        <w:t xml:space="preserve"> </w:t>
      </w:r>
    </w:p>
    <w:p w:rsidR="001E4FF2" w:rsidRDefault="001E4FF2" w:rsidP="001E4FF2">
      <w:pPr>
        <w:pStyle w:val="Prrafodelista"/>
        <w:numPr>
          <w:ilvl w:val="0"/>
          <w:numId w:val="1"/>
        </w:numPr>
        <w:spacing w:before="120" w:after="120" w:line="360" w:lineRule="auto"/>
        <w:ind w:left="357" w:hanging="357"/>
        <w:contextualSpacing w:val="0"/>
        <w:jc w:val="both"/>
        <w:rPr>
          <w:rFonts w:ascii="Arial" w:hAnsi="Arial" w:cs="Arial"/>
          <w:color w:val="333333"/>
          <w:sz w:val="18"/>
          <w:szCs w:val="18"/>
        </w:rPr>
      </w:pPr>
      <w:r w:rsidRPr="001E4FF2">
        <w:rPr>
          <w:rFonts w:ascii="Arial" w:hAnsi="Arial" w:cs="Arial"/>
          <w:color w:val="333333"/>
          <w:sz w:val="18"/>
          <w:szCs w:val="18"/>
        </w:rPr>
        <w:lastRenderedPageBreak/>
        <w:t>El acuerdo hace referencia a la presencia de personal técnico mañana y tarde. En este momento este tipo de personal  presta el servicio por la mañana. Y poner  enfermería por la tarde es totalmente inviable por razones organizativas y económicas. ¿Hay matices al respecto</w:t>
      </w:r>
      <w:r w:rsidR="00FD5C1A" w:rsidRPr="001E4FF2">
        <w:rPr>
          <w:rFonts w:ascii="Arial" w:hAnsi="Arial" w:cs="Arial"/>
          <w:color w:val="333333"/>
          <w:sz w:val="18"/>
          <w:szCs w:val="18"/>
        </w:rPr>
        <w:t>?</w:t>
      </w:r>
    </w:p>
    <w:p w:rsidR="00FD5C1A" w:rsidRPr="00FD5C1A" w:rsidRDefault="00FD5C1A" w:rsidP="00FD5C1A">
      <w:pPr>
        <w:spacing w:before="120" w:after="120" w:line="360" w:lineRule="auto"/>
        <w:ind w:left="357"/>
        <w:jc w:val="both"/>
        <w:rPr>
          <w:rFonts w:ascii="Arial" w:hAnsi="Arial" w:cs="Arial"/>
          <w:color w:val="76923C" w:themeColor="accent3" w:themeShade="BF"/>
          <w:sz w:val="18"/>
          <w:szCs w:val="18"/>
        </w:rPr>
      </w:pPr>
      <w:r w:rsidRPr="00FD5C1A">
        <w:rPr>
          <w:rFonts w:ascii="Arial" w:hAnsi="Arial" w:cs="Arial"/>
          <w:color w:val="76923C" w:themeColor="accent3" w:themeShade="BF"/>
          <w:sz w:val="18"/>
          <w:szCs w:val="18"/>
        </w:rPr>
        <w:t>Respuesta:</w:t>
      </w:r>
    </w:p>
    <w:p w:rsidR="001E4FF2" w:rsidRPr="0095081D" w:rsidRDefault="001E4FF2" w:rsidP="001E4FF2">
      <w:pPr>
        <w:spacing w:before="120" w:after="120" w:line="360" w:lineRule="auto"/>
        <w:ind w:left="357"/>
        <w:jc w:val="both"/>
        <w:rPr>
          <w:rFonts w:ascii="Arial" w:hAnsi="Arial" w:cs="Arial"/>
          <w:color w:val="76923C" w:themeColor="accent3" w:themeShade="BF"/>
          <w:sz w:val="18"/>
          <w:szCs w:val="18"/>
        </w:rPr>
      </w:pPr>
      <w:r w:rsidRPr="0095081D">
        <w:rPr>
          <w:rFonts w:ascii="Arial" w:hAnsi="Arial" w:cs="Arial"/>
          <w:color w:val="76923C" w:themeColor="accent3" w:themeShade="BF"/>
          <w:sz w:val="18"/>
          <w:szCs w:val="18"/>
        </w:rPr>
        <w:t>El pliego de prescripciones técnicas establece en su apartado 11.1 “EL EQUIPO TÉCNICO”</w:t>
      </w:r>
    </w:p>
    <w:p w:rsidR="001E4FF2" w:rsidRPr="00260A36" w:rsidRDefault="001E4FF2" w:rsidP="00260A36">
      <w:pPr>
        <w:spacing w:before="120" w:after="120" w:line="360" w:lineRule="auto"/>
        <w:ind w:left="708"/>
        <w:jc w:val="both"/>
        <w:rPr>
          <w:rFonts w:ascii="Arial" w:hAnsi="Arial" w:cs="Arial"/>
          <w:i/>
          <w:color w:val="76923C" w:themeColor="accent3" w:themeShade="BF"/>
          <w:sz w:val="18"/>
          <w:szCs w:val="18"/>
        </w:rPr>
      </w:pPr>
      <w:r w:rsidRPr="00260A36">
        <w:rPr>
          <w:rFonts w:ascii="Arial" w:hAnsi="Arial" w:cs="Arial"/>
          <w:i/>
          <w:color w:val="76923C" w:themeColor="accent3" w:themeShade="BF"/>
          <w:sz w:val="18"/>
          <w:szCs w:val="18"/>
        </w:rPr>
        <w:t>“El Equipo técnico podrá estar  integrado por profesionales diversos (médico-as, enfermera-os, psicólogo-as, trabajadores sociales, pedagogo-as, terapeutas ocupacionales, fisioterapeutas, educadora-es, animadora-es, etc.) que completan, junto con el personal de atención directa, el equipo multidisciplinar del centro. La distribución del trabajo del personal técnico será en horario de mañana y tarde.”</w:t>
      </w:r>
    </w:p>
    <w:p w:rsidR="001E4FF2" w:rsidRPr="001E4FF2" w:rsidRDefault="001E4FF2" w:rsidP="001E4FF2">
      <w:pPr>
        <w:spacing w:before="120" w:after="120" w:line="360" w:lineRule="auto"/>
        <w:ind w:left="357"/>
        <w:jc w:val="both"/>
        <w:rPr>
          <w:rFonts w:ascii="Arial" w:hAnsi="Arial" w:cs="Arial"/>
          <w:color w:val="76923C" w:themeColor="accent3" w:themeShade="BF"/>
          <w:sz w:val="18"/>
          <w:szCs w:val="18"/>
        </w:rPr>
      </w:pPr>
      <w:r>
        <w:rPr>
          <w:rFonts w:ascii="Arial" w:hAnsi="Arial" w:cs="Arial"/>
          <w:color w:val="76923C" w:themeColor="accent3" w:themeShade="BF"/>
          <w:sz w:val="18"/>
          <w:szCs w:val="18"/>
        </w:rPr>
        <w:t>Al no haber ningún tipo de especificación, el centro tiene libertad de organización.</w:t>
      </w:r>
    </w:p>
    <w:p w:rsidR="0095081D" w:rsidRDefault="0095081D" w:rsidP="0095081D">
      <w:pPr>
        <w:spacing w:before="120" w:after="120" w:line="360" w:lineRule="auto"/>
        <w:ind w:left="357"/>
        <w:jc w:val="both"/>
        <w:rPr>
          <w:rFonts w:ascii="Arial" w:hAnsi="Arial" w:cs="Arial"/>
          <w:color w:val="333333"/>
          <w:sz w:val="18"/>
          <w:szCs w:val="18"/>
        </w:rPr>
      </w:pPr>
    </w:p>
    <w:p w:rsidR="0095081D" w:rsidRDefault="0095081D" w:rsidP="0095081D">
      <w:pPr>
        <w:pStyle w:val="Prrafodelista"/>
        <w:numPr>
          <w:ilvl w:val="0"/>
          <w:numId w:val="1"/>
        </w:numPr>
        <w:spacing w:before="120" w:after="120" w:line="360" w:lineRule="auto"/>
        <w:jc w:val="both"/>
        <w:rPr>
          <w:rFonts w:ascii="Arial" w:hAnsi="Arial" w:cs="Arial"/>
          <w:color w:val="333333"/>
          <w:sz w:val="18"/>
          <w:szCs w:val="18"/>
        </w:rPr>
      </w:pPr>
      <w:r w:rsidRPr="0095081D">
        <w:rPr>
          <w:rFonts w:ascii="Arial" w:hAnsi="Arial" w:cs="Arial"/>
          <w:color w:val="333333"/>
          <w:sz w:val="18"/>
          <w:szCs w:val="18"/>
        </w:rPr>
        <w:t xml:space="preserve">Cuando solicitamos las plazas concertadas en un primer momento se nos denegaron por solicitarlas a través de la empresa pública y no poder certificar la solvencia económica. Para subsanarlo lo hicimos a través del </w:t>
      </w:r>
      <w:r>
        <w:rPr>
          <w:rFonts w:ascii="Arial" w:hAnsi="Arial" w:cs="Arial"/>
          <w:color w:val="333333"/>
          <w:sz w:val="18"/>
          <w:szCs w:val="18"/>
        </w:rPr>
        <w:t>XXX</w:t>
      </w:r>
      <w:r w:rsidRPr="0095081D">
        <w:rPr>
          <w:rFonts w:ascii="Arial" w:hAnsi="Arial" w:cs="Arial"/>
          <w:color w:val="333333"/>
          <w:sz w:val="18"/>
          <w:szCs w:val="18"/>
        </w:rPr>
        <w:t>. En este caso sería mejor hacerlo también así o no sería necesario</w:t>
      </w:r>
      <w:proofErr w:type="gramStart"/>
      <w:r w:rsidRPr="0095081D">
        <w:rPr>
          <w:rFonts w:ascii="Arial" w:hAnsi="Arial" w:cs="Arial"/>
          <w:color w:val="333333"/>
          <w:sz w:val="18"/>
          <w:szCs w:val="18"/>
        </w:rPr>
        <w:t>?.</w:t>
      </w:r>
      <w:proofErr w:type="gramEnd"/>
    </w:p>
    <w:p w:rsidR="00FD5C1A" w:rsidRPr="00FD5C1A" w:rsidRDefault="00FD5C1A" w:rsidP="00FD5C1A">
      <w:pPr>
        <w:spacing w:before="120" w:after="120" w:line="360" w:lineRule="auto"/>
        <w:ind w:firstLine="357"/>
        <w:jc w:val="both"/>
        <w:rPr>
          <w:rFonts w:ascii="Arial" w:hAnsi="Arial" w:cs="Arial"/>
          <w:color w:val="76923C" w:themeColor="accent3" w:themeShade="BF"/>
          <w:sz w:val="18"/>
          <w:szCs w:val="18"/>
        </w:rPr>
      </w:pPr>
      <w:r w:rsidRPr="00FD5C1A">
        <w:rPr>
          <w:rFonts w:ascii="Arial" w:hAnsi="Arial" w:cs="Arial"/>
          <w:color w:val="76923C" w:themeColor="accent3" w:themeShade="BF"/>
          <w:sz w:val="18"/>
          <w:szCs w:val="18"/>
        </w:rPr>
        <w:t>Respuesta:</w:t>
      </w:r>
    </w:p>
    <w:p w:rsidR="0095081D" w:rsidRDefault="0095081D" w:rsidP="0095081D">
      <w:pPr>
        <w:spacing w:before="120" w:after="120" w:line="360" w:lineRule="auto"/>
        <w:ind w:left="357"/>
        <w:jc w:val="both"/>
        <w:rPr>
          <w:rFonts w:ascii="Arial" w:hAnsi="Arial" w:cs="Arial"/>
          <w:color w:val="76923C" w:themeColor="accent3" w:themeShade="BF"/>
          <w:sz w:val="18"/>
          <w:szCs w:val="18"/>
        </w:rPr>
      </w:pPr>
      <w:r w:rsidRPr="0095081D">
        <w:rPr>
          <w:rFonts w:ascii="Arial" w:hAnsi="Arial" w:cs="Arial"/>
          <w:color w:val="76923C" w:themeColor="accent3" w:themeShade="BF"/>
          <w:sz w:val="18"/>
          <w:szCs w:val="18"/>
        </w:rPr>
        <w:t>Según esta</w:t>
      </w:r>
      <w:r>
        <w:rPr>
          <w:rFonts w:ascii="Arial" w:hAnsi="Arial" w:cs="Arial"/>
          <w:color w:val="76923C" w:themeColor="accent3" w:themeShade="BF"/>
          <w:sz w:val="18"/>
          <w:szCs w:val="18"/>
        </w:rPr>
        <w:t>blece la cláusula 8 “Capacidad para contratar” de las condiciones particulares de los pliegos reguladores del acuerdo marco:</w:t>
      </w:r>
    </w:p>
    <w:p w:rsidR="0095081D" w:rsidRPr="0095081D" w:rsidRDefault="0095081D" w:rsidP="00260A36">
      <w:pPr>
        <w:spacing w:before="120" w:after="120" w:line="360" w:lineRule="auto"/>
        <w:ind w:left="708"/>
        <w:jc w:val="both"/>
        <w:rPr>
          <w:rFonts w:ascii="Arial" w:hAnsi="Arial" w:cs="Arial"/>
          <w:i/>
          <w:color w:val="76923C" w:themeColor="accent3" w:themeShade="BF"/>
          <w:sz w:val="16"/>
          <w:szCs w:val="16"/>
        </w:rPr>
      </w:pPr>
      <w:r>
        <w:rPr>
          <w:rFonts w:ascii="Arial" w:hAnsi="Arial" w:cs="Arial"/>
          <w:color w:val="76923C" w:themeColor="accent3" w:themeShade="BF"/>
          <w:sz w:val="18"/>
          <w:szCs w:val="18"/>
        </w:rPr>
        <w:t>“</w:t>
      </w:r>
      <w:r w:rsidRPr="0095081D">
        <w:rPr>
          <w:rFonts w:ascii="Arial" w:hAnsi="Arial" w:cs="Arial"/>
          <w:i/>
          <w:color w:val="76923C" w:themeColor="accent3" w:themeShade="BF"/>
          <w:sz w:val="16"/>
          <w:szCs w:val="16"/>
        </w:rPr>
        <w:t>Podrán contratar con la Administración las personas naturales o jurídicas, españolas o extranjeras que, contando con la debida autorización</w:t>
      </w:r>
      <w:r w:rsidRPr="0095081D">
        <w:rPr>
          <w:rFonts w:ascii="Arial" w:hAnsi="Arial" w:cs="Arial"/>
          <w:b/>
          <w:i/>
          <w:color w:val="76923C" w:themeColor="accent3" w:themeShade="BF"/>
          <w:sz w:val="16"/>
          <w:szCs w:val="16"/>
        </w:rPr>
        <w:t>, tengan plena capacidad de obrar y acrediten su solvencia económica, financiera y técnica o profesional y no estén incursas en ninguna de las causas de prohibición ni incompatibilidades para</w:t>
      </w:r>
      <w:r w:rsidRPr="0095081D">
        <w:rPr>
          <w:rFonts w:ascii="Arial" w:hAnsi="Arial" w:cs="Arial"/>
          <w:i/>
          <w:color w:val="76923C" w:themeColor="accent3" w:themeShade="BF"/>
          <w:sz w:val="16"/>
          <w:szCs w:val="16"/>
        </w:rPr>
        <w:t xml:space="preserve"> contratar establecidas en Ley Foral 2/2018, de 13 de abril, de Contratos Públicos. Dichos requisitos deberán mantenerse durante toda la vigencia del Acuerdo Marco.</w:t>
      </w:r>
    </w:p>
    <w:p w:rsidR="0095081D" w:rsidRPr="0095081D" w:rsidRDefault="0095081D" w:rsidP="00260A36">
      <w:pPr>
        <w:spacing w:before="120" w:after="120" w:line="360" w:lineRule="auto"/>
        <w:ind w:left="708"/>
        <w:jc w:val="both"/>
        <w:rPr>
          <w:rFonts w:ascii="Arial" w:hAnsi="Arial" w:cs="Arial"/>
          <w:i/>
          <w:color w:val="76923C" w:themeColor="accent3" w:themeShade="BF"/>
          <w:sz w:val="16"/>
          <w:szCs w:val="16"/>
        </w:rPr>
      </w:pPr>
      <w:r w:rsidRPr="0095081D">
        <w:rPr>
          <w:rFonts w:ascii="Arial" w:hAnsi="Arial" w:cs="Arial"/>
          <w:i/>
          <w:color w:val="76923C" w:themeColor="accent3" w:themeShade="BF"/>
          <w:sz w:val="16"/>
          <w:szCs w:val="16"/>
        </w:rPr>
        <w:t>La Administración podrá contratar con uniones de empresarios que se constituyan temporalmente al efecto así como con los licitadores que participen conjuntamente.</w:t>
      </w:r>
    </w:p>
    <w:p w:rsidR="0095081D" w:rsidRDefault="0095081D" w:rsidP="00260A36">
      <w:pPr>
        <w:spacing w:before="120" w:after="120" w:line="360" w:lineRule="auto"/>
        <w:ind w:left="708"/>
        <w:jc w:val="both"/>
        <w:rPr>
          <w:rFonts w:ascii="Arial" w:hAnsi="Arial" w:cs="Arial"/>
          <w:i/>
          <w:color w:val="76923C" w:themeColor="accent3" w:themeShade="BF"/>
          <w:sz w:val="16"/>
          <w:szCs w:val="16"/>
        </w:rPr>
      </w:pPr>
      <w:r w:rsidRPr="0095081D">
        <w:rPr>
          <w:rFonts w:ascii="Arial" w:hAnsi="Arial" w:cs="Arial"/>
          <w:i/>
          <w:color w:val="76923C" w:themeColor="accent3" w:themeShade="BF"/>
          <w:sz w:val="16"/>
          <w:szCs w:val="16"/>
        </w:rPr>
        <w:t>En ambos casos los licitadores agrupados quedarán obligados solidariamente ante la Administración. No será necesaria la constitución en escritura pública de la Unión Temporal de Empresas hasta que se vaya a proceder a formalizar con la misma el Acuerdo Marco.</w:t>
      </w:r>
      <w:r>
        <w:rPr>
          <w:rFonts w:ascii="Arial" w:hAnsi="Arial" w:cs="Arial"/>
          <w:i/>
          <w:color w:val="76923C" w:themeColor="accent3" w:themeShade="BF"/>
          <w:sz w:val="16"/>
          <w:szCs w:val="16"/>
        </w:rPr>
        <w:t>”</w:t>
      </w:r>
      <w:r w:rsidRPr="0095081D">
        <w:rPr>
          <w:rFonts w:ascii="Arial" w:hAnsi="Arial" w:cs="Arial"/>
          <w:i/>
          <w:color w:val="76923C" w:themeColor="accent3" w:themeShade="BF"/>
          <w:sz w:val="16"/>
          <w:szCs w:val="16"/>
        </w:rPr>
        <w:t xml:space="preserve"> </w:t>
      </w:r>
    </w:p>
    <w:p w:rsidR="0095081D" w:rsidRPr="005E7037" w:rsidRDefault="0095081D" w:rsidP="0095081D">
      <w:pPr>
        <w:spacing w:before="120" w:after="120" w:line="360" w:lineRule="auto"/>
        <w:ind w:left="357"/>
        <w:jc w:val="both"/>
        <w:rPr>
          <w:rFonts w:ascii="Arial" w:hAnsi="Arial" w:cs="Arial"/>
          <w:b/>
          <w:i/>
          <w:color w:val="76923C" w:themeColor="accent3" w:themeShade="BF"/>
          <w:sz w:val="16"/>
          <w:szCs w:val="16"/>
        </w:rPr>
      </w:pPr>
      <w:r w:rsidRPr="005E7037">
        <w:rPr>
          <w:rFonts w:ascii="Arial" w:hAnsi="Arial" w:cs="Arial"/>
          <w:b/>
          <w:color w:val="76923C" w:themeColor="accent3" w:themeShade="BF"/>
          <w:sz w:val="16"/>
          <w:szCs w:val="16"/>
        </w:rPr>
        <w:t xml:space="preserve">Por lo tanto, la entidad que presente la oferta, deberá acreditar la solvencia económica, financiera y técnica y profesional exigida en la cláusula 9.2. </w:t>
      </w:r>
      <w:proofErr w:type="gramStart"/>
      <w:r w:rsidRPr="005E7037">
        <w:rPr>
          <w:rFonts w:ascii="Arial" w:hAnsi="Arial" w:cs="Arial"/>
          <w:b/>
          <w:color w:val="76923C" w:themeColor="accent3" w:themeShade="BF"/>
          <w:sz w:val="16"/>
          <w:szCs w:val="16"/>
        </w:rPr>
        <w:t>de</w:t>
      </w:r>
      <w:proofErr w:type="gramEnd"/>
      <w:r w:rsidRPr="005E7037">
        <w:rPr>
          <w:rFonts w:ascii="Arial" w:hAnsi="Arial" w:cs="Arial"/>
          <w:b/>
          <w:color w:val="76923C" w:themeColor="accent3" w:themeShade="BF"/>
          <w:sz w:val="16"/>
          <w:szCs w:val="16"/>
        </w:rPr>
        <w:t xml:space="preserve"> dicho condicionado</w:t>
      </w:r>
      <w:r w:rsidRPr="005E7037">
        <w:rPr>
          <w:rFonts w:ascii="Arial" w:hAnsi="Arial" w:cs="Arial"/>
          <w:b/>
          <w:i/>
          <w:color w:val="76923C" w:themeColor="accent3" w:themeShade="BF"/>
          <w:sz w:val="16"/>
          <w:szCs w:val="16"/>
        </w:rPr>
        <w:t>.</w:t>
      </w:r>
    </w:p>
    <w:p w:rsidR="004058A0" w:rsidRDefault="004058A0" w:rsidP="00037146">
      <w:pPr>
        <w:pStyle w:val="Prrafodelista"/>
        <w:numPr>
          <w:ilvl w:val="0"/>
          <w:numId w:val="1"/>
        </w:numPr>
        <w:spacing w:before="120" w:after="120" w:line="360" w:lineRule="auto"/>
        <w:jc w:val="both"/>
        <w:rPr>
          <w:rFonts w:ascii="Arial" w:hAnsi="Arial" w:cs="Arial"/>
          <w:color w:val="333333"/>
          <w:sz w:val="18"/>
          <w:szCs w:val="18"/>
        </w:rPr>
      </w:pPr>
      <w:r w:rsidRPr="00037146">
        <w:rPr>
          <w:rFonts w:ascii="Arial" w:hAnsi="Arial" w:cs="Arial"/>
          <w:color w:val="333333"/>
          <w:sz w:val="18"/>
          <w:szCs w:val="18"/>
        </w:rPr>
        <w:t>Con respecto a la contratación del personal para el lote 3 del Acuerdo Marco: Servicios de promoción de la autonomía personal y prevención de la dependencia, ese personal tiene que estar contratado a la firma del acuerdo una vez concedido el concierto  o podría hacerse con posterioridad una vez formado el grupo</w:t>
      </w:r>
      <w:proofErr w:type="gramStart"/>
      <w:r w:rsidR="00FD5C1A" w:rsidRPr="00037146">
        <w:rPr>
          <w:rFonts w:ascii="Arial" w:hAnsi="Arial" w:cs="Arial"/>
          <w:color w:val="333333"/>
          <w:sz w:val="18"/>
          <w:szCs w:val="18"/>
        </w:rPr>
        <w:t>?</w:t>
      </w:r>
      <w:proofErr w:type="gramEnd"/>
    </w:p>
    <w:p w:rsidR="00C32B5A" w:rsidRDefault="00C32B5A" w:rsidP="00C32B5A">
      <w:pPr>
        <w:spacing w:before="120" w:after="120" w:line="360" w:lineRule="auto"/>
        <w:ind w:left="360"/>
        <w:jc w:val="both"/>
        <w:rPr>
          <w:rFonts w:ascii="Arial" w:hAnsi="Arial" w:cs="Arial"/>
          <w:color w:val="333333"/>
          <w:sz w:val="18"/>
          <w:szCs w:val="18"/>
        </w:rPr>
      </w:pPr>
      <w:r w:rsidRPr="00C32B5A">
        <w:rPr>
          <w:rFonts w:ascii="Arial" w:hAnsi="Arial" w:cs="Arial"/>
          <w:color w:val="333333"/>
          <w:sz w:val="18"/>
          <w:szCs w:val="18"/>
        </w:rPr>
        <w:t>Si hubiera problemas en esa contratación, por la dificultad de encontrar determinados profesionales,</w:t>
      </w:r>
      <w:r w:rsidR="00217FBC">
        <w:rPr>
          <w:rFonts w:ascii="Arial" w:hAnsi="Arial" w:cs="Arial"/>
          <w:color w:val="333333"/>
          <w:sz w:val="18"/>
          <w:szCs w:val="18"/>
        </w:rPr>
        <w:t xml:space="preserve"> qué pasaría con ese concierto</w:t>
      </w:r>
      <w:proofErr w:type="gramStart"/>
      <w:r w:rsidR="00217FBC">
        <w:rPr>
          <w:rFonts w:ascii="Arial" w:hAnsi="Arial" w:cs="Arial"/>
          <w:color w:val="333333"/>
          <w:sz w:val="18"/>
          <w:szCs w:val="18"/>
        </w:rPr>
        <w:t>?</w:t>
      </w:r>
      <w:proofErr w:type="gramEnd"/>
    </w:p>
    <w:p w:rsidR="00C32B5A" w:rsidRDefault="00C32B5A" w:rsidP="00C32B5A">
      <w:pPr>
        <w:spacing w:before="120" w:after="120" w:line="360" w:lineRule="auto"/>
        <w:ind w:left="360"/>
        <w:jc w:val="both"/>
        <w:rPr>
          <w:rFonts w:ascii="Arial" w:hAnsi="Arial" w:cs="Arial"/>
          <w:color w:val="333333"/>
          <w:sz w:val="18"/>
          <w:szCs w:val="18"/>
        </w:rPr>
      </w:pPr>
      <w:r>
        <w:rPr>
          <w:rFonts w:ascii="Arial" w:hAnsi="Arial" w:cs="Arial"/>
          <w:color w:val="333333"/>
          <w:sz w:val="18"/>
          <w:szCs w:val="18"/>
        </w:rPr>
        <w:t>Según la cláusula 18 de las condiciones particulares de los pliegos reguladores del Acuerdo Marco:</w:t>
      </w:r>
    </w:p>
    <w:p w:rsidR="00FD5C1A" w:rsidRDefault="00FD5C1A" w:rsidP="00C32B5A">
      <w:pPr>
        <w:spacing w:before="120" w:after="120" w:line="360" w:lineRule="auto"/>
        <w:ind w:left="360"/>
        <w:jc w:val="both"/>
        <w:rPr>
          <w:rFonts w:ascii="Arial" w:hAnsi="Arial" w:cs="Arial"/>
          <w:color w:val="76923C" w:themeColor="accent3" w:themeShade="BF"/>
          <w:sz w:val="18"/>
          <w:szCs w:val="18"/>
        </w:rPr>
      </w:pPr>
      <w:r>
        <w:rPr>
          <w:rFonts w:ascii="Arial" w:hAnsi="Arial" w:cs="Arial"/>
          <w:color w:val="76923C" w:themeColor="accent3" w:themeShade="BF"/>
          <w:sz w:val="18"/>
          <w:szCs w:val="18"/>
        </w:rPr>
        <w:t>Respuesta:</w:t>
      </w:r>
      <w:r w:rsidR="00260A36">
        <w:rPr>
          <w:rFonts w:ascii="Arial" w:hAnsi="Arial" w:cs="Arial"/>
          <w:color w:val="76923C" w:themeColor="accent3" w:themeShade="BF"/>
          <w:sz w:val="18"/>
          <w:szCs w:val="18"/>
        </w:rPr>
        <w:t xml:space="preserve"> </w:t>
      </w:r>
    </w:p>
    <w:p w:rsidR="00260A36" w:rsidRPr="00C32B5A" w:rsidRDefault="00260A36" w:rsidP="00C32B5A">
      <w:pPr>
        <w:spacing w:before="120" w:after="120" w:line="360" w:lineRule="auto"/>
        <w:ind w:left="360"/>
        <w:jc w:val="both"/>
        <w:rPr>
          <w:rFonts w:ascii="Arial" w:hAnsi="Arial" w:cs="Arial"/>
          <w:color w:val="333333"/>
          <w:sz w:val="18"/>
          <w:szCs w:val="18"/>
        </w:rPr>
      </w:pPr>
      <w:r>
        <w:rPr>
          <w:rFonts w:ascii="Arial" w:hAnsi="Arial" w:cs="Arial"/>
          <w:color w:val="76923C" w:themeColor="accent3" w:themeShade="BF"/>
          <w:sz w:val="18"/>
          <w:szCs w:val="18"/>
        </w:rPr>
        <w:t xml:space="preserve">Tal y como </w:t>
      </w:r>
      <w:r w:rsidRPr="00BC7D2D">
        <w:rPr>
          <w:rFonts w:ascii="Arial" w:hAnsi="Arial" w:cs="Arial"/>
          <w:color w:val="76923C" w:themeColor="accent3" w:themeShade="BF"/>
          <w:sz w:val="18"/>
          <w:szCs w:val="18"/>
        </w:rPr>
        <w:t>establece la cláusula 18</w:t>
      </w:r>
      <w:r>
        <w:rPr>
          <w:rFonts w:ascii="Arial" w:hAnsi="Arial" w:cs="Arial"/>
          <w:color w:val="76923C" w:themeColor="accent3" w:themeShade="BF"/>
          <w:sz w:val="18"/>
          <w:szCs w:val="18"/>
        </w:rPr>
        <w:t xml:space="preserve"> </w:t>
      </w:r>
      <w:r w:rsidRPr="00BC7D2D">
        <w:rPr>
          <w:rFonts w:ascii="Arial" w:hAnsi="Arial" w:cs="Arial"/>
          <w:color w:val="76923C" w:themeColor="accent3" w:themeShade="BF"/>
          <w:sz w:val="18"/>
          <w:szCs w:val="18"/>
        </w:rPr>
        <w:t>de las condiciones particulares</w:t>
      </w:r>
      <w:r>
        <w:rPr>
          <w:rFonts w:ascii="Arial" w:hAnsi="Arial" w:cs="Arial"/>
          <w:color w:val="76923C" w:themeColor="accent3" w:themeShade="BF"/>
          <w:sz w:val="18"/>
          <w:szCs w:val="18"/>
        </w:rPr>
        <w:t>, y teniendo en cuenta la nota aclaratoria publicada</w:t>
      </w:r>
      <w:r w:rsidRPr="00BC7D2D">
        <w:rPr>
          <w:rFonts w:ascii="Arial" w:hAnsi="Arial" w:cs="Arial"/>
          <w:color w:val="76923C" w:themeColor="accent3" w:themeShade="BF"/>
          <w:sz w:val="18"/>
          <w:szCs w:val="18"/>
        </w:rPr>
        <w:t>:</w:t>
      </w:r>
    </w:p>
    <w:p w:rsidR="00037146" w:rsidRPr="00260A36" w:rsidRDefault="00037146" w:rsidP="00260A36">
      <w:pPr>
        <w:spacing w:before="120" w:after="120" w:line="360" w:lineRule="auto"/>
        <w:ind w:left="708"/>
        <w:jc w:val="both"/>
        <w:rPr>
          <w:rFonts w:ascii="Arial" w:hAnsi="Arial" w:cs="Arial"/>
          <w:i/>
          <w:color w:val="76923C" w:themeColor="accent3" w:themeShade="BF"/>
          <w:sz w:val="18"/>
          <w:szCs w:val="18"/>
        </w:rPr>
      </w:pPr>
      <w:r w:rsidRPr="00037146">
        <w:rPr>
          <w:rFonts w:ascii="Arial" w:hAnsi="Arial" w:cs="Arial"/>
          <w:color w:val="76923C" w:themeColor="accent3" w:themeShade="BF"/>
          <w:sz w:val="18"/>
          <w:szCs w:val="18"/>
        </w:rPr>
        <w:lastRenderedPageBreak/>
        <w:t xml:space="preserve"> </w:t>
      </w:r>
      <w:r w:rsidRPr="00260A36">
        <w:rPr>
          <w:rFonts w:ascii="Arial" w:hAnsi="Arial" w:cs="Arial"/>
          <w:i/>
          <w:color w:val="76923C" w:themeColor="accent3" w:themeShade="BF"/>
          <w:sz w:val="18"/>
          <w:szCs w:val="18"/>
        </w:rPr>
        <w:t xml:space="preserve">“Durante toda la ejecución del Acuerdo Marco las ratios de personal se corresponderán, al menos, con la oferta presentada, en función de las </w:t>
      </w:r>
      <w:r w:rsidRPr="00260A36">
        <w:rPr>
          <w:rFonts w:ascii="Arial" w:hAnsi="Arial" w:cs="Arial"/>
          <w:b/>
          <w:i/>
          <w:color w:val="76923C" w:themeColor="accent3" w:themeShade="BF"/>
          <w:sz w:val="18"/>
          <w:szCs w:val="18"/>
        </w:rPr>
        <w:t>plazas ocupadas</w:t>
      </w:r>
      <w:r w:rsidRPr="00260A36">
        <w:rPr>
          <w:rFonts w:ascii="Arial" w:hAnsi="Arial" w:cs="Arial"/>
          <w:i/>
          <w:color w:val="76923C" w:themeColor="accent3" w:themeShade="BF"/>
          <w:sz w:val="18"/>
          <w:szCs w:val="18"/>
        </w:rPr>
        <w:t xml:space="preserve"> en cada momento y del grado de dependencia del conjunto de usuarios.”.</w:t>
      </w:r>
    </w:p>
    <w:p w:rsidR="00037146" w:rsidRPr="00037146" w:rsidRDefault="00037146" w:rsidP="00037146">
      <w:pPr>
        <w:spacing w:before="120" w:after="120" w:line="360" w:lineRule="auto"/>
        <w:ind w:left="360"/>
        <w:jc w:val="both"/>
        <w:rPr>
          <w:rFonts w:ascii="Arial" w:hAnsi="Arial" w:cs="Arial"/>
          <w:color w:val="76923C" w:themeColor="accent3" w:themeShade="BF"/>
          <w:sz w:val="18"/>
          <w:szCs w:val="18"/>
        </w:rPr>
      </w:pPr>
      <w:r>
        <w:rPr>
          <w:rFonts w:ascii="Arial" w:hAnsi="Arial" w:cs="Arial"/>
          <w:color w:val="76923C" w:themeColor="accent3" w:themeShade="BF"/>
          <w:sz w:val="18"/>
          <w:szCs w:val="18"/>
        </w:rPr>
        <w:t xml:space="preserve">Es decir, mientras no se </w:t>
      </w:r>
      <w:r w:rsidR="00C32B5A">
        <w:rPr>
          <w:rFonts w:ascii="Arial" w:hAnsi="Arial" w:cs="Arial"/>
          <w:color w:val="76923C" w:themeColor="accent3" w:themeShade="BF"/>
          <w:sz w:val="18"/>
          <w:szCs w:val="18"/>
        </w:rPr>
        <w:t>adjudique el contrato derivado, no será exigible</w:t>
      </w:r>
      <w:r w:rsidR="00CE028A">
        <w:rPr>
          <w:rFonts w:ascii="Arial" w:hAnsi="Arial" w:cs="Arial"/>
          <w:color w:val="76923C" w:themeColor="accent3" w:themeShade="BF"/>
          <w:sz w:val="18"/>
          <w:szCs w:val="18"/>
        </w:rPr>
        <w:t xml:space="preserve"> la citada obligación</w:t>
      </w:r>
      <w:r w:rsidR="00C32B5A">
        <w:rPr>
          <w:rFonts w:ascii="Arial" w:hAnsi="Arial" w:cs="Arial"/>
          <w:color w:val="76923C" w:themeColor="accent3" w:themeShade="BF"/>
          <w:sz w:val="18"/>
          <w:szCs w:val="18"/>
        </w:rPr>
        <w:t>.</w:t>
      </w:r>
    </w:p>
    <w:p w:rsidR="00234D7D" w:rsidRPr="00234D7D" w:rsidRDefault="00234D7D" w:rsidP="00234D7D">
      <w:pPr>
        <w:spacing w:before="120" w:after="120" w:line="360" w:lineRule="auto"/>
        <w:ind w:left="357"/>
        <w:jc w:val="both"/>
        <w:rPr>
          <w:rFonts w:ascii="Arial" w:hAnsi="Arial" w:cs="Arial"/>
          <w:color w:val="76923C" w:themeColor="accent3" w:themeShade="BF"/>
          <w:sz w:val="18"/>
          <w:szCs w:val="18"/>
        </w:rPr>
      </w:pPr>
    </w:p>
    <w:p w:rsidR="00234D7D" w:rsidRPr="00234D7D" w:rsidRDefault="00234D7D" w:rsidP="00234D7D">
      <w:pPr>
        <w:pStyle w:val="Prrafodelista"/>
        <w:numPr>
          <w:ilvl w:val="0"/>
          <w:numId w:val="1"/>
        </w:numPr>
        <w:spacing w:before="120" w:after="120" w:line="360" w:lineRule="auto"/>
        <w:ind w:left="357"/>
        <w:jc w:val="both"/>
        <w:rPr>
          <w:rFonts w:ascii="Arial" w:hAnsi="Arial" w:cs="Arial"/>
          <w:sz w:val="18"/>
          <w:szCs w:val="18"/>
        </w:rPr>
      </w:pPr>
      <w:r w:rsidRPr="00234D7D">
        <w:rPr>
          <w:rFonts w:ascii="Arial" w:hAnsi="Arial" w:cs="Arial"/>
          <w:sz w:val="18"/>
          <w:szCs w:val="18"/>
        </w:rPr>
        <w:t xml:space="preserve">“Al respecto de la oferta a presentar y en relación con el lote 3, los pliegos indican:   En el supuesto del lote 3 las plazas ofertadas en un mismo centro se distribuirán en grupos de 10 </w:t>
      </w:r>
      <w:r w:rsidR="00462D2D" w:rsidRPr="00234D7D">
        <w:rPr>
          <w:rFonts w:ascii="Arial" w:hAnsi="Arial" w:cs="Arial"/>
          <w:sz w:val="18"/>
          <w:szCs w:val="18"/>
        </w:rPr>
        <w:t>usuarios. ¿Quiere</w:t>
      </w:r>
      <w:r w:rsidRPr="00234D7D">
        <w:rPr>
          <w:rFonts w:ascii="Arial" w:hAnsi="Arial" w:cs="Arial"/>
          <w:sz w:val="18"/>
          <w:szCs w:val="18"/>
        </w:rPr>
        <w:t xml:space="preserve"> esto decir que tanto en el Anexo II como en el archivo Excel debe indicarse el número de personas total o el número de grupos de 10 resultante?</w:t>
      </w:r>
      <w:r>
        <w:rPr>
          <w:rFonts w:ascii="Arial" w:hAnsi="Arial" w:cs="Arial"/>
          <w:sz w:val="18"/>
          <w:szCs w:val="18"/>
        </w:rPr>
        <w:t>”</w:t>
      </w:r>
    </w:p>
    <w:p w:rsidR="00234D7D" w:rsidRDefault="00234D7D" w:rsidP="00234D7D">
      <w:pPr>
        <w:spacing w:before="120" w:after="120" w:line="360" w:lineRule="auto"/>
        <w:ind w:left="357"/>
        <w:jc w:val="both"/>
        <w:rPr>
          <w:rFonts w:ascii="Arial" w:hAnsi="Arial" w:cs="Arial"/>
          <w:color w:val="76923C" w:themeColor="accent3" w:themeShade="BF"/>
          <w:sz w:val="18"/>
          <w:szCs w:val="18"/>
        </w:rPr>
      </w:pPr>
      <w:r>
        <w:rPr>
          <w:rFonts w:ascii="Arial" w:hAnsi="Arial" w:cs="Arial"/>
          <w:color w:val="76923C" w:themeColor="accent3" w:themeShade="BF"/>
          <w:sz w:val="18"/>
          <w:szCs w:val="18"/>
        </w:rPr>
        <w:t>Respuesta:</w:t>
      </w:r>
    </w:p>
    <w:p w:rsidR="00234D7D" w:rsidRPr="00234D7D" w:rsidRDefault="00234D7D" w:rsidP="00234D7D">
      <w:pPr>
        <w:spacing w:before="120" w:after="120" w:line="360" w:lineRule="auto"/>
        <w:ind w:left="357"/>
        <w:jc w:val="both"/>
        <w:rPr>
          <w:rFonts w:ascii="Arial" w:hAnsi="Arial" w:cs="Arial"/>
          <w:color w:val="76923C" w:themeColor="accent3" w:themeShade="BF"/>
          <w:sz w:val="18"/>
          <w:szCs w:val="18"/>
        </w:rPr>
      </w:pPr>
      <w:r>
        <w:rPr>
          <w:rFonts w:ascii="Arial" w:hAnsi="Arial" w:cs="Arial"/>
          <w:color w:val="76923C" w:themeColor="accent3" w:themeShade="BF"/>
          <w:sz w:val="18"/>
          <w:szCs w:val="18"/>
        </w:rPr>
        <w:t>En la Excel debe indicarse el número de personas.</w:t>
      </w:r>
    </w:p>
    <w:p w:rsidR="00234D7D" w:rsidRPr="00234D7D" w:rsidRDefault="00234D7D" w:rsidP="00234D7D">
      <w:pPr>
        <w:spacing w:before="120" w:after="120" w:line="360" w:lineRule="auto"/>
        <w:ind w:left="357"/>
        <w:jc w:val="both"/>
        <w:rPr>
          <w:rFonts w:ascii="Arial" w:hAnsi="Arial" w:cs="Arial"/>
          <w:color w:val="76923C" w:themeColor="accent3" w:themeShade="BF"/>
          <w:sz w:val="18"/>
          <w:szCs w:val="18"/>
        </w:rPr>
      </w:pPr>
      <w:r w:rsidRPr="00234D7D">
        <w:rPr>
          <w:rFonts w:ascii="Arial" w:hAnsi="Arial" w:cs="Arial"/>
          <w:color w:val="76923C" w:themeColor="accent3" w:themeShade="BF"/>
          <w:sz w:val="18"/>
          <w:szCs w:val="18"/>
        </w:rPr>
        <w:t xml:space="preserve"> </w:t>
      </w:r>
    </w:p>
    <w:p w:rsidR="0095081D" w:rsidRDefault="00234D7D" w:rsidP="00234D7D">
      <w:pPr>
        <w:pStyle w:val="Prrafodelista"/>
        <w:numPr>
          <w:ilvl w:val="0"/>
          <w:numId w:val="1"/>
        </w:numPr>
        <w:spacing w:before="120" w:after="120" w:line="360" w:lineRule="auto"/>
        <w:jc w:val="both"/>
        <w:rPr>
          <w:rFonts w:ascii="Arial" w:hAnsi="Arial" w:cs="Arial"/>
          <w:sz w:val="18"/>
          <w:szCs w:val="18"/>
        </w:rPr>
      </w:pPr>
      <w:r w:rsidRPr="00234D7D">
        <w:rPr>
          <w:rFonts w:ascii="Arial" w:hAnsi="Arial" w:cs="Arial"/>
          <w:sz w:val="18"/>
          <w:szCs w:val="18"/>
        </w:rPr>
        <w:t>“Al respecto a personas no dependientes, los pliegos indican un mínimo de plazas para personas no dependientes y que se pueden ofrecer más plazas de las mínimas. Sin embargo ni el Anexo II ni la Excel incluyen una casilla para esta posibilidad ¿cómo y dónde se puede detallar esto?”</w:t>
      </w:r>
    </w:p>
    <w:p w:rsidR="00234D7D" w:rsidRDefault="00234D7D" w:rsidP="00FD5C1A">
      <w:pPr>
        <w:spacing w:before="120" w:after="120" w:line="360" w:lineRule="auto"/>
        <w:ind w:firstLine="360"/>
        <w:jc w:val="both"/>
        <w:rPr>
          <w:rFonts w:ascii="Arial" w:hAnsi="Arial" w:cs="Arial"/>
          <w:color w:val="76923C" w:themeColor="accent3" w:themeShade="BF"/>
          <w:sz w:val="18"/>
          <w:szCs w:val="18"/>
        </w:rPr>
      </w:pPr>
      <w:r w:rsidRPr="00FD5C1A">
        <w:rPr>
          <w:rFonts w:ascii="Arial" w:hAnsi="Arial" w:cs="Arial"/>
          <w:color w:val="76923C" w:themeColor="accent3" w:themeShade="BF"/>
          <w:sz w:val="18"/>
          <w:szCs w:val="18"/>
        </w:rPr>
        <w:t>Respuesta:</w:t>
      </w:r>
      <w:r w:rsidR="00FD5C1A">
        <w:rPr>
          <w:rFonts w:ascii="Arial" w:hAnsi="Arial" w:cs="Arial"/>
          <w:color w:val="76923C" w:themeColor="accent3" w:themeShade="BF"/>
          <w:sz w:val="18"/>
          <w:szCs w:val="18"/>
        </w:rPr>
        <w:t xml:space="preserve"> ver el nuevo ANEXO II (</w:t>
      </w:r>
      <w:r w:rsidR="00CE57E2">
        <w:rPr>
          <w:rFonts w:ascii="Arial" w:hAnsi="Arial" w:cs="Arial"/>
          <w:color w:val="76923C" w:themeColor="accent3" w:themeShade="BF"/>
          <w:sz w:val="18"/>
          <w:szCs w:val="18"/>
        </w:rPr>
        <w:t>COMPLETADO</w:t>
      </w:r>
      <w:r w:rsidR="00FD5C1A">
        <w:rPr>
          <w:rFonts w:ascii="Arial" w:hAnsi="Arial" w:cs="Arial"/>
          <w:color w:val="76923C" w:themeColor="accent3" w:themeShade="BF"/>
          <w:sz w:val="18"/>
          <w:szCs w:val="18"/>
        </w:rPr>
        <w:t>), en el que se incluye esta posibilidad.</w:t>
      </w:r>
    </w:p>
    <w:p w:rsidR="00C93EC1" w:rsidRPr="00C93EC1" w:rsidRDefault="00C93EC1" w:rsidP="00C93EC1">
      <w:pPr>
        <w:pStyle w:val="Prrafodelista"/>
        <w:numPr>
          <w:ilvl w:val="0"/>
          <w:numId w:val="1"/>
        </w:numPr>
        <w:spacing w:before="120" w:after="120" w:line="360" w:lineRule="auto"/>
        <w:jc w:val="both"/>
        <w:rPr>
          <w:rFonts w:ascii="Arial" w:hAnsi="Arial" w:cs="Arial"/>
          <w:sz w:val="18"/>
          <w:szCs w:val="18"/>
        </w:rPr>
      </w:pPr>
      <w:r w:rsidRPr="00C93EC1">
        <w:rPr>
          <w:rFonts w:ascii="Arial" w:hAnsi="Arial" w:cs="Arial"/>
          <w:sz w:val="18"/>
          <w:szCs w:val="18"/>
        </w:rPr>
        <w:t>En la página 19 del PCAP se indica lo siguiente:</w:t>
      </w:r>
    </w:p>
    <w:p w:rsidR="00C93EC1" w:rsidRPr="00C93EC1" w:rsidRDefault="00C93EC1" w:rsidP="00C93EC1">
      <w:pPr>
        <w:spacing w:before="120" w:after="120" w:line="360" w:lineRule="auto"/>
        <w:ind w:left="360"/>
        <w:jc w:val="both"/>
        <w:rPr>
          <w:rFonts w:ascii="Arial" w:hAnsi="Arial" w:cs="Arial"/>
          <w:sz w:val="18"/>
          <w:szCs w:val="18"/>
        </w:rPr>
      </w:pPr>
      <w:r w:rsidRPr="00C93EC1">
        <w:rPr>
          <w:rFonts w:ascii="Arial" w:hAnsi="Arial" w:cs="Arial"/>
          <w:sz w:val="18"/>
          <w:szCs w:val="18"/>
        </w:rPr>
        <w:t xml:space="preserve">Además se presentará una cuenta de explotación provisional de gastos, desglosada a nivel de cuenta (tres dígitos), según el Plan General de Contabilidad, congruente con la oferta económica presentada, incluyendo un breve comentario sobre la composición de las cuentas, porcentaje de beneficio sobre los totales de gastos de explotación previstos, </w:t>
      </w:r>
      <w:proofErr w:type="spellStart"/>
      <w:r w:rsidRPr="00C93EC1">
        <w:rPr>
          <w:rFonts w:ascii="Arial" w:hAnsi="Arial" w:cs="Arial"/>
          <w:sz w:val="18"/>
          <w:szCs w:val="18"/>
        </w:rPr>
        <w:t>etc</w:t>
      </w:r>
      <w:proofErr w:type="spellEnd"/>
    </w:p>
    <w:p w:rsidR="00C93EC1" w:rsidRPr="00C93EC1" w:rsidRDefault="00C93EC1" w:rsidP="00C93EC1">
      <w:pPr>
        <w:pStyle w:val="Prrafodelista"/>
        <w:numPr>
          <w:ilvl w:val="0"/>
          <w:numId w:val="2"/>
        </w:numPr>
        <w:spacing w:before="120" w:after="120" w:line="360" w:lineRule="auto"/>
        <w:jc w:val="both"/>
        <w:rPr>
          <w:rFonts w:ascii="Arial" w:hAnsi="Arial" w:cs="Arial"/>
          <w:sz w:val="18"/>
          <w:szCs w:val="18"/>
        </w:rPr>
      </w:pPr>
      <w:r w:rsidRPr="00C93EC1">
        <w:rPr>
          <w:rFonts w:ascii="Arial" w:hAnsi="Arial" w:cs="Arial"/>
          <w:sz w:val="18"/>
          <w:szCs w:val="18"/>
        </w:rPr>
        <w:t>¿Hay que presentar una cuenta de explotación por servicio (Residencia, estancias diurnas y servicios de promoción de la autonomía personal) o global para todos los servicios?</w:t>
      </w:r>
    </w:p>
    <w:p w:rsidR="00C93EC1" w:rsidRPr="00C93EC1" w:rsidRDefault="00C93EC1" w:rsidP="00C93EC1">
      <w:pPr>
        <w:pStyle w:val="Prrafodelista"/>
        <w:numPr>
          <w:ilvl w:val="0"/>
          <w:numId w:val="2"/>
        </w:numPr>
        <w:spacing w:before="120" w:after="120" w:line="360" w:lineRule="auto"/>
        <w:jc w:val="both"/>
        <w:rPr>
          <w:rFonts w:ascii="Arial" w:hAnsi="Arial" w:cs="Arial"/>
          <w:sz w:val="18"/>
          <w:szCs w:val="18"/>
        </w:rPr>
      </w:pPr>
      <w:r w:rsidRPr="00C93EC1">
        <w:rPr>
          <w:rFonts w:ascii="Arial" w:hAnsi="Arial" w:cs="Arial"/>
          <w:sz w:val="18"/>
          <w:szCs w:val="18"/>
        </w:rPr>
        <w:t>Dicha cuenta, ¿hay que realizarla sobre las plazas ofertadas para el acuerdo marco, o bien para el total de plazas del Centro?</w:t>
      </w:r>
    </w:p>
    <w:p w:rsidR="00C93EC1" w:rsidRDefault="00C93EC1" w:rsidP="00C93EC1">
      <w:pPr>
        <w:spacing w:before="120" w:after="120" w:line="360" w:lineRule="auto"/>
        <w:ind w:left="360"/>
        <w:jc w:val="both"/>
        <w:rPr>
          <w:rFonts w:ascii="Arial" w:hAnsi="Arial" w:cs="Arial"/>
          <w:color w:val="76923C" w:themeColor="accent3" w:themeShade="BF"/>
          <w:sz w:val="18"/>
          <w:szCs w:val="18"/>
        </w:rPr>
      </w:pPr>
      <w:r w:rsidRPr="00C93EC1">
        <w:rPr>
          <w:rFonts w:ascii="Arial" w:hAnsi="Arial" w:cs="Arial"/>
          <w:color w:val="76923C" w:themeColor="accent3" w:themeShade="BF"/>
          <w:sz w:val="18"/>
          <w:szCs w:val="18"/>
        </w:rPr>
        <w:t>Respuesta:</w:t>
      </w:r>
    </w:p>
    <w:p w:rsidR="00C93EC1" w:rsidRPr="00C93EC1" w:rsidRDefault="00C93EC1" w:rsidP="00C93EC1">
      <w:pPr>
        <w:spacing w:before="120" w:after="120" w:line="360" w:lineRule="auto"/>
        <w:ind w:left="360"/>
        <w:jc w:val="both"/>
        <w:rPr>
          <w:rFonts w:ascii="Arial" w:hAnsi="Arial" w:cs="Arial"/>
          <w:color w:val="76923C" w:themeColor="accent3" w:themeShade="BF"/>
          <w:sz w:val="18"/>
          <w:szCs w:val="18"/>
        </w:rPr>
      </w:pPr>
      <w:r>
        <w:rPr>
          <w:rFonts w:ascii="Arial" w:hAnsi="Arial" w:cs="Arial"/>
          <w:color w:val="76923C" w:themeColor="accent3" w:themeShade="BF"/>
          <w:sz w:val="18"/>
          <w:szCs w:val="18"/>
        </w:rPr>
        <w:t>La cuenta de explotación debe realizarse para el total de plazas del centro, desglosando en la medida de lo</w:t>
      </w:r>
      <w:r w:rsidR="009A2687">
        <w:rPr>
          <w:rFonts w:ascii="Arial" w:hAnsi="Arial" w:cs="Arial"/>
          <w:color w:val="76923C" w:themeColor="accent3" w:themeShade="BF"/>
          <w:sz w:val="18"/>
          <w:szCs w:val="18"/>
        </w:rPr>
        <w:t xml:space="preserve"> posible por los diferentes servicios.</w:t>
      </w:r>
      <w:bookmarkStart w:id="0" w:name="_GoBack"/>
      <w:bookmarkEnd w:id="0"/>
    </w:p>
    <w:p w:rsidR="00234D7D" w:rsidRPr="00234D7D" w:rsidRDefault="00234D7D" w:rsidP="00234D7D">
      <w:pPr>
        <w:spacing w:before="120" w:after="120" w:line="360" w:lineRule="auto"/>
        <w:jc w:val="both"/>
        <w:rPr>
          <w:rFonts w:ascii="Arial" w:hAnsi="Arial" w:cs="Arial"/>
          <w:color w:val="00B050"/>
          <w:sz w:val="18"/>
          <w:szCs w:val="18"/>
        </w:rPr>
      </w:pPr>
    </w:p>
    <w:sectPr w:rsidR="00234D7D" w:rsidRPr="00234D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95051"/>
    <w:multiLevelType w:val="hybridMultilevel"/>
    <w:tmpl w:val="D63C628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D0C7C63"/>
    <w:multiLevelType w:val="hybridMultilevel"/>
    <w:tmpl w:val="3CFAA762"/>
    <w:lvl w:ilvl="0" w:tplc="2850E08E">
      <w:start w:val="1"/>
      <w:numFmt w:val="decimal"/>
      <w:lvlText w:val="%1."/>
      <w:lvlJc w:val="left"/>
      <w:pPr>
        <w:ind w:left="1368" w:hanging="10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E513CE1"/>
    <w:multiLevelType w:val="hybridMultilevel"/>
    <w:tmpl w:val="EDEAB5E8"/>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FF2"/>
    <w:rsid w:val="00013BCC"/>
    <w:rsid w:val="00037146"/>
    <w:rsid w:val="000E7572"/>
    <w:rsid w:val="001E4FF2"/>
    <w:rsid w:val="00217FBC"/>
    <w:rsid w:val="00234D7D"/>
    <w:rsid w:val="00260A36"/>
    <w:rsid w:val="003946C3"/>
    <w:rsid w:val="004058A0"/>
    <w:rsid w:val="00462D2D"/>
    <w:rsid w:val="004F6DAD"/>
    <w:rsid w:val="005E7037"/>
    <w:rsid w:val="00600EB9"/>
    <w:rsid w:val="0063622F"/>
    <w:rsid w:val="0063740D"/>
    <w:rsid w:val="006B4A40"/>
    <w:rsid w:val="006F6B8F"/>
    <w:rsid w:val="007D42DB"/>
    <w:rsid w:val="0095081D"/>
    <w:rsid w:val="009A2687"/>
    <w:rsid w:val="00A225B6"/>
    <w:rsid w:val="00AA0411"/>
    <w:rsid w:val="00B94F6A"/>
    <w:rsid w:val="00BC7D2D"/>
    <w:rsid w:val="00C32B5A"/>
    <w:rsid w:val="00C45955"/>
    <w:rsid w:val="00C93EC1"/>
    <w:rsid w:val="00CD7E7F"/>
    <w:rsid w:val="00CE028A"/>
    <w:rsid w:val="00CE57E2"/>
    <w:rsid w:val="00D34926"/>
    <w:rsid w:val="00FD5C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B8F"/>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qFormat/>
    <w:rsid w:val="001E4F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1E4FF2"/>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1E4FF2"/>
    <w:pPr>
      <w:ind w:left="720"/>
      <w:contextualSpacing/>
    </w:pPr>
  </w:style>
  <w:style w:type="character" w:styleId="Hipervnculo">
    <w:name w:val="Hyperlink"/>
    <w:basedOn w:val="Fuentedeprrafopredeter"/>
    <w:rsid w:val="00CD7E7F"/>
    <w:rPr>
      <w:color w:val="0000FF" w:themeColor="hyperlink"/>
      <w:u w:val="single"/>
    </w:rPr>
  </w:style>
  <w:style w:type="character" w:styleId="Hipervnculovisitado">
    <w:name w:val="FollowedHyperlink"/>
    <w:basedOn w:val="Fuentedeprrafopredeter"/>
    <w:rsid w:val="000E757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B8F"/>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qFormat/>
    <w:rsid w:val="001E4F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1E4FF2"/>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1E4FF2"/>
    <w:pPr>
      <w:ind w:left="720"/>
      <w:contextualSpacing/>
    </w:pPr>
  </w:style>
  <w:style w:type="character" w:styleId="Hipervnculo">
    <w:name w:val="Hyperlink"/>
    <w:basedOn w:val="Fuentedeprrafopredeter"/>
    <w:rsid w:val="00CD7E7F"/>
    <w:rPr>
      <w:color w:val="0000FF" w:themeColor="hyperlink"/>
      <w:u w:val="single"/>
    </w:rPr>
  </w:style>
  <w:style w:type="character" w:styleId="Hipervnculovisitado">
    <w:name w:val="FollowedHyperlink"/>
    <w:basedOn w:val="Fuentedeprrafopredeter"/>
    <w:rsid w:val="000E75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301062">
      <w:bodyDiv w:val="1"/>
      <w:marLeft w:val="0"/>
      <w:marRight w:val="0"/>
      <w:marTop w:val="0"/>
      <w:marBottom w:val="0"/>
      <w:divBdr>
        <w:top w:val="none" w:sz="0" w:space="0" w:color="auto"/>
        <w:left w:val="none" w:sz="0" w:space="0" w:color="auto"/>
        <w:bottom w:val="none" w:sz="0" w:space="0" w:color="auto"/>
        <w:right w:val="none" w:sz="0" w:space="0" w:color="auto"/>
      </w:divBdr>
    </w:div>
    <w:div w:id="155526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xnavarra.navarra.es/detalle.asp?r=2989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1318</TotalTime>
  <Pages>3</Pages>
  <Words>1134</Words>
  <Characters>6238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X044072</dc:creator>
  <cp:lastModifiedBy>X044072</cp:lastModifiedBy>
  <cp:revision>16</cp:revision>
  <cp:lastPrinted>2019-02-21T13:34:00Z</cp:lastPrinted>
  <dcterms:created xsi:type="dcterms:W3CDTF">2019-02-19T12:32:00Z</dcterms:created>
  <dcterms:modified xsi:type="dcterms:W3CDTF">2019-02-22T12:18:00Z</dcterms:modified>
</cp:coreProperties>
</file>