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EF4" w:rsidRPr="00343944" w:rsidRDefault="00887EF4" w:rsidP="00887E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ANEXO V</w:t>
      </w:r>
    </w:p>
    <w:p w:rsidR="00887EF4" w:rsidRPr="00343944" w:rsidRDefault="00887EF4" w:rsidP="00887EF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43944">
        <w:rPr>
          <w:rFonts w:ascii="Calibri" w:hAnsi="Calibri" w:cs="Calibri"/>
          <w:b/>
          <w:sz w:val="22"/>
          <w:szCs w:val="22"/>
        </w:rPr>
        <w:t>Para facilitar la comprobación de las prescripciones técnicas de la oferta</w:t>
      </w:r>
    </w:p>
    <w:p w:rsidR="00887EF4" w:rsidRPr="00343944" w:rsidRDefault="00887EF4" w:rsidP="00887EF4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887EF4" w:rsidRPr="00343944" w:rsidRDefault="00887EF4" w:rsidP="00887EF4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343944">
        <w:rPr>
          <w:rFonts w:ascii="Calibri" w:hAnsi="Calibri" w:cs="Calibri"/>
          <w:b/>
          <w:sz w:val="22"/>
          <w:szCs w:val="22"/>
        </w:rPr>
        <w:t xml:space="preserve"> (para presentar en el Sobre BC) </w:t>
      </w:r>
    </w:p>
    <w:p w:rsidR="00887EF4" w:rsidRDefault="00887EF4" w:rsidP="00887EF4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887EF4" w:rsidRPr="003D0E6E" w:rsidRDefault="00887EF4" w:rsidP="00887EF4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887EF4" w:rsidRDefault="00887EF4" w:rsidP="00887EF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LICITADOR: …………………………….</w:t>
      </w:r>
    </w:p>
    <w:p w:rsidR="00887EF4" w:rsidRDefault="00887EF4" w:rsidP="00887EF4">
      <w:pPr>
        <w:jc w:val="both"/>
        <w:rPr>
          <w:rFonts w:ascii="Calibri" w:hAnsi="Calibri" w:cs="Calibri"/>
          <w:sz w:val="22"/>
          <w:szCs w:val="22"/>
        </w:rPr>
      </w:pPr>
    </w:p>
    <w:p w:rsidR="00887EF4" w:rsidRDefault="00887EF4" w:rsidP="00887EF4">
      <w:pPr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0"/>
        <w:gridCol w:w="877"/>
        <w:gridCol w:w="952"/>
      </w:tblGrid>
      <w:tr w:rsidR="00887EF4" w:rsidRPr="00DF0163" w:rsidTr="002A7D15">
        <w:tc>
          <w:tcPr>
            <w:tcW w:w="84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81" w:type="dxa"/>
            <w:tcBorders>
              <w:left w:val="single" w:sz="4" w:space="0" w:color="auto"/>
            </w:tcBorders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18"/>
                <w:szCs w:val="18"/>
                <w:lang w:val="es-ES"/>
              </w:rPr>
              <w:t>El material ofertado tiene: (SÍ/NO o dato)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887EF4" w:rsidRPr="00DF0163" w:rsidRDefault="00887EF4" w:rsidP="002A7D15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s-ES"/>
              </w:rPr>
            </w:pPr>
            <w:r w:rsidRPr="00DF0163">
              <w:rPr>
                <w:rFonts w:ascii="Calibri" w:hAnsi="Calibri" w:cs="Calibri"/>
                <w:b/>
                <w:sz w:val="18"/>
                <w:szCs w:val="18"/>
                <w:lang w:val="es-ES"/>
              </w:rPr>
              <w:t>Página en la que figura en el dossier:</w:t>
            </w: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Reactivos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1"/>
                <w:numId w:val="2"/>
              </w:numPr>
              <w:shd w:val="clear" w:color="auto" w:fill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 xml:space="preserve"> IgE Total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1"/>
                <w:numId w:val="2"/>
              </w:numPr>
              <w:shd w:val="clear" w:color="auto" w:fill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 xml:space="preserve"> IgE específica frente a Alérgenos individuales (extractos completos y componentes moleculares) y mezclas, incluyendo test de screening de alergia a inhalantes y a alimentos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2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 xml:space="preserve"> Triptasa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1"/>
                <w:numId w:val="2"/>
              </w:numPr>
              <w:shd w:val="clear" w:color="auto" w:fill="auto"/>
              <w:ind w:left="426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 xml:space="preserve"> ECP (Proteína Catiónica del Eosinófilo)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2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 xml:space="preserve"> IgG4 específicas frente a Alérgenos individuales (extractos completos y componentes moleculares)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2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 xml:space="preserve"> Presentación reducida de reactivos de baja demanda (10 test máximo)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Metodología analítica</w:t>
            </w: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2.1. </w:t>
            </w:r>
            <w:r w:rsidRPr="00DF0163">
              <w:rPr>
                <w:rFonts w:ascii="Calibri" w:hAnsi="Calibri" w:cs="Calibri"/>
                <w:sz w:val="22"/>
                <w:szCs w:val="22"/>
              </w:rPr>
              <w:t>General para todas las pruebas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80063">
              <w:rPr>
                <w:rFonts w:ascii="Calibri" w:hAnsi="Calibri" w:cs="Calibri"/>
                <w:sz w:val="22"/>
                <w:szCs w:val="22"/>
              </w:rPr>
              <w:t>Técnica analítica basada en enzimoinmunoensayo con marcaje fluorométrico o similar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80063">
              <w:rPr>
                <w:rFonts w:ascii="Calibri" w:hAnsi="Calibri" w:cs="Calibri"/>
                <w:sz w:val="22"/>
                <w:szCs w:val="22"/>
              </w:rPr>
              <w:t>Caducidad mínima superior a 12 meses desde su recepción para, al menos, el 90% de los alérgenos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80063">
              <w:rPr>
                <w:rFonts w:ascii="Calibri" w:hAnsi="Calibri" w:cs="Calibri"/>
                <w:sz w:val="22"/>
                <w:szCs w:val="22"/>
              </w:rPr>
              <w:t>Calibración trazable al estándar internacional de la OMS (11/234 o equivalente vigente)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80063">
              <w:rPr>
                <w:rFonts w:ascii="Calibri" w:hAnsi="Calibri" w:cs="Calibri"/>
                <w:sz w:val="22"/>
                <w:szCs w:val="22"/>
              </w:rPr>
              <w:t>Reactivos listos para su uso (sin manipulación) en el ensayo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80063">
              <w:rPr>
                <w:rFonts w:ascii="Calibri" w:hAnsi="Calibri" w:cs="Calibri"/>
                <w:sz w:val="22"/>
                <w:szCs w:val="22"/>
              </w:rPr>
              <w:t>Reactivos con estabilidad una vez abiertos de al menos 28 días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80063">
              <w:rPr>
                <w:rFonts w:ascii="Calibri" w:hAnsi="Calibri" w:cs="Calibri"/>
                <w:sz w:val="22"/>
                <w:szCs w:val="22"/>
              </w:rPr>
              <w:t>Ensayo cuantitativo (salvo en test de screening)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3"/>
              </w:numPr>
              <w:rPr>
                <w:rFonts w:ascii="Calibri" w:hAnsi="Calibri" w:cs="Calibri"/>
                <w:sz w:val="22"/>
                <w:szCs w:val="22"/>
              </w:rPr>
            </w:pPr>
            <w:r w:rsidRPr="00480063">
              <w:rPr>
                <w:rFonts w:ascii="Calibri" w:hAnsi="Calibri" w:cs="Calibri"/>
                <w:sz w:val="22"/>
                <w:szCs w:val="22"/>
              </w:rPr>
              <w:t>Disponibilidad de Controles de Calidad Externos (a cargo del adjudicatario) e Internos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1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>Determinación de IgE Total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681102">
              <w:rPr>
                <w:rFonts w:ascii="Calibri" w:hAnsi="Calibri" w:cs="Calibri"/>
                <w:sz w:val="22"/>
                <w:szCs w:val="22"/>
              </w:rPr>
              <w:t>Fase sólida con Anticuerpos anti-IgE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4"/>
              </w:numPr>
              <w:rPr>
                <w:rFonts w:ascii="Calibri" w:hAnsi="Calibri" w:cs="Calibri"/>
                <w:sz w:val="22"/>
                <w:szCs w:val="22"/>
              </w:rPr>
            </w:pPr>
            <w:r w:rsidRPr="00681102">
              <w:rPr>
                <w:rFonts w:ascii="Calibri" w:hAnsi="Calibri" w:cs="Calibri"/>
                <w:sz w:val="22"/>
                <w:szCs w:val="22"/>
              </w:rPr>
              <w:t>Curva de calibración con mínimo de seis puntos de calibración, con rango de medición al menos entre 2 y 5000 kU/L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1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>Determinación de IgE específicas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DE1EE3">
              <w:rPr>
                <w:rFonts w:ascii="Calibri" w:hAnsi="Calibri" w:cs="Calibri"/>
                <w:sz w:val="22"/>
                <w:szCs w:val="22"/>
              </w:rPr>
              <w:t>Determinación de Antígeno en Fase Sólida de alta capacidad de unión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DE1EE3">
              <w:rPr>
                <w:rFonts w:ascii="Calibri" w:hAnsi="Calibri" w:cs="Calibri"/>
                <w:sz w:val="22"/>
                <w:szCs w:val="22"/>
              </w:rPr>
              <w:t>Curva de calibración única aplicable a todos los alérgenos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numPr>
                <w:ilvl w:val="0"/>
                <w:numId w:val="5"/>
              </w:numPr>
              <w:rPr>
                <w:rFonts w:ascii="Calibri" w:hAnsi="Calibri" w:cs="Calibri"/>
                <w:sz w:val="22"/>
                <w:szCs w:val="22"/>
              </w:rPr>
            </w:pPr>
            <w:r w:rsidRPr="00DE1EE3">
              <w:rPr>
                <w:rFonts w:ascii="Calibri" w:hAnsi="Calibri" w:cs="Calibri"/>
                <w:sz w:val="22"/>
                <w:szCs w:val="22"/>
              </w:rPr>
              <w:t>Mínimo de seis puntos de calibración, con rango de medición al menos entre 0.1 y 100 kUA/L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1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>Determinación de Triptasa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0"/>
                <w:numId w:val="6"/>
              </w:numPr>
              <w:shd w:val="clear" w:color="auto" w:fill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7FDC">
              <w:rPr>
                <w:rFonts w:ascii="Calibri" w:hAnsi="Calibri" w:cs="Calibri"/>
                <w:sz w:val="22"/>
                <w:szCs w:val="22"/>
              </w:rPr>
              <w:t>Fase sólida con Anticuerpos monoclonales anti-</w:t>
            </w:r>
            <w:proofErr w:type="spellStart"/>
            <w:r w:rsidRPr="00487FDC">
              <w:rPr>
                <w:rFonts w:ascii="Calibri" w:hAnsi="Calibri" w:cs="Calibri"/>
                <w:sz w:val="22"/>
                <w:szCs w:val="22"/>
              </w:rPr>
              <w:t>triptasa</w:t>
            </w:r>
            <w:proofErr w:type="spellEnd"/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0"/>
                <w:numId w:val="6"/>
              </w:numPr>
              <w:shd w:val="clear" w:color="auto" w:fill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487FDC">
              <w:rPr>
                <w:rFonts w:ascii="Calibri" w:hAnsi="Calibri" w:cs="Calibri"/>
                <w:sz w:val="22"/>
                <w:szCs w:val="22"/>
              </w:rPr>
              <w:lastRenderedPageBreak/>
              <w:t>Curva de calibración con mínimo de seis puntos de calibración, con rango de medición al menos entre 1 y 200 µg/L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1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>Determinación de ECP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0"/>
                <w:numId w:val="7"/>
              </w:numPr>
              <w:shd w:val="clear" w:color="auto" w:fill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F6604">
              <w:rPr>
                <w:rFonts w:ascii="Calibri" w:hAnsi="Calibri" w:cs="Calibri"/>
                <w:sz w:val="22"/>
                <w:szCs w:val="22"/>
              </w:rPr>
              <w:t>Fase sólida con Anticuerpos monoclonales anti-</w:t>
            </w:r>
            <w:proofErr w:type="spellStart"/>
            <w:r w:rsidRPr="001F6604">
              <w:rPr>
                <w:rFonts w:ascii="Calibri" w:hAnsi="Calibri" w:cs="Calibri"/>
                <w:sz w:val="22"/>
                <w:szCs w:val="22"/>
              </w:rPr>
              <w:t>triptasa</w:t>
            </w:r>
            <w:proofErr w:type="spellEnd"/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0"/>
                <w:numId w:val="7"/>
              </w:numPr>
              <w:shd w:val="clear" w:color="auto" w:fill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F6604">
              <w:rPr>
                <w:rFonts w:ascii="Calibri" w:hAnsi="Calibri" w:cs="Calibri"/>
                <w:sz w:val="22"/>
                <w:szCs w:val="22"/>
              </w:rPr>
              <w:t>Curva de calibración con mínimo de seis puntos de calibración, con rango de medición al menos entre 0.5 y 200 µg/L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887EF4">
            <w:pPr>
              <w:numPr>
                <w:ilvl w:val="1"/>
                <w:numId w:val="1"/>
              </w:numPr>
              <w:shd w:val="clear" w:color="auto" w:fill="auto"/>
              <w:ind w:left="426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sz w:val="22"/>
                <w:szCs w:val="22"/>
              </w:rPr>
              <w:t>Determinación de IgG4 específicas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0"/>
                <w:numId w:val="8"/>
              </w:numPr>
              <w:shd w:val="clear" w:color="auto" w:fill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F6604">
              <w:rPr>
                <w:rFonts w:ascii="Calibri" w:hAnsi="Calibri" w:cs="Calibri"/>
                <w:sz w:val="22"/>
                <w:szCs w:val="22"/>
              </w:rPr>
              <w:t>Determinación de Antígeno en Fase Sólida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DF0163" w:rsidRDefault="00887EF4" w:rsidP="00887EF4">
            <w:pPr>
              <w:pStyle w:val="Prrafodelista"/>
              <w:numPr>
                <w:ilvl w:val="0"/>
                <w:numId w:val="8"/>
              </w:numPr>
              <w:shd w:val="clear" w:color="auto" w:fill="auto"/>
              <w:contextualSpacing/>
              <w:rPr>
                <w:rFonts w:ascii="Calibri" w:hAnsi="Calibri" w:cs="Calibri"/>
                <w:sz w:val="22"/>
                <w:szCs w:val="22"/>
              </w:rPr>
            </w:pPr>
            <w:r w:rsidRPr="001F6604">
              <w:rPr>
                <w:rFonts w:ascii="Calibri" w:hAnsi="Calibri" w:cs="Calibri"/>
                <w:sz w:val="22"/>
                <w:szCs w:val="22"/>
              </w:rPr>
              <w:t>Curva de calibración con mínimo de seis puntos de calibración, con rango de medición al menos entre 0 y 30 mgA/L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Sistema analítico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C160C1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160C1">
              <w:rPr>
                <w:rFonts w:ascii="Calibri" w:hAnsi="Calibri" w:cs="Calibri"/>
                <w:sz w:val="22"/>
                <w:szCs w:val="22"/>
              </w:rPr>
              <w:t>3.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1. </w:t>
            </w:r>
            <w:r w:rsidRPr="00C160C1">
              <w:rPr>
                <w:rFonts w:ascii="Calibri" w:hAnsi="Calibri" w:cs="Calibri"/>
                <w:sz w:val="22"/>
                <w:szCs w:val="22"/>
              </w:rPr>
              <w:t>Analizador de inmunoanálisis totalmente automatizado, multiparamétrico y selectivo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C160C1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160C1">
              <w:rPr>
                <w:rFonts w:ascii="Calibri" w:hAnsi="Calibri" w:cs="Calibri"/>
                <w:sz w:val="22"/>
                <w:szCs w:val="22"/>
              </w:rPr>
              <w:t>3.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2. </w:t>
            </w:r>
            <w:r w:rsidRPr="00C160C1">
              <w:rPr>
                <w:rFonts w:ascii="Calibri" w:hAnsi="Calibri" w:cs="Calibri"/>
                <w:sz w:val="22"/>
                <w:szCs w:val="22"/>
              </w:rPr>
              <w:t>Capaz de realizar todas las determinaciones del lote en un mismo equipo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3.3. </w:t>
            </w:r>
            <w:r w:rsidRPr="00C160C1">
              <w:rPr>
                <w:rFonts w:ascii="Calibri" w:hAnsi="Calibri" w:cs="Calibri"/>
                <w:sz w:val="22"/>
                <w:szCs w:val="22"/>
              </w:rPr>
              <w:t>Características mínimas: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C160C1" w:rsidRDefault="00887EF4" w:rsidP="002A7D15">
            <w:pPr>
              <w:shd w:val="clear" w:color="auto" w:fill="auto"/>
              <w:ind w:left="426" w:hanging="142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160C1">
              <w:rPr>
                <w:rFonts w:ascii="Calibri" w:hAnsi="Calibri" w:cs="Calibri"/>
                <w:sz w:val="22"/>
                <w:szCs w:val="22"/>
              </w:rPr>
              <w:t>a) Carga continua de muestras y reactivos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C160C1" w:rsidRDefault="00887EF4" w:rsidP="002A7D15">
            <w:pPr>
              <w:shd w:val="clear" w:color="auto" w:fill="auto"/>
              <w:ind w:left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160C1">
              <w:rPr>
                <w:rFonts w:ascii="Calibri" w:hAnsi="Calibri" w:cs="Calibri"/>
                <w:sz w:val="22"/>
                <w:szCs w:val="22"/>
              </w:rPr>
              <w:t>b) Lectura de códigos de barras en tubo primario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C160C1" w:rsidRDefault="00887EF4" w:rsidP="002A7D15">
            <w:pPr>
              <w:shd w:val="clear" w:color="auto" w:fill="auto"/>
              <w:ind w:left="284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160C1">
              <w:rPr>
                <w:rFonts w:ascii="Calibri" w:hAnsi="Calibri" w:cs="Calibri"/>
                <w:sz w:val="22"/>
                <w:szCs w:val="22"/>
              </w:rPr>
              <w:t>c) Compatibilidad con tubo primario, secundario y tubo pediátrico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C160C1" w:rsidRDefault="00887EF4" w:rsidP="002A7D15">
            <w:pPr>
              <w:shd w:val="clear" w:color="auto" w:fill="auto"/>
              <w:ind w:left="28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d) </w:t>
            </w:r>
            <w:r w:rsidRPr="00C160C1">
              <w:rPr>
                <w:rFonts w:ascii="Calibri" w:hAnsi="Calibri" w:cs="Calibri"/>
                <w:sz w:val="22"/>
                <w:szCs w:val="22"/>
              </w:rPr>
              <w:t>Introducción y priorización de muestras urgentes durante el proceso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E7860">
              <w:rPr>
                <w:rFonts w:ascii="Calibri" w:hAnsi="Calibri" w:cs="Calibri"/>
                <w:sz w:val="22"/>
                <w:szCs w:val="22"/>
              </w:rPr>
              <w:t>3.4. Almacenamiento: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E7860" w:rsidRDefault="00887EF4" w:rsidP="002A7D15">
            <w:pPr>
              <w:shd w:val="clear" w:color="auto" w:fill="auto"/>
              <w:ind w:left="28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a) </w:t>
            </w:r>
            <w:r w:rsidRPr="009E7860">
              <w:rPr>
                <w:rFonts w:ascii="Calibri" w:hAnsi="Calibri" w:cs="Calibri"/>
                <w:sz w:val="22"/>
                <w:szCs w:val="22"/>
              </w:rPr>
              <w:t>Almacén refrigerado interno para reactivos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E7860" w:rsidRDefault="00887EF4" w:rsidP="002A7D15">
            <w:pPr>
              <w:shd w:val="clear" w:color="auto" w:fill="auto"/>
              <w:ind w:left="284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r w:rsidRPr="009E7860">
              <w:rPr>
                <w:rFonts w:ascii="Calibri" w:hAnsi="Calibri" w:cs="Calibri"/>
                <w:sz w:val="22"/>
                <w:szCs w:val="22"/>
              </w:rPr>
              <w:t>Conservación de curvas de calibración al menos durante 28 días o hasta cambio de lote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Control, trazabilidad y seguridad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F13D42">
              <w:rPr>
                <w:rFonts w:ascii="Calibri" w:hAnsi="Calibri" w:cs="Calibri"/>
                <w:sz w:val="22"/>
                <w:szCs w:val="22"/>
              </w:rPr>
              <w:t>4.1. Identificación positiva de muestras mediante código de barras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13D42">
              <w:rPr>
                <w:rFonts w:ascii="Calibri" w:hAnsi="Calibri" w:cs="Calibri"/>
                <w:sz w:val="22"/>
                <w:szCs w:val="22"/>
              </w:rPr>
              <w:t>4.2. Monitorización automática de: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a) </w:t>
            </w:r>
            <w:r w:rsidRPr="008D2B46">
              <w:rPr>
                <w:rFonts w:ascii="Calibri" w:hAnsi="Calibri" w:cs="Calibri"/>
                <w:sz w:val="22"/>
                <w:szCs w:val="22"/>
              </w:rPr>
              <w:t>Nivel de muestra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r w:rsidRPr="008D2B46">
              <w:rPr>
                <w:rFonts w:ascii="Calibri" w:hAnsi="Calibri" w:cs="Calibri"/>
                <w:sz w:val="22"/>
                <w:szCs w:val="22"/>
              </w:rPr>
              <w:t>Nivel de reactivos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13D42">
              <w:rPr>
                <w:rFonts w:ascii="Calibri" w:hAnsi="Calibri" w:cs="Calibri"/>
                <w:sz w:val="22"/>
                <w:szCs w:val="22"/>
              </w:rPr>
              <w:t>4.3. Captura y almacenamiento digital de la información relativa a: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a) </w:t>
            </w:r>
            <w:r w:rsidRPr="00FB187C">
              <w:rPr>
                <w:rFonts w:ascii="Calibri" w:hAnsi="Calibri" w:cs="Calibri"/>
                <w:sz w:val="22"/>
                <w:szCs w:val="22"/>
              </w:rPr>
              <w:t>Reactivos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r w:rsidRPr="00FB187C">
              <w:rPr>
                <w:rFonts w:ascii="Calibri" w:hAnsi="Calibri" w:cs="Calibri"/>
                <w:sz w:val="22"/>
                <w:szCs w:val="22"/>
              </w:rPr>
              <w:t>Calibradores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c) </w:t>
            </w:r>
            <w:r w:rsidRPr="00FB187C">
              <w:rPr>
                <w:rFonts w:ascii="Calibri" w:hAnsi="Calibri" w:cs="Calibri"/>
                <w:sz w:val="22"/>
                <w:szCs w:val="22"/>
              </w:rPr>
              <w:t>Controles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F13D42">
              <w:rPr>
                <w:rFonts w:ascii="Calibri" w:hAnsi="Calibri" w:cs="Calibri"/>
                <w:sz w:val="22"/>
                <w:szCs w:val="22"/>
              </w:rPr>
              <w:t>4.4. Trazabilidad completa de todos los reactivos mediante lectura de código de barras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13D42">
              <w:rPr>
                <w:rFonts w:ascii="Calibri" w:hAnsi="Calibri" w:cs="Calibri"/>
                <w:sz w:val="22"/>
                <w:szCs w:val="22"/>
              </w:rPr>
              <w:t>4.5. Cumplimiento de la normativa vigente: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a) </w:t>
            </w:r>
            <w:r w:rsidRPr="00FB187C">
              <w:rPr>
                <w:rFonts w:ascii="Calibri" w:hAnsi="Calibri" w:cs="Calibri"/>
                <w:sz w:val="22"/>
                <w:szCs w:val="22"/>
              </w:rPr>
              <w:t>Equipos con marcado CE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r w:rsidRPr="00FB187C">
              <w:rPr>
                <w:rFonts w:ascii="Calibri" w:hAnsi="Calibri" w:cs="Calibri"/>
                <w:sz w:val="22"/>
                <w:szCs w:val="22"/>
              </w:rPr>
              <w:t>Reactivos y consumibles con marcado CE-IVD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F13D42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F13D42">
              <w:rPr>
                <w:rFonts w:ascii="Calibri" w:hAnsi="Calibri" w:cs="Calibri"/>
                <w:sz w:val="22"/>
                <w:szCs w:val="22"/>
              </w:rPr>
              <w:t>4.6. El adjudicatario apoyará y colaborará, si fuera necesario, en la obtención de posibles certificaciones de calidad futuras para el Laboratorio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Funcionalidades adicionales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632CD1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32CD1">
              <w:rPr>
                <w:rFonts w:ascii="Calibri" w:hAnsi="Calibri" w:cs="Calibri"/>
                <w:sz w:val="22"/>
                <w:szCs w:val="22"/>
              </w:rPr>
              <w:t>5.1. Puesta en marcha y apagado, automáticos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632CD1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32CD1">
              <w:rPr>
                <w:rFonts w:ascii="Calibri" w:hAnsi="Calibri" w:cs="Calibri"/>
                <w:sz w:val="22"/>
                <w:szCs w:val="22"/>
              </w:rPr>
              <w:t>5.2. Lavado automático del sistema tras la finalización del procesamiento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632CD1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32CD1">
              <w:rPr>
                <w:rFonts w:ascii="Calibri" w:hAnsi="Calibri" w:cs="Calibri"/>
                <w:sz w:val="22"/>
                <w:szCs w:val="22"/>
              </w:rPr>
              <w:t>5.3. Compatibilidad con el Sistema de Información del Laboratorio (LIS), con comunicación de forma bidireccional con el mismo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632CD1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632CD1">
              <w:rPr>
                <w:rFonts w:ascii="Calibri" w:hAnsi="Calibri" w:cs="Calibri"/>
                <w:sz w:val="22"/>
                <w:szCs w:val="22"/>
              </w:rPr>
              <w:t>5.4. El adjudicatario asumirá íntegramente la conectividad de los equipos al sistema informático del centro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Catálogo de alérgenos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552E2D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552E2D">
              <w:rPr>
                <w:rFonts w:ascii="Calibri" w:hAnsi="Calibri" w:cs="Calibri"/>
                <w:sz w:val="22"/>
                <w:szCs w:val="22"/>
              </w:rPr>
              <w:t>6.1. La oferta de IgE específicas deberá cubrir un amplio panel de alérgenos, incorporando extractos completos, componentes moleculares y mezclas, incluyendo test de screening de alergia a inhalantes y de alimentos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552E2D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552E2D">
              <w:rPr>
                <w:rFonts w:ascii="Calibri" w:hAnsi="Calibri" w:cs="Calibri"/>
                <w:sz w:val="22"/>
                <w:szCs w:val="22"/>
              </w:rPr>
              <w:t>6.2. Se incluirán alérgenos representativos del entorno epidemiológico del área sanitaria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552E2D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552E2D">
              <w:rPr>
                <w:rFonts w:ascii="Calibri" w:hAnsi="Calibri" w:cs="Calibri"/>
                <w:sz w:val="22"/>
                <w:szCs w:val="22"/>
              </w:rPr>
              <w:t>6.3. El licitador deberá presentar desglose detallado del catálogo ofertado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Equipamiento en cesión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10537F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10537F">
              <w:rPr>
                <w:rFonts w:ascii="Calibri" w:hAnsi="Calibri" w:cs="Calibri"/>
                <w:sz w:val="22"/>
                <w:szCs w:val="22"/>
              </w:rPr>
              <w:t>7.1. Cesión temporal de todos los equipos necesarios para la ejecución del contrato, sin coste adicional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10537F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10537F">
              <w:rPr>
                <w:rFonts w:ascii="Calibri" w:hAnsi="Calibri" w:cs="Calibri"/>
                <w:sz w:val="22"/>
                <w:szCs w:val="22"/>
              </w:rPr>
              <w:t>7.2. Sustitución, actualización o reposición de los equipos en caso de obsolescencia o mejora tecnológica, sin coste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Instalación y adecuación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1A4AB0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1A4AB0">
              <w:rPr>
                <w:rFonts w:ascii="Calibri" w:hAnsi="Calibri" w:cs="Calibri"/>
                <w:sz w:val="22"/>
                <w:szCs w:val="22"/>
              </w:rPr>
              <w:t>8.1. La instalación del equipamiento correrá a cargo del adjudicatario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1A4AB0">
              <w:rPr>
                <w:rFonts w:ascii="Calibri" w:hAnsi="Calibri" w:cs="Calibri"/>
                <w:sz w:val="22"/>
                <w:szCs w:val="22"/>
              </w:rPr>
              <w:t>8.2. El adjudicatario asumirá, sin coste adicional, las obras de adecuación necesarias conforme a: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1A4AB0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a) </w:t>
            </w:r>
            <w:r w:rsidRPr="001A4AB0">
              <w:rPr>
                <w:rFonts w:ascii="Calibri" w:hAnsi="Calibri" w:cs="Calibri"/>
                <w:sz w:val="22"/>
                <w:szCs w:val="22"/>
              </w:rPr>
              <w:t>Requisitos del fabricante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1A4AB0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r w:rsidRPr="001A4AB0">
              <w:rPr>
                <w:rFonts w:ascii="Calibri" w:hAnsi="Calibri" w:cs="Calibri"/>
                <w:sz w:val="22"/>
                <w:szCs w:val="22"/>
              </w:rPr>
              <w:t>Normativa técnica y de seguridad vigente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Mantenimiento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A5930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9A5930">
              <w:rPr>
                <w:rFonts w:ascii="Calibri" w:hAnsi="Calibri" w:cs="Calibri"/>
                <w:sz w:val="22"/>
                <w:szCs w:val="22"/>
              </w:rPr>
              <w:t>9.1. Mantenimiento preventivo, conforme a las especificaciones del fabricante, con emisión de informe técnico tras cada intervención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A5930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9A5930">
              <w:rPr>
                <w:rFonts w:ascii="Calibri" w:hAnsi="Calibri" w:cs="Calibri"/>
                <w:sz w:val="22"/>
                <w:szCs w:val="22"/>
              </w:rPr>
              <w:t>9.2. Mantenimiento correctivo, garantizando la reparación y puesta en servicio en el menor plazo posible. La respuesta y atención deberá ser en un plazo máximo de 24 horas, con un compromiso de reparación total en un plazo máximo de 8 días hábiles. En caso de que esto no se cumpliera, el adjudicatario dará solución al análisis de las muestras demoradas, bien con la cesión de otro analizador o facilitando y asumiendo los gastos de la derivación a un laboratorio externo, hasta su reparación. Las intervenciones que sea necesario realizar, se llevarán a acabo de forma que produzcan la mínima interferencia posible en el desarrollo de la actividad del laboratorio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A5930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9A5930">
              <w:rPr>
                <w:rFonts w:ascii="Calibri" w:hAnsi="Calibri" w:cs="Calibri"/>
                <w:sz w:val="22"/>
                <w:szCs w:val="22"/>
              </w:rPr>
              <w:t>9.3. En caso de pérdida de reactivos y consumibles por averías o errores intrínsecos del equipo, el adjudicatario asumirá su reposición sin coste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A5930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9A5930">
              <w:rPr>
                <w:rFonts w:ascii="Calibri" w:hAnsi="Calibri" w:cs="Calibri"/>
                <w:sz w:val="22"/>
                <w:szCs w:val="22"/>
              </w:rPr>
              <w:t>9.4. Todos los costes derivados del mantenimiento correrán a cargo del adjudicatario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A5930">
              <w:rPr>
                <w:rFonts w:ascii="Calibri" w:hAnsi="Calibri" w:cs="Calibri"/>
                <w:sz w:val="22"/>
                <w:szCs w:val="22"/>
              </w:rPr>
              <w:t>9.5. Inclusión de: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A5930" w:rsidRDefault="00887EF4" w:rsidP="002A7D15">
            <w:pPr>
              <w:ind w:left="426" w:hanging="14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a) </w:t>
            </w:r>
            <w:r w:rsidRPr="009A5930">
              <w:rPr>
                <w:rFonts w:ascii="Calibri" w:hAnsi="Calibri" w:cs="Calibri"/>
                <w:sz w:val="22"/>
                <w:szCs w:val="22"/>
              </w:rPr>
              <w:t>Actualizaciones de software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A5930" w:rsidRDefault="00887EF4" w:rsidP="002A7D15">
            <w:pPr>
              <w:ind w:left="426" w:hanging="142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r w:rsidRPr="009A5930">
              <w:rPr>
                <w:rFonts w:ascii="Calibri" w:hAnsi="Calibri" w:cs="Calibri"/>
                <w:sz w:val="22"/>
                <w:szCs w:val="22"/>
              </w:rPr>
              <w:t>Actualizaciones de hardware cuando sean necesarias, sin coste adicional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BFBFBF"/>
          </w:tcPr>
          <w:p w:rsidR="00887EF4" w:rsidRPr="00DF0163" w:rsidRDefault="00887EF4" w:rsidP="00887EF4">
            <w:pPr>
              <w:numPr>
                <w:ilvl w:val="0"/>
                <w:numId w:val="1"/>
              </w:num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F0163">
              <w:rPr>
                <w:rFonts w:ascii="Calibri" w:hAnsi="Calibri" w:cs="Calibri"/>
                <w:b/>
                <w:sz w:val="22"/>
                <w:szCs w:val="22"/>
              </w:rPr>
              <w:t>Formación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31D93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931D93">
              <w:rPr>
                <w:rFonts w:ascii="Calibri" w:hAnsi="Calibri" w:cs="Calibri"/>
                <w:sz w:val="22"/>
                <w:szCs w:val="22"/>
              </w:rPr>
              <w:t>10.1. Formación inicial completa para el 100 % del personal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10345" w:type="dxa"/>
            <w:gridSpan w:val="3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31D93">
              <w:rPr>
                <w:rFonts w:ascii="Calibri" w:hAnsi="Calibri" w:cs="Calibri"/>
                <w:sz w:val="22"/>
                <w:szCs w:val="22"/>
              </w:rPr>
              <w:t>10.2. Formación adicional en caso de:</w:t>
            </w: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31D93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a) </w:t>
            </w:r>
            <w:r w:rsidRPr="00931D93">
              <w:rPr>
                <w:rFonts w:ascii="Calibri" w:hAnsi="Calibri" w:cs="Calibri"/>
                <w:sz w:val="22"/>
                <w:szCs w:val="22"/>
              </w:rPr>
              <w:t>Actualización tecnológica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31D93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b) </w:t>
            </w:r>
            <w:r w:rsidRPr="00931D93">
              <w:rPr>
                <w:rFonts w:ascii="Calibri" w:hAnsi="Calibri" w:cs="Calibri"/>
                <w:sz w:val="22"/>
                <w:szCs w:val="22"/>
              </w:rPr>
              <w:t>Sustitución de equipos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31D93" w:rsidRDefault="00887EF4" w:rsidP="002A7D15">
            <w:pPr>
              <w:ind w:left="284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c) </w:t>
            </w:r>
            <w:r w:rsidRPr="00931D93">
              <w:rPr>
                <w:rFonts w:ascii="Calibri" w:hAnsi="Calibri" w:cs="Calibri"/>
                <w:sz w:val="22"/>
                <w:szCs w:val="22"/>
              </w:rPr>
              <w:t>Incorporación de nuevo personal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87EF4" w:rsidRPr="00DF0163" w:rsidTr="002A7D15">
        <w:tc>
          <w:tcPr>
            <w:tcW w:w="8441" w:type="dxa"/>
            <w:shd w:val="clear" w:color="auto" w:fill="auto"/>
          </w:tcPr>
          <w:p w:rsidR="00887EF4" w:rsidRPr="00931D93" w:rsidRDefault="00887EF4" w:rsidP="002A7D15">
            <w:pPr>
              <w:rPr>
                <w:rFonts w:ascii="Calibri" w:hAnsi="Calibri" w:cs="Calibri"/>
                <w:sz w:val="22"/>
                <w:szCs w:val="22"/>
              </w:rPr>
            </w:pPr>
            <w:r w:rsidRPr="00931D93">
              <w:rPr>
                <w:rFonts w:ascii="Calibri" w:hAnsi="Calibri" w:cs="Calibri"/>
                <w:sz w:val="22"/>
                <w:szCs w:val="22"/>
              </w:rPr>
              <w:t>10.3. Formación sobre el manejo del equipo, mantenimiento básico y aplicaciones informáticas asociadas</w:t>
            </w:r>
          </w:p>
        </w:tc>
        <w:tc>
          <w:tcPr>
            <w:tcW w:w="881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023" w:type="dxa"/>
            <w:shd w:val="clear" w:color="auto" w:fill="auto"/>
          </w:tcPr>
          <w:p w:rsidR="00887EF4" w:rsidRPr="00DF0163" w:rsidRDefault="00887EF4" w:rsidP="002A7D15">
            <w:pPr>
              <w:shd w:val="clear" w:color="auto" w:fill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887EF4" w:rsidRPr="003D0E6E" w:rsidRDefault="00887EF4" w:rsidP="00887EF4">
      <w:pPr>
        <w:jc w:val="both"/>
        <w:rPr>
          <w:rFonts w:ascii="Calibri" w:hAnsi="Calibri" w:cs="Calibri"/>
          <w:sz w:val="22"/>
          <w:szCs w:val="22"/>
        </w:rPr>
      </w:pPr>
    </w:p>
    <w:p w:rsidR="00910110" w:rsidRDefault="00910110"/>
    <w:sectPr w:rsidR="009101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454F0"/>
    <w:multiLevelType w:val="hybridMultilevel"/>
    <w:tmpl w:val="9E50FA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97706"/>
    <w:multiLevelType w:val="hybridMultilevel"/>
    <w:tmpl w:val="EDE2906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80B0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2F244AA"/>
    <w:multiLevelType w:val="multilevel"/>
    <w:tmpl w:val="2A4E6A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49C67E2B"/>
    <w:multiLevelType w:val="hybridMultilevel"/>
    <w:tmpl w:val="B3904A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9B7E00"/>
    <w:multiLevelType w:val="hybridMultilevel"/>
    <w:tmpl w:val="8318AC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F11F86"/>
    <w:multiLevelType w:val="hybridMultilevel"/>
    <w:tmpl w:val="09765AE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3D1C91"/>
    <w:multiLevelType w:val="hybridMultilevel"/>
    <w:tmpl w:val="6E869C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EF4"/>
    <w:rsid w:val="00887EF4"/>
    <w:rsid w:val="00910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922F6"/>
  <w15:chartTrackingRefBased/>
  <w15:docId w15:val="{0AC116DF-E3B4-4E35-BF34-E672330EF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EF4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87EF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992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X091373</dc:creator>
  <cp:keywords/>
  <dc:description/>
  <cp:lastModifiedBy>X091373</cp:lastModifiedBy>
  <cp:revision>1</cp:revision>
  <dcterms:created xsi:type="dcterms:W3CDTF">2026-05-12T11:13:00Z</dcterms:created>
  <dcterms:modified xsi:type="dcterms:W3CDTF">2026-05-12T11:15:00Z</dcterms:modified>
</cp:coreProperties>
</file>