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22"/>
        </w:rPr>
      </w:pPr>
      <w:r>
        <w:rPr>
          <w:b/>
          <w:sz w:val="22"/>
        </w:rPr>
        <w:t>ANEXO V. DECLARACIONES EN RELACIÓN CON LA EJECUCIÓN DE ACTUACIONES DEL PLAN DE RECUPERACIÓN, TRANSFORMACIÓN Y RESILIENCIA (PRTR)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/>
      </w:pPr>
      <w:r>
        <w:rPr/>
      </w:r>
    </w:p>
    <w:p>
      <w:pPr>
        <w:pStyle w:val="Defaul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i/>
          <w:i/>
          <w:color w:val="2209B7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Procedimiento: </w:t>
      </w:r>
      <w:r>
        <w:rPr>
          <w:rFonts w:cs="Arial" w:ascii="Arial" w:hAnsi="Arial"/>
          <w:i/>
          <w:color w:val="2209B7"/>
          <w:sz w:val="22"/>
          <w:szCs w:val="22"/>
        </w:rPr>
        <w:t>(El órgano gestor deberá añadir aquí el nombre de la subvención/contrato y adecuar el texto señalado abajo en gris)</w:t>
      </w:r>
    </w:p>
    <w:p>
      <w:pPr>
        <w:pStyle w:val="Default"/>
        <w:jc w:val="both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</w:r>
    </w:p>
    <w:p>
      <w:pPr>
        <w:pStyle w:val="Parrafo2"/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 xml:space="preserve">Don/Doña ………………………………………………., con DNI …………………….., como  Consejero/a Delegado/a o Gerente de la entidad ………………………………………………………………………….., con NIF ………………………………………………………………..., y domicilio fiscal en </w:t>
      </w:r>
      <w:r>
        <w:rPr>
          <w:rFonts w:cs="Arial" w:ascii="Arial" w:hAnsi="Arial"/>
          <w:i/>
          <w:color w:val="2209B7"/>
          <w:sz w:val="22"/>
          <w:szCs w:val="22"/>
          <w:lang w:eastAsia="en-US"/>
        </w:rPr>
        <w:t>……………………………………………………………………(dejar a continuación el texto en gris que proceda, según se trate de una subvención o de un contrato)</w:t>
      </w:r>
      <w:r>
        <w:rPr>
          <w:rFonts w:cs="Arial" w:ascii="Arial" w:hAnsi="Arial"/>
          <w:color w:val="000000"/>
          <w:sz w:val="22"/>
          <w:szCs w:val="22"/>
        </w:rPr>
        <w:t xml:space="preserve"> en la condición de </w:t>
      </w:r>
      <w:r>
        <w:rPr>
          <w:rFonts w:cs="Arial" w:ascii="Arial" w:hAnsi="Arial"/>
          <w:color w:val="000000"/>
          <w:sz w:val="22"/>
          <w:szCs w:val="22"/>
          <w:highlight w:val="lightGray"/>
        </w:rPr>
        <w:t>beneficiaria de ayudas financiadas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highlight w:val="lightGray"/>
        </w:rPr>
        <w:t>contratista/subcontratista de un contrato financiado</w:t>
      </w:r>
      <w:r>
        <w:rPr>
          <w:rFonts w:cs="Arial" w:ascii="Arial" w:hAnsi="Arial"/>
          <w:color w:val="000000"/>
          <w:sz w:val="22"/>
          <w:szCs w:val="22"/>
        </w:rPr>
        <w:t xml:space="preserve"> con recursos provenientes del PRTR, formula las siguientes DECLARACIONES: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de ausencia de conflicto de intereses: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Al objeto de garantizar la imparcialidad en el procedimiento arriba referenciado, la persona que suscribe declara: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>Primero</w:t>
      </w:r>
      <w:r>
        <w:rPr>
          <w:rFonts w:cs="Arial" w:ascii="Arial" w:hAnsi="Arial"/>
          <w:b/>
          <w:bCs/>
          <w:sz w:val="22"/>
          <w:szCs w:val="22"/>
        </w:rPr>
        <w:t xml:space="preserve">. </w:t>
      </w:r>
      <w:r>
        <w:rPr>
          <w:rFonts w:cs="Arial" w:ascii="Arial" w:hAnsi="Arial"/>
          <w:sz w:val="22"/>
          <w:szCs w:val="22"/>
        </w:rPr>
        <w:t xml:space="preserve">Estar informada de lo siguiente: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4"/>
        </w:numPr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Que el </w:t>
      </w:r>
      <w:r>
        <w:rPr>
          <w:rFonts w:cs="Arial" w:ascii="Arial" w:hAnsi="Arial"/>
          <w:bCs/>
          <w:sz w:val="22"/>
          <w:szCs w:val="22"/>
        </w:rPr>
        <w:t xml:space="preserve">artículo 61.3 </w:t>
      </w:r>
      <w:r>
        <w:rPr>
          <w:rFonts w:cs="Arial" w:ascii="Arial" w:hAnsi="Arial"/>
          <w:i/>
          <w:iCs/>
          <w:sz w:val="22"/>
          <w:szCs w:val="22"/>
        </w:rPr>
        <w:t>“Conflicto de intereses”</w:t>
      </w:r>
      <w:r>
        <w:rPr>
          <w:rFonts w:cs="Arial" w:ascii="Arial" w:hAnsi="Arial"/>
          <w:bCs/>
          <w:i/>
          <w:iCs/>
          <w:sz w:val="22"/>
          <w:szCs w:val="22"/>
        </w:rPr>
        <w:t xml:space="preserve">, </w:t>
      </w:r>
      <w:r>
        <w:rPr>
          <w:rFonts w:cs="Arial" w:ascii="Arial" w:hAnsi="Arial"/>
          <w:bCs/>
          <w:sz w:val="22"/>
          <w:szCs w:val="22"/>
        </w:rPr>
        <w:t xml:space="preserve">del Reglamento (UE, Euratom) 2018/1046 del Parlamento Europeo y del Consejo, de 18 de julio (Reglamento financiero de la UE) </w:t>
      </w:r>
      <w:r>
        <w:rPr>
          <w:rFonts w:cs="Arial" w:ascii="Arial" w:hAnsi="Arial"/>
          <w:sz w:val="22"/>
          <w:szCs w:val="22"/>
        </w:rPr>
        <w:t>establece que “</w:t>
      </w:r>
      <w:r>
        <w:rPr>
          <w:rFonts w:cs="Arial" w:ascii="Arial" w:hAnsi="Arial"/>
          <w:i/>
          <w:iCs/>
          <w:sz w:val="22"/>
          <w:szCs w:val="22"/>
        </w:rPr>
        <w:t xml:space="preserve">existirá </w:t>
      </w:r>
      <w:r>
        <w:rPr>
          <w:rFonts w:cs="Arial" w:ascii="Arial" w:hAnsi="Arial"/>
          <w:bCs/>
          <w:i/>
          <w:iCs/>
          <w:sz w:val="22"/>
          <w:szCs w:val="22"/>
        </w:rPr>
        <w:t xml:space="preserve">conflicto de intereses </w:t>
      </w:r>
      <w:r>
        <w:rPr>
          <w:rFonts w:cs="Arial" w:ascii="Arial" w:hAnsi="Arial"/>
          <w:i/>
          <w:iCs/>
          <w:sz w:val="22"/>
          <w:szCs w:val="22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4"/>
        </w:numPr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Que el </w:t>
      </w:r>
      <w:r>
        <w:rPr>
          <w:rFonts w:cs="Arial" w:ascii="Arial" w:hAnsi="Arial"/>
          <w:bCs/>
          <w:sz w:val="22"/>
          <w:szCs w:val="22"/>
        </w:rPr>
        <w:t xml:space="preserve">artículo 52 </w:t>
      </w:r>
      <w:r>
        <w:rPr>
          <w:rFonts w:cs="Arial" w:ascii="Arial" w:hAnsi="Arial"/>
          <w:sz w:val="22"/>
          <w:szCs w:val="22"/>
        </w:rPr>
        <w:t>“</w:t>
      </w:r>
      <w:r>
        <w:rPr>
          <w:rFonts w:cs="Arial" w:ascii="Arial" w:hAnsi="Arial"/>
          <w:i/>
          <w:iCs/>
          <w:sz w:val="22"/>
          <w:szCs w:val="22"/>
        </w:rPr>
        <w:t>Resolución de los conflictos de interés</w:t>
      </w:r>
      <w:r>
        <w:rPr>
          <w:rFonts w:cs="Arial" w:ascii="Arial" w:hAnsi="Arial"/>
          <w:sz w:val="22"/>
          <w:szCs w:val="22"/>
        </w:rPr>
        <w:t xml:space="preserve">” de </w:t>
      </w:r>
      <w:r>
        <w:rPr>
          <w:rFonts w:cs="Arial" w:ascii="Arial" w:hAnsi="Arial"/>
          <w:bCs/>
          <w:sz w:val="22"/>
          <w:szCs w:val="22"/>
        </w:rPr>
        <w:t xml:space="preserve">la Ley Foral 2/2018, de 13 de abril, de Contratos del Sector Público </w:t>
      </w:r>
      <w:r>
        <w:rPr>
          <w:rFonts w:cs="Arial" w:ascii="Arial" w:hAnsi="Arial"/>
          <w:sz w:val="22"/>
          <w:szCs w:val="22"/>
        </w:rPr>
        <w:t xml:space="preserve">tiene el fin de evitar cualquier distorsión de la competencia y garantizar la transparencia en el procedimiento y asegurar la igualdad de trato a todos los candidatos y licitadores.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4"/>
        </w:numPr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Que el </w:t>
      </w:r>
      <w:r>
        <w:rPr>
          <w:rFonts w:cs="Arial" w:ascii="Arial" w:hAnsi="Arial"/>
          <w:bCs/>
          <w:sz w:val="22"/>
          <w:szCs w:val="22"/>
        </w:rPr>
        <w:t xml:space="preserve">artículo 23 </w:t>
      </w:r>
      <w:r>
        <w:rPr>
          <w:rFonts w:cs="Arial" w:ascii="Arial" w:hAnsi="Arial"/>
          <w:i/>
          <w:iCs/>
          <w:sz w:val="22"/>
          <w:szCs w:val="22"/>
        </w:rPr>
        <w:t xml:space="preserve">“Abstención”, </w:t>
      </w:r>
      <w:r>
        <w:rPr>
          <w:rFonts w:cs="Arial" w:ascii="Arial" w:hAnsi="Arial"/>
          <w:sz w:val="22"/>
          <w:szCs w:val="22"/>
        </w:rPr>
        <w:t xml:space="preserve">de la </w:t>
      </w:r>
      <w:r>
        <w:rPr>
          <w:rFonts w:cs="Arial" w:ascii="Arial" w:hAnsi="Arial"/>
          <w:bCs/>
          <w:sz w:val="22"/>
          <w:szCs w:val="22"/>
        </w:rPr>
        <w:t xml:space="preserve">Ley 40/2015, de 1 octubre, de Régimen Jurídico del Sector Público, </w:t>
      </w:r>
      <w:r>
        <w:rPr>
          <w:rFonts w:cs="Arial" w:ascii="Arial" w:hAnsi="Arial"/>
          <w:sz w:val="22"/>
          <w:szCs w:val="22"/>
        </w:rPr>
        <w:t>establece que deberán abstenerse de intervenir en el procedimiento “</w:t>
      </w:r>
      <w:r>
        <w:rPr>
          <w:rFonts w:cs="Arial" w:ascii="Arial" w:hAnsi="Arial"/>
          <w:i/>
          <w:iCs/>
          <w:sz w:val="22"/>
          <w:szCs w:val="22"/>
        </w:rPr>
        <w:t xml:space="preserve">las autoridades y el personal al servicio de las Administraciones en quienes se den algunas de las circunstancias señaladas en el apartado siguiente”, </w:t>
      </w:r>
      <w:r>
        <w:rPr>
          <w:rFonts w:cs="Arial" w:ascii="Arial" w:hAnsi="Arial"/>
          <w:sz w:val="22"/>
          <w:szCs w:val="22"/>
        </w:rPr>
        <w:t xml:space="preserve">siendo éstas: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Tener amistad íntima o enemistad manifiesta con alguna de las personas mencionadas en el apartado anterior.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Haber intervenido como perito o como testigo en el procedimiento de que se trate. 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>
      <w:pPr>
        <w:pStyle w:val="Default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 xml:space="preserve">Segundo. </w:t>
      </w:r>
      <w:r>
        <w:rPr>
          <w:rFonts w:cs="Arial" w:ascii="Arial" w:hAnsi="Arial"/>
          <w:sz w:val="22"/>
          <w:szCs w:val="22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>
        <w:rPr>
          <w:rFonts w:cs="Arial" w:ascii="Arial" w:hAnsi="Arial"/>
          <w:color w:val="auto"/>
          <w:sz w:val="22"/>
          <w:szCs w:val="22"/>
        </w:rPr>
        <w:t xml:space="preserve">40/2015, de 1 de octubre, de Régimen Jurídico del Sector Público, que pueda afectar al mencionado procedimiento. </w:t>
      </w:r>
    </w:p>
    <w:p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</w:r>
    </w:p>
    <w:p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 xml:space="preserve">Tercero. </w:t>
      </w:r>
      <w:r>
        <w:rPr>
          <w:rFonts w:cs="Arial" w:ascii="Arial" w:hAnsi="Arial"/>
          <w:color w:val="auto"/>
          <w:sz w:val="22"/>
          <w:szCs w:val="22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>
      <w:pPr>
        <w:pStyle w:val="Normal"/>
        <w:rPr>
          <w:rFonts w:cs="Arial"/>
          <w:bCs/>
          <w:szCs w:val="22"/>
        </w:rPr>
      </w:pPr>
      <w:r>
        <w:rPr>
          <w:rFonts w:cs="Arial"/>
          <w:bCs/>
          <w:szCs w:val="22"/>
        </w:rPr>
      </w:r>
    </w:p>
    <w:p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de cesión y tratamiento de datos:</w:t>
      </w:r>
    </w:p>
    <w:p>
      <w:pPr>
        <w:pStyle w:val="Parrafo2"/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Quien suscribe declara conocer la normativa que es de aplicación, en particular, los siguientes apartados del artículo 22 del Reglamento (UE) 2021/241 del Parlamento Europeo y del Consejo, de 12 de febrero de 2021, por el que se establece el Mecanismo de Recuperación y Resiliencia (MRR):</w:t>
      </w:r>
    </w:p>
    <w:p>
      <w:pPr>
        <w:pStyle w:val="Parrafo2"/>
        <w:numPr>
          <w:ilvl w:val="0"/>
          <w:numId w:val="2"/>
        </w:numPr>
        <w:shd w:val="clear" w:color="auto" w:fill="FFFFFF"/>
        <w:spacing w:beforeAutospacing="0" w:before="360" w:afterAutospacing="0" w:after="180"/>
        <w:ind w:left="360" w:hanging="360"/>
        <w:jc w:val="both"/>
        <w:rPr>
          <w:rFonts w:ascii="Arial" w:hAnsi="Arial" w:cs="Arial"/>
          <w:i/>
          <w:i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La letra d) del apartado 2: «</w:t>
      </w:r>
      <w:r>
        <w:rPr>
          <w:rFonts w:cs="Arial" w:ascii="Arial" w:hAnsi="Arial"/>
          <w:i/>
          <w:color w:val="000000"/>
          <w:sz w:val="22"/>
          <w:szCs w:val="22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>
      <w:pPr>
        <w:pStyle w:val="Parrafo2"/>
        <w:shd w:val="clear" w:color="auto" w:fill="FFFFFF"/>
        <w:spacing w:beforeAutospacing="0" w:before="360" w:afterAutospacing="0" w:after="180"/>
        <w:ind w:left="349" w:hanging="0"/>
        <w:jc w:val="both"/>
        <w:rPr>
          <w:rFonts w:ascii="Arial" w:hAnsi="Arial" w:cs="Arial"/>
          <w:i/>
          <w:i/>
          <w:color w:val="000000"/>
          <w:sz w:val="22"/>
          <w:szCs w:val="22"/>
        </w:rPr>
      </w:pPr>
      <w:r>
        <w:rPr>
          <w:rFonts w:cs="Arial" w:ascii="Arial" w:hAnsi="Arial"/>
          <w:i/>
          <w:color w:val="000000"/>
          <w:sz w:val="22"/>
          <w:szCs w:val="22"/>
        </w:rPr>
        <w:t>i. El nombre del perceptor final de los fondos;</w:t>
      </w:r>
    </w:p>
    <w:p>
      <w:pPr>
        <w:pStyle w:val="Parrafo"/>
        <w:shd w:val="clear" w:color="auto" w:fill="FFFFFF"/>
        <w:spacing w:beforeAutospacing="0" w:before="180" w:afterAutospacing="0" w:after="180"/>
        <w:ind w:left="349" w:hanging="0"/>
        <w:jc w:val="both"/>
        <w:rPr>
          <w:rFonts w:ascii="Arial" w:hAnsi="Arial" w:cs="Arial"/>
          <w:i/>
          <w:i/>
          <w:color w:val="000000"/>
          <w:sz w:val="22"/>
          <w:szCs w:val="22"/>
        </w:rPr>
      </w:pPr>
      <w:r>
        <w:rPr>
          <w:rFonts w:cs="Arial" w:ascii="Arial" w:hAnsi="Arial"/>
          <w:i/>
          <w:color w:val="000000"/>
          <w:sz w:val="22"/>
          <w:szCs w:val="22"/>
        </w:rPr>
        <w:t>ii. El nombre del contratista y del subcontratista, cuando el perceptor final de los fondos sea un poder adjudicador de conformidad con el Derecho de la Unión o nacional en materia de contratación pública;</w:t>
      </w:r>
    </w:p>
    <w:p>
      <w:pPr>
        <w:pStyle w:val="Parrafo"/>
        <w:shd w:val="clear" w:color="auto" w:fill="FFFFFF"/>
        <w:spacing w:beforeAutospacing="0" w:before="180" w:afterAutospacing="0" w:after="180"/>
        <w:ind w:left="349" w:hanging="0"/>
        <w:jc w:val="both"/>
        <w:rPr>
          <w:rFonts w:ascii="Arial" w:hAnsi="Arial" w:cs="Arial"/>
          <w:i/>
          <w:i/>
          <w:color w:val="000000"/>
          <w:sz w:val="22"/>
          <w:szCs w:val="22"/>
        </w:rPr>
      </w:pPr>
      <w:r>
        <w:rPr>
          <w:rFonts w:cs="Arial" w:ascii="Arial" w:hAnsi="Arial"/>
          <w:i/>
          <w:color w:val="000000"/>
          <w:sz w:val="22"/>
          <w:szCs w:val="22"/>
        </w:rPr>
        <w:t>iii. Los nombres, apellidos y fechas de nacimiento de los titulares reales del perceptor de los fondos o del contratista, según se define en el artículo 3, punto 6, de la Directiva (UE) 2015/849 del Parlamento Europeo y del Consejo (26);</w:t>
      </w:r>
    </w:p>
    <w:p>
      <w:pPr>
        <w:pStyle w:val="Parrafo"/>
        <w:shd w:val="clear" w:color="auto" w:fill="FFFFFF"/>
        <w:spacing w:beforeAutospacing="0" w:before="180" w:afterAutospacing="0" w:after="180"/>
        <w:ind w:left="349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i/>
          <w:color w:val="000000"/>
          <w:sz w:val="22"/>
          <w:szCs w:val="22"/>
        </w:rPr>
        <w:t>iv. Una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>
        <w:rPr>
          <w:rFonts w:cs="Arial" w:ascii="Arial" w:hAnsi="Arial"/>
          <w:color w:val="000000"/>
          <w:sz w:val="22"/>
          <w:szCs w:val="22"/>
        </w:rPr>
        <w:t>».</w:t>
      </w:r>
    </w:p>
    <w:p>
      <w:pPr>
        <w:pStyle w:val="Parrafo2"/>
        <w:numPr>
          <w:ilvl w:val="0"/>
          <w:numId w:val="2"/>
        </w:numPr>
        <w:shd w:val="clear" w:color="auto" w:fill="FFFFFF"/>
        <w:spacing w:beforeAutospacing="0" w:before="360" w:afterAutospacing="0" w:after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Apartado 3: «</w:t>
      </w:r>
      <w:r>
        <w:rPr>
          <w:rFonts w:cs="Arial" w:ascii="Arial" w:hAnsi="Arial"/>
          <w:i/>
          <w:color w:val="000000"/>
          <w:sz w:val="22"/>
          <w:szCs w:val="22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>
        <w:rPr>
          <w:rFonts w:cs="Arial" w:ascii="Arial" w:hAnsi="Arial"/>
          <w:color w:val="000000"/>
          <w:sz w:val="22"/>
          <w:szCs w:val="22"/>
        </w:rPr>
        <w:t>».</w:t>
      </w:r>
    </w:p>
    <w:p>
      <w:pPr>
        <w:pStyle w:val="Parrafo2"/>
        <w:shd w:val="clear" w:color="auto" w:fill="FFFFFF"/>
        <w:spacing w:beforeAutospacing="0" w:before="360" w:afterAutospacing="0" w:after="180"/>
        <w:ind w:left="360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de compromiso de cumplimiento de principios transversales:</w:t>
      </w:r>
    </w:p>
    <w:p>
      <w:pPr>
        <w:pStyle w:val="Parrafo2"/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>
      <w:pPr>
        <w:pStyle w:val="Parrafo"/>
        <w:shd w:val="clear" w:color="auto" w:fill="FFFFFF"/>
        <w:spacing w:beforeAutospacing="0" w:before="18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</w:t>
      </w:r>
      <w:r>
        <w:rPr>
          <w:rStyle w:val="Destacado"/>
          <w:rFonts w:cs="Arial" w:ascii="Arial" w:hAnsi="Arial"/>
          <w:color w:val="000000"/>
          <w:sz w:val="22"/>
          <w:szCs w:val="22"/>
        </w:rPr>
        <w:t>do no significant harm</w:t>
      </w:r>
      <w:r>
        <w:rPr>
          <w:rFonts w:cs="Arial" w:ascii="Arial" w:hAnsi="Arial"/>
          <w:color w:val="000000"/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sobre el cumplimiento del principio de no perjuicio significativo a los seis objetivos medioambientales (DNSH)</w:t>
      </w:r>
    </w:p>
    <w:p>
      <w:pPr>
        <w:pStyle w:val="Cuerpodetexto"/>
        <w:spacing w:lineRule="auto" w:line="276" w:before="159" w:after="0"/>
        <w:ind w:left="102" w:right="120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462" w:leader="none"/>
        </w:tabs>
        <w:spacing w:lineRule="auto" w:line="276"/>
        <w:ind w:left="462" w:right="116" w:hanging="360"/>
        <w:rPr>
          <w:rFonts w:ascii="Arial" w:hAnsi="Arial" w:cs="Arial"/>
        </w:rPr>
      </w:pPr>
      <w:r>
        <w:rPr>
          <w:rFonts w:cs="Arial" w:ascii="Arial" w:hAnsi="Arial"/>
        </w:rPr>
        <w:t>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CAUSA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UN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PERJUICIO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SEIS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OBJETIVOS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MEDIOAMBIENTALES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del artículo 17 del Reglamento (UE) 2020/852, que se enumeran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continuación:</w:t>
      </w:r>
    </w:p>
    <w:p>
      <w:pPr>
        <w:pStyle w:val="Cuerpodetexto"/>
        <w:spacing w:before="1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/>
        <w:ind w:left="668" w:right="126" w:hanging="356"/>
        <w:rPr>
          <w:rFonts w:ascii="Arial" w:hAnsi="Arial" w:cs="Arial"/>
        </w:rPr>
      </w:pPr>
      <w:r>
        <w:rPr>
          <w:rFonts w:eastAsia="Times New Roman" w:cs="Arial" w:ascii="Arial" w:hAnsi="Arial"/>
          <w:i/>
          <w:iCs/>
          <w:color w:val="000000"/>
        </w:rPr>
        <w:t>Mitigación del cambio climático</w:t>
      </w:r>
      <w:r>
        <w:rPr>
          <w:rFonts w:cs="Arial" w:ascii="Arial" w:hAnsi="Arial"/>
          <w:i/>
        </w:rPr>
        <w:t xml:space="preserve"> </w:t>
      </w:r>
      <w:r>
        <w:rPr>
          <w:rFonts w:cs="Arial" w:ascii="Arial" w:hAnsi="Arial"/>
        </w:rPr>
        <w:t>- se considera que una actividad causa un perjuicio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 a la mitigación del cambio climático si da lugar a considerables emisiones de</w:t>
      </w:r>
      <w:r>
        <w:rPr>
          <w:rFonts w:cs="Arial" w:ascii="Arial" w:hAnsi="Arial"/>
          <w:spacing w:val="-53"/>
        </w:rPr>
        <w:t xml:space="preserve"> </w:t>
      </w:r>
      <w:r>
        <w:rPr>
          <w:rFonts w:cs="Arial" w:ascii="Arial" w:hAnsi="Arial"/>
        </w:rPr>
        <w:t>gases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efecto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invernadero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(GEI).</w:t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54" w:after="0"/>
        <w:ind w:left="668" w:right="118" w:hanging="356"/>
        <w:rPr>
          <w:rFonts w:ascii="Arial" w:hAnsi="Arial" w:cs="Arial"/>
        </w:rPr>
      </w:pPr>
      <w:r>
        <w:rPr>
          <w:rFonts w:cs="Arial" w:ascii="Arial" w:hAnsi="Arial"/>
          <w:i/>
        </w:rPr>
        <w:t xml:space="preserve">Adaptación al cambio climático </w:t>
      </w:r>
      <w:r>
        <w:rPr>
          <w:rFonts w:cs="Arial" w:ascii="Arial" w:hAnsi="Arial"/>
        </w:rPr>
        <w:t>- se considera que una actividad causa un perjuicio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 a la adaptación al cambio climático si provoca un aumento de los efectos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adversos de las condiciones climáticas actuales y de las previstas en el futuro, sobre sí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misma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en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las personas,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naturaleza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los activos.</w:t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62" w:after="0"/>
        <w:ind w:left="462" w:right="116" w:hanging="360"/>
        <w:rPr>
          <w:rFonts w:ascii="Arial" w:hAnsi="Arial" w:cs="Arial"/>
        </w:rPr>
      </w:pPr>
      <w:r>
        <w:rPr>
          <w:rFonts w:cs="Arial" w:ascii="Arial" w:hAnsi="Arial"/>
          <w:i/>
        </w:rPr>
        <w:t xml:space="preserve">Uso sostenible y protección de los recursos hídricos y marinos </w:t>
      </w:r>
      <w:r>
        <w:rPr>
          <w:rFonts w:cs="Arial" w:ascii="Arial" w:hAnsi="Arial"/>
        </w:rPr>
        <w:t>- se considera que una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actividad causa un perjuicio significativo a la utilización y protección sostenibles de los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recursos hídricos y marinos si va en detrimento del buen estado o del buen potencial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ecológico de las masas de agua, incluidas las superficiales y subterráneas, y del buen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estado ecológico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las</w:t>
      </w:r>
      <w:r>
        <w:rPr>
          <w:rFonts w:cs="Arial" w:ascii="Arial" w:hAnsi="Arial"/>
          <w:spacing w:val="2"/>
        </w:rPr>
        <w:t xml:space="preserve"> </w:t>
      </w:r>
      <w:r>
        <w:rPr>
          <w:rFonts w:cs="Arial" w:ascii="Arial" w:hAnsi="Arial"/>
        </w:rPr>
        <w:t>aguas marinas.</w:t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60" w:after="0"/>
        <w:ind w:left="462" w:right="116" w:hanging="360"/>
        <w:rPr>
          <w:rFonts w:ascii="Arial" w:hAnsi="Arial" w:cs="Arial"/>
        </w:rPr>
      </w:pPr>
      <w:r>
        <w:rPr>
          <w:rFonts w:cs="Arial" w:ascii="Arial" w:hAnsi="Arial"/>
          <w:i/>
        </w:rPr>
        <w:t xml:space="preserve">Economía circular, incluidos la prevención y el reciclado de residuos - </w:t>
      </w:r>
      <w:r>
        <w:rPr>
          <w:rFonts w:cs="Arial" w:ascii="Arial" w:hAnsi="Arial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</w:t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ind w:left="312" w:hanging="0"/>
        <w:jc w:val="left"/>
        <w:rPr>
          <w:rFonts w:cs="Arial"/>
        </w:rPr>
      </w:pPr>
      <w:r>
        <w:rPr>
          <w:rFonts w:cs="Arial"/>
        </w:rPr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ind w:left="312" w:hanging="0"/>
        <w:jc w:val="left"/>
        <w:rPr>
          <w:rFonts w:eastAsia="Arial MT" w:cs="Arial"/>
          <w:sz w:val="22"/>
          <w:szCs w:val="22"/>
          <w:lang w:val="es-ES" w:eastAsia="en-US"/>
        </w:rPr>
      </w:pPr>
      <w:r>
        <w:rPr>
          <w:rFonts w:eastAsia="Arial MT" w:cs="Arial"/>
          <w:sz w:val="22"/>
          <w:szCs w:val="22"/>
          <w:lang w:val="es-ES" w:eastAsia="en-US"/>
        </w:rPr>
        <w:t>Para cualquier obra realizada y con respecto a este objetivo se han de tener en cuenta las siguientes consideraciones: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70" w:leader="none"/>
        </w:tabs>
        <w:spacing w:lineRule="auto" w:line="235" w:before="159" w:after="0"/>
        <w:ind w:left="1468" w:right="187" w:hanging="226"/>
        <w:rPr>
          <w:rFonts w:ascii="Arial" w:hAnsi="Arial" w:cs="Arial"/>
        </w:rPr>
      </w:pPr>
      <w:r>
        <w:rPr>
          <w:rFonts w:cs="Arial" w:ascii="Arial" w:hAnsi="Arial"/>
        </w:rPr>
        <w:t xml:space="preserve">La actuación apoyará el objetivo europeo de garantizar que al menos el 70% (en peso) de los residuos de construcción y demolición no peligrosos (excluyendo el material natural mencionado en la categoría 17 05 04 en la Lista europea de residuos establecida por la </w:t>
      </w:r>
      <w:hyperlink r:id="rId2">
        <w:r>
          <w:rPr>
            <w:rFonts w:cs="Arial" w:ascii="Arial" w:hAnsi="Arial"/>
          </w:rPr>
          <w:t>Decisión 2000/532/EC</w:t>
        </w:r>
      </w:hyperlink>
      <w:r>
        <w:rPr>
          <w:rFonts w:cs="Arial" w:ascii="Arial" w:hAnsi="Arial"/>
        </w:rPr>
        <w:t>) generados en el sitio de construcción está preparado para su reutilización, reciclaje y recuperación de otros materiales, incluidas las operaciones de relleno utilizando residuos para sustituir otros materiales, de acuerdo con la jerarquía de residuos y el Protocolo de gestión de residuos de construcción y demolición de la UE.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69" w:leader="none"/>
        </w:tabs>
        <w:spacing w:lineRule="auto" w:line="235" w:before="164" w:after="0"/>
        <w:ind w:left="1468" w:right="187" w:hanging="227"/>
        <w:rPr>
          <w:rFonts w:ascii="Arial" w:hAnsi="Arial" w:cs="Arial"/>
        </w:rPr>
      </w:pPr>
      <w:r>
        <w:rPr>
          <w:rFonts w:cs="Arial" w:ascii="Arial" w:hAnsi="Arial"/>
        </w:rPr>
        <w:t>Los operadores limitan la generación de residuos en procesos relacionados con la construcción y demolición, de conformidad con el Protocolo de gestión de residuos de construcción y demolición de la UE; teniendo en cuenta las mejores prácticas disponibles, y utilizando la demolición selectiva para permitir la eliminación y manipulación segura de sustancias peligrosas y facilitar la reutilización y el reciclaje de alta calidad mediante la eliminación selectiva de materiales, utilizando la clasificación disponible sistemas para residuos de construcción y demolición.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69" w:leader="none"/>
        </w:tabs>
        <w:spacing w:lineRule="auto" w:line="235" w:before="161" w:after="0"/>
        <w:ind w:left="1469" w:right="184" w:hanging="228"/>
        <w:rPr>
          <w:sz w:val="24"/>
        </w:rPr>
      </w:pPr>
      <w:r>
        <w:rPr>
          <w:rFonts w:cs="Arial" w:ascii="Arial" w:hAnsi="Arial"/>
        </w:rPr>
        <w:t>Los diseños de edificios y las técnicas de construcción apoyan la circularidad y, en particular, demuestran, con referencia a la norma ISO</w:t>
      </w:r>
      <w:r>
        <w:rPr>
          <w:spacing w:val="23"/>
          <w:sz w:val="24"/>
        </w:rPr>
        <w:t xml:space="preserve"> </w:t>
      </w:r>
      <w:r>
        <w:rPr>
          <w:rFonts w:cs="Arial" w:ascii="Arial" w:hAnsi="Arial"/>
        </w:rPr>
        <w:t>20887 u otras normas para evaluar la capacidad de desmontaje o adaptabilidad de los</w:t>
      </w:r>
      <w:r>
        <w:rPr>
          <w:spacing w:val="34"/>
          <w:sz w:val="24"/>
        </w:rPr>
        <w:t xml:space="preserve"> </w:t>
      </w:r>
      <w:r>
        <w:rPr>
          <w:rFonts w:cs="Arial" w:ascii="Arial" w:hAnsi="Arial"/>
        </w:rPr>
        <w:t>edificios, cómo están diseñados para ser más eficientes en el uso de recursos, adaptables, flexibles y desmontables para permitir la reutilización y reciclaje utilizando los sistemas de clasificación disponibles para residuos de construcción y demolición.</w:t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ind w:left="312" w:hanging="0"/>
        <w:jc w:val="left"/>
        <w:rPr>
          <w:rFonts w:cs="Arial"/>
        </w:rPr>
      </w:pPr>
      <w:r>
        <w:rPr>
          <w:rFonts w:cs="Arial"/>
        </w:rPr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59" w:after="0"/>
        <w:ind w:left="668" w:right="118" w:hanging="356"/>
        <w:rPr>
          <w:rFonts w:ascii="Arial" w:hAnsi="Arial" w:cs="Arial"/>
        </w:rPr>
      </w:pPr>
      <w:r>
        <w:rPr>
          <w:rFonts w:cs="Arial" w:ascii="Arial" w:hAnsi="Arial"/>
          <w:i/>
        </w:rPr>
        <w:t>Prevención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y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control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la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contaminación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a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la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atmósfera,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el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agua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o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el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suelo</w:t>
      </w:r>
      <w:r>
        <w:rPr>
          <w:rFonts w:cs="Arial" w:ascii="Arial" w:hAnsi="Arial"/>
          <w:i/>
          <w:spacing w:val="6"/>
        </w:rPr>
        <w:t xml:space="preserve"> </w:t>
      </w:r>
      <w:r>
        <w:rPr>
          <w:rFonts w:cs="Arial" w:ascii="Arial" w:hAnsi="Arial"/>
        </w:rPr>
        <w:t>-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se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considera</w:t>
      </w:r>
      <w:r>
        <w:rPr>
          <w:rFonts w:cs="Arial" w:ascii="Arial" w:hAnsi="Arial"/>
          <w:spacing w:val="-53"/>
        </w:rPr>
        <w:t xml:space="preserve"> </w:t>
      </w:r>
      <w:r>
        <w:rPr>
          <w:rFonts w:cs="Arial" w:ascii="Arial" w:hAnsi="Arial"/>
        </w:rPr>
        <w:t>que una actividad causa un perjuicio significativo a la prevención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y el control de 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contaminación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cuando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lugar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un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aumento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emisiones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contaminantes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atmósfera,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el agua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el suelo.</w:t>
      </w:r>
    </w:p>
    <w:p>
      <w:pPr>
        <w:pStyle w:val="ListParagraph"/>
        <w:numPr>
          <w:ilvl w:val="1"/>
          <w:numId w:val="5"/>
        </w:numPr>
        <w:tabs>
          <w:tab w:val="clear" w:pos="709"/>
          <w:tab w:val="left" w:pos="669" w:leader="none"/>
        </w:tabs>
        <w:spacing w:lineRule="auto" w:line="276" w:before="61" w:after="0"/>
        <w:ind w:left="668" w:right="120" w:hanging="356"/>
        <w:rPr>
          <w:rFonts w:ascii="Arial" w:hAnsi="Arial" w:cs="Arial"/>
        </w:rPr>
      </w:pPr>
      <w:r>
        <w:rPr>
          <w:rFonts w:cs="Arial" w:ascii="Arial" w:hAnsi="Arial"/>
          <w:i/>
        </w:rPr>
        <w:t xml:space="preserve">Protección y restauración de la biodiversidad y los ecosistemas </w:t>
      </w:r>
      <w:r>
        <w:rPr>
          <w:rFonts w:cs="Arial" w:ascii="Arial" w:hAnsi="Arial"/>
        </w:rPr>
        <w:t>- se considera que una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actividad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causa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un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perjuicio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significativo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protección y</w:t>
      </w:r>
      <w:r>
        <w:rPr>
          <w:rFonts w:cs="Arial" w:ascii="Arial" w:hAnsi="Arial"/>
          <w:spacing w:val="-6"/>
        </w:rPr>
        <w:t xml:space="preserve"> </w:t>
      </w:r>
      <w:r>
        <w:rPr>
          <w:rFonts w:cs="Arial" w:ascii="Arial" w:hAnsi="Arial"/>
        </w:rPr>
        <w:t>restauración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biodiversidad</w:t>
      </w:r>
      <w:r>
        <w:rPr>
          <w:rFonts w:cs="Arial" w:ascii="Arial" w:hAnsi="Arial"/>
          <w:spacing w:val="-53"/>
        </w:rPr>
        <w:t xml:space="preserve"> </w:t>
      </w:r>
      <w:r>
        <w:rPr>
          <w:rFonts w:cs="Arial" w:ascii="Arial" w:hAnsi="Arial"/>
        </w:rPr>
        <w:t>y los ecosistemas cuando va en gran medida en detrimento de las buenas condiciones y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 resiliencia de los ecosistemas, o va en detrimento del estado de conservación de los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hábitats</w:t>
      </w:r>
      <w:r>
        <w:rPr>
          <w:rFonts w:cs="Arial" w:ascii="Arial" w:hAnsi="Arial"/>
          <w:spacing w:val="4"/>
        </w:rPr>
        <w:t xml:space="preserve"> </w:t>
      </w:r>
      <w:r>
        <w:rPr>
          <w:rFonts w:cs="Arial" w:ascii="Arial" w:hAnsi="Arial"/>
        </w:rPr>
        <w:t>y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las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especies,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en</w:t>
      </w:r>
      <w:r>
        <w:rPr>
          <w:rFonts w:cs="Arial" w:ascii="Arial" w:hAnsi="Arial"/>
          <w:spacing w:val="2"/>
        </w:rPr>
        <w:t xml:space="preserve"> </w:t>
      </w:r>
      <w:r>
        <w:rPr>
          <w:rFonts w:cs="Arial" w:ascii="Arial" w:hAnsi="Arial"/>
        </w:rPr>
        <w:t>particular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aquellos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 interés para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Unión.</w:t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jc w:val="left"/>
        <w:rPr>
          <w:rFonts w:cs="Arial"/>
        </w:rPr>
      </w:pPr>
      <w:r>
        <w:rPr>
          <w:rFonts w:cs="Arial"/>
        </w:rPr>
      </w:r>
    </w:p>
    <w:p>
      <w:pPr>
        <w:pStyle w:val="Normal"/>
        <w:tabs>
          <w:tab w:val="clear" w:pos="709"/>
          <w:tab w:val="left" w:pos="669" w:leader="none"/>
        </w:tabs>
        <w:spacing w:lineRule="auto" w:line="276" w:before="60" w:after="0"/>
        <w:rPr>
          <w:rFonts w:eastAsia="Arial MT" w:cs="Arial"/>
          <w:sz w:val="22"/>
          <w:szCs w:val="22"/>
          <w:lang w:val="es-ES" w:eastAsia="en-US"/>
        </w:rPr>
      </w:pPr>
      <w:r>
        <w:rPr>
          <w:rFonts w:eastAsia="Arial MT" w:cs="Arial"/>
          <w:sz w:val="22"/>
          <w:szCs w:val="22"/>
          <w:lang w:val="es-ES" w:eastAsia="en-US"/>
        </w:rPr>
        <w:t>Para cualquier obra realizada y con respecto a este objetivo se han de tener en cuenta las siguientes consideraciones: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74" w:leader="none"/>
        </w:tabs>
        <w:spacing w:lineRule="auto" w:line="235" w:before="157" w:after="0"/>
        <w:ind w:left="1473" w:right="182" w:hanging="227"/>
        <w:rPr>
          <w:rFonts w:ascii="Arial" w:hAnsi="Arial" w:cs="Arial"/>
        </w:rPr>
      </w:pPr>
      <w:r>
        <w:rPr>
          <w:rFonts w:cs="Arial" w:ascii="Arial" w:hAnsi="Arial"/>
        </w:rPr>
        <w:t xml:space="preserve">Señalar si las nuevas actividades de construcción se llevarán a cabo en o cerca de áreas sensibles para la biodiversidad. Señalar si las actividades pueden suponer un deterioro para el estado de conservación de hábitats y especies. En caso afirmativo, se requerirá el cumplimiento de los artículos 6 y 12 de la </w:t>
      </w:r>
      <w:hyperlink r:id="rId3">
        <w:r>
          <w:rPr>
            <w:rFonts w:cs="Arial" w:ascii="Arial" w:hAnsi="Arial"/>
          </w:rPr>
          <w:t xml:space="preserve">Directiva de hábitats </w:t>
        </w:r>
      </w:hyperlink>
      <w:r>
        <w:rPr>
          <w:rFonts w:cs="Arial" w:ascii="Arial" w:hAnsi="Arial"/>
        </w:rPr>
        <w:t xml:space="preserve">y el artículo 5 de la </w:t>
      </w:r>
      <w:hyperlink r:id="rId4">
        <w:r>
          <w:rPr>
            <w:rFonts w:cs="Arial" w:ascii="Arial" w:hAnsi="Arial"/>
          </w:rPr>
          <w:t>Directiva de aves</w:t>
        </w:r>
      </w:hyperlink>
      <w:r>
        <w:rPr>
          <w:rFonts w:cs="Arial" w:ascii="Arial" w:hAnsi="Arial"/>
        </w:rPr>
        <w:t>.</w:t>
      </w:r>
    </w:p>
    <w:p>
      <w:pPr>
        <w:pStyle w:val="ListParagraph"/>
        <w:numPr>
          <w:ilvl w:val="2"/>
          <w:numId w:val="7"/>
        </w:numPr>
        <w:tabs>
          <w:tab w:val="clear" w:pos="709"/>
          <w:tab w:val="left" w:pos="1474" w:leader="none"/>
        </w:tabs>
        <w:spacing w:lineRule="auto" w:line="235" w:before="154" w:after="0"/>
        <w:ind w:left="1473" w:right="184" w:hanging="227"/>
        <w:rPr>
          <w:rFonts w:ascii="Arial" w:hAnsi="Arial" w:cs="Arial"/>
        </w:rPr>
      </w:pPr>
      <w:r>
        <w:rPr>
          <w:rFonts w:cs="Arial" w:ascii="Arial" w:hAnsi="Arial"/>
        </w:rPr>
        <w:t>Señalar si se llevará a cabo una Evaluación de Impacto Ambiental (EIA) o un cribado, de acuerdo con la Directiva EIA.</w:t>
      </w:r>
    </w:p>
    <w:p>
      <w:pPr>
        <w:pStyle w:val="ListParagraph"/>
        <w:tabs>
          <w:tab w:val="clear" w:pos="709"/>
          <w:tab w:val="left" w:pos="669" w:leader="none"/>
        </w:tabs>
        <w:spacing w:lineRule="auto" w:line="276" w:before="61" w:after="0"/>
        <w:ind w:left="668" w:right="120" w:hanging="0"/>
        <w:jc w:val="left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Cuerpodetexto"/>
        <w:spacing w:before="1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460" w:leader="none"/>
        </w:tabs>
        <w:spacing w:lineRule="auto" w:line="276" w:before="1" w:after="0"/>
        <w:ind w:left="462" w:right="115" w:hanging="360"/>
        <w:rPr>
          <w:rFonts w:ascii="Arial" w:hAnsi="Arial" w:cs="Arial"/>
        </w:rPr>
      </w:pPr>
      <w:r>
        <w:rPr>
          <w:rFonts w:cs="Arial" w:ascii="Arial" w:hAnsi="Arial"/>
        </w:rPr>
        <w:t>LA ENTIDAD SOLICITANTE NO DESARROLLA ACTIVIDADES EXCLUIDAS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según lo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indicado por la Guía técnica sobre la aplicación del principio de «no causar un perjuicio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significativo»</w:t>
      </w:r>
      <w:r>
        <w:rPr>
          <w:rFonts w:cs="Arial" w:ascii="Arial" w:hAnsi="Arial"/>
          <w:spacing w:val="-8"/>
        </w:rPr>
        <w:t xml:space="preserve"> </w:t>
      </w:r>
      <w:r>
        <w:rPr>
          <w:rFonts w:cs="Arial" w:ascii="Arial" w:hAnsi="Arial"/>
        </w:rPr>
        <w:t>en</w:t>
      </w:r>
      <w:r>
        <w:rPr>
          <w:rFonts w:cs="Arial" w:ascii="Arial" w:hAnsi="Arial"/>
          <w:spacing w:val="-9"/>
        </w:rPr>
        <w:t xml:space="preserve"> </w:t>
      </w:r>
      <w:r>
        <w:rPr>
          <w:rFonts w:cs="Arial" w:ascii="Arial" w:hAnsi="Arial"/>
        </w:rPr>
        <w:t>virtud</w:t>
      </w:r>
      <w:r>
        <w:rPr>
          <w:rFonts w:cs="Arial" w:ascii="Arial" w:hAnsi="Arial"/>
          <w:spacing w:val="-9"/>
        </w:rPr>
        <w:t xml:space="preserve"> </w:t>
      </w:r>
      <w:r>
        <w:rPr>
          <w:rFonts w:cs="Arial" w:ascii="Arial" w:hAnsi="Arial"/>
        </w:rPr>
        <w:t>del</w:t>
      </w:r>
      <w:r>
        <w:rPr>
          <w:rFonts w:cs="Arial" w:ascii="Arial" w:hAnsi="Arial"/>
          <w:spacing w:val="-9"/>
        </w:rPr>
        <w:t xml:space="preserve"> </w:t>
      </w:r>
      <w:r>
        <w:rPr>
          <w:rFonts w:cs="Arial" w:ascii="Arial" w:hAnsi="Arial"/>
        </w:rPr>
        <w:t>Reglamento</w:t>
      </w:r>
      <w:r>
        <w:rPr>
          <w:rFonts w:cs="Arial" w:ascii="Arial" w:hAnsi="Arial"/>
          <w:spacing w:val="-11"/>
        </w:rPr>
        <w:t xml:space="preserve"> </w:t>
      </w:r>
      <w:r>
        <w:rPr>
          <w:rFonts w:cs="Arial" w:ascii="Arial" w:hAnsi="Arial"/>
        </w:rPr>
        <w:t>relativo</w:t>
      </w:r>
      <w:r>
        <w:rPr>
          <w:rFonts w:cs="Arial" w:ascii="Arial" w:hAnsi="Arial"/>
          <w:spacing w:val="-8"/>
        </w:rPr>
        <w:t xml:space="preserve"> </w:t>
      </w:r>
      <w:r>
        <w:rPr>
          <w:rFonts w:cs="Arial" w:ascii="Arial" w:hAnsi="Arial"/>
        </w:rPr>
        <w:t>al</w:t>
      </w:r>
      <w:r>
        <w:rPr>
          <w:rFonts w:cs="Arial" w:ascii="Arial" w:hAnsi="Arial"/>
          <w:spacing w:val="-11"/>
        </w:rPr>
        <w:t xml:space="preserve"> </w:t>
      </w:r>
      <w:r>
        <w:rPr>
          <w:rFonts w:cs="Arial" w:ascii="Arial" w:hAnsi="Arial"/>
        </w:rPr>
        <w:t>Mecanismo</w:t>
      </w:r>
      <w:r>
        <w:rPr>
          <w:rFonts w:cs="Arial" w:ascii="Arial" w:hAnsi="Arial"/>
          <w:spacing w:val="-10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10"/>
        </w:rPr>
        <w:t xml:space="preserve"> </w:t>
      </w:r>
      <w:r>
        <w:rPr>
          <w:rFonts w:cs="Arial" w:ascii="Arial" w:hAnsi="Arial"/>
        </w:rPr>
        <w:t>Recuperación</w:t>
      </w:r>
      <w:r>
        <w:rPr>
          <w:rFonts w:cs="Arial" w:ascii="Arial" w:hAnsi="Arial"/>
          <w:spacing w:val="-6"/>
        </w:rPr>
        <w:t xml:space="preserve"> </w:t>
      </w:r>
      <w:r>
        <w:rPr>
          <w:rFonts w:cs="Arial" w:ascii="Arial" w:hAnsi="Arial"/>
        </w:rPr>
        <w:t>y</w:t>
      </w:r>
      <w:r>
        <w:rPr>
          <w:rFonts w:cs="Arial" w:ascii="Arial" w:hAnsi="Arial"/>
          <w:spacing w:val="-9"/>
        </w:rPr>
        <w:t xml:space="preserve"> </w:t>
      </w:r>
      <w:r>
        <w:rPr>
          <w:rFonts w:cs="Arial" w:ascii="Arial" w:hAnsi="Arial"/>
        </w:rPr>
        <w:t>Resiliencia.</w:t>
      </w:r>
    </w:p>
    <w:p>
      <w:pPr>
        <w:pStyle w:val="Cuerpodetexto"/>
        <w:spacing w:before="3" w:after="0"/>
        <w:jc w:val="both"/>
        <w:rPr>
          <w:sz w:val="25"/>
        </w:rPr>
      </w:pPr>
      <w:r>
        <w:rPr>
          <w:sz w:val="25"/>
        </w:rPr>
      </w:r>
    </w:p>
    <w:p>
      <w:pPr>
        <w:pStyle w:val="Cuerpodetexto"/>
        <w:ind w:left="102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Las</w:t>
      </w:r>
      <w:r>
        <w:rPr>
          <w:rFonts w:cs="Arial" w:ascii="Arial" w:hAnsi="Arial"/>
          <w:spacing w:val="-3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actividades</w:t>
      </w:r>
      <w:r>
        <w:rPr>
          <w:rFonts w:cs="Arial" w:ascii="Arial" w:hAnsi="Arial"/>
          <w:spacing w:val="-3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excluidas</w:t>
      </w:r>
      <w:r>
        <w:rPr>
          <w:rFonts w:cs="Arial" w:ascii="Arial" w:hAnsi="Arial"/>
          <w:spacing w:val="-2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son: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before="153" w:after="0"/>
        <w:ind w:left="668" w:right="0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Refinerías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petróleo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before="93" w:after="0"/>
        <w:ind w:left="668" w:right="0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Centrales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térmicas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4"/>
        </w:rPr>
        <w:t xml:space="preserve"> </w:t>
      </w:r>
      <w:r>
        <w:rPr>
          <w:rFonts w:cs="Arial" w:ascii="Arial" w:hAnsi="Arial"/>
          <w:i/>
        </w:rPr>
        <w:t>carbón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y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extracción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combustibles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fósiles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lineRule="auto" w:line="271" w:before="91" w:after="0"/>
        <w:ind w:left="668" w:right="124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Generación de electricidad y/o calor utilizando combustibles fósiles y relacionados con su</w:t>
      </w:r>
      <w:r>
        <w:rPr>
          <w:rFonts w:cs="Arial" w:ascii="Arial" w:hAnsi="Arial"/>
          <w:i/>
          <w:spacing w:val="-54"/>
        </w:rPr>
        <w:t xml:space="preserve"> </w:t>
      </w:r>
      <w:r>
        <w:rPr>
          <w:rFonts w:cs="Arial" w:ascii="Arial" w:hAnsi="Arial"/>
          <w:i/>
        </w:rPr>
        <w:t>infraestructura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transporte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y distribución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lineRule="auto" w:line="271" w:before="66" w:after="0"/>
        <w:ind w:left="668" w:right="126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Eliminación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desechos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(por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ejemplo,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nucleares,</w:t>
      </w:r>
      <w:r>
        <w:rPr>
          <w:rFonts w:cs="Arial" w:ascii="Arial" w:hAnsi="Arial"/>
          <w:i/>
          <w:spacing w:val="-8"/>
        </w:rPr>
        <w:t xml:space="preserve"> </w:t>
      </w:r>
      <w:r>
        <w:rPr>
          <w:rFonts w:cs="Arial" w:ascii="Arial" w:hAnsi="Arial"/>
          <w:i/>
        </w:rPr>
        <w:t>que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puedan</w:t>
      </w:r>
      <w:r>
        <w:rPr>
          <w:rFonts w:cs="Arial" w:ascii="Arial" w:hAnsi="Arial"/>
          <w:i/>
          <w:spacing w:val="-8"/>
        </w:rPr>
        <w:t xml:space="preserve"> </w:t>
      </w:r>
      <w:r>
        <w:rPr>
          <w:rFonts w:cs="Arial" w:ascii="Arial" w:hAnsi="Arial"/>
          <w:i/>
        </w:rPr>
        <w:t>causar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daños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a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largo</w:t>
      </w:r>
      <w:r>
        <w:rPr>
          <w:rFonts w:cs="Arial" w:ascii="Arial" w:hAnsi="Arial"/>
          <w:i/>
          <w:spacing w:val="-8"/>
        </w:rPr>
        <w:t xml:space="preserve"> </w:t>
      </w:r>
      <w:r>
        <w:rPr>
          <w:rFonts w:cs="Arial" w:ascii="Arial" w:hAnsi="Arial"/>
          <w:i/>
        </w:rPr>
        <w:t>plazo</w:t>
      </w:r>
      <w:r>
        <w:rPr>
          <w:rFonts w:cs="Arial" w:ascii="Arial" w:hAnsi="Arial"/>
          <w:i/>
          <w:spacing w:val="-53"/>
        </w:rPr>
        <w:t xml:space="preserve"> </w:t>
      </w:r>
      <w:r>
        <w:rPr>
          <w:rFonts w:cs="Arial" w:ascii="Arial" w:hAnsi="Arial"/>
          <w:i/>
        </w:rPr>
        <w:t>al</w:t>
      </w:r>
      <w:r>
        <w:rPr>
          <w:rFonts w:cs="Arial" w:ascii="Arial" w:hAnsi="Arial"/>
          <w:i/>
          <w:spacing w:val="-3"/>
        </w:rPr>
        <w:t xml:space="preserve"> </w:t>
      </w:r>
      <w:r>
        <w:rPr>
          <w:rFonts w:cs="Arial" w:ascii="Arial" w:hAnsi="Arial"/>
          <w:i/>
        </w:rPr>
        <w:t>medioambiente)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lineRule="auto" w:line="276" w:before="66" w:after="0"/>
        <w:ind w:left="668" w:right="120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Inversiones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en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instalaciones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para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la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deposición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residuos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en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vertedero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o</w:t>
      </w:r>
      <w:r>
        <w:rPr>
          <w:rFonts w:cs="Arial" w:ascii="Arial" w:hAnsi="Arial"/>
          <w:i/>
          <w:spacing w:val="-6"/>
        </w:rPr>
        <w:t xml:space="preserve"> </w:t>
      </w:r>
      <w:r>
        <w:rPr>
          <w:rFonts w:cs="Arial" w:ascii="Arial" w:hAnsi="Arial"/>
          <w:i/>
        </w:rPr>
        <w:t>inversiones</w:t>
      </w:r>
      <w:r>
        <w:rPr>
          <w:rFonts w:cs="Arial" w:ascii="Arial" w:hAnsi="Arial"/>
          <w:i/>
          <w:spacing w:val="-5"/>
        </w:rPr>
        <w:t xml:space="preserve"> </w:t>
      </w:r>
      <w:r>
        <w:rPr>
          <w:rFonts w:cs="Arial" w:ascii="Arial" w:hAnsi="Arial"/>
          <w:i/>
        </w:rPr>
        <w:t>en</w:t>
      </w:r>
      <w:r>
        <w:rPr>
          <w:rFonts w:cs="Arial" w:ascii="Arial" w:hAnsi="Arial"/>
          <w:i/>
          <w:spacing w:val="-53"/>
        </w:rPr>
        <w:t xml:space="preserve"> </w:t>
      </w:r>
      <w:r>
        <w:rPr>
          <w:rFonts w:cs="Arial" w:ascii="Arial" w:hAnsi="Arial"/>
          <w:i/>
        </w:rPr>
        <w:t>plantas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tratamiento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biológico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mecánico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(MBT)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que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impliquen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un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aumento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su</w:t>
      </w:r>
      <w:r>
        <w:rPr>
          <w:rFonts w:cs="Arial" w:ascii="Arial" w:hAnsi="Arial"/>
          <w:i/>
          <w:spacing w:val="-53"/>
        </w:rPr>
        <w:t xml:space="preserve"> </w:t>
      </w:r>
      <w:r>
        <w:rPr>
          <w:rFonts w:cs="Arial" w:ascii="Arial" w:hAnsi="Arial"/>
          <w:i/>
        </w:rPr>
        <w:t>capacidad o de su vida útil (salvo plantas de tratamiento de residuos peligrosos no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reciclables)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669" w:leader="none"/>
        </w:tabs>
        <w:spacing w:lineRule="auto" w:line="271" w:before="58" w:after="0"/>
        <w:ind w:left="668" w:right="126" w:hanging="35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actividades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cubiertas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por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el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régimen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comercio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derechos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emisión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7"/>
        </w:rPr>
        <w:t xml:space="preserve"> </w:t>
      </w:r>
      <w:r>
        <w:rPr>
          <w:rFonts w:cs="Arial" w:ascii="Arial" w:hAnsi="Arial"/>
          <w:i/>
        </w:rPr>
        <w:t>la</w:t>
      </w:r>
      <w:r>
        <w:rPr>
          <w:rFonts w:cs="Arial" w:ascii="Arial" w:hAnsi="Arial"/>
          <w:i/>
          <w:spacing w:val="-8"/>
        </w:rPr>
        <w:t xml:space="preserve"> </w:t>
      </w:r>
      <w:r>
        <w:rPr>
          <w:rFonts w:cs="Arial" w:ascii="Arial" w:hAnsi="Arial"/>
          <w:i/>
        </w:rPr>
        <w:t>UE</w:t>
      </w:r>
      <w:r>
        <w:rPr>
          <w:rFonts w:cs="Arial" w:ascii="Arial" w:hAnsi="Arial"/>
          <w:i/>
          <w:spacing w:val="-9"/>
        </w:rPr>
        <w:t xml:space="preserve"> </w:t>
      </w:r>
      <w:r>
        <w:rPr>
          <w:rFonts w:cs="Arial" w:ascii="Arial" w:hAnsi="Arial"/>
          <w:i/>
        </w:rPr>
        <w:t>(según</w:t>
      </w:r>
      <w:r>
        <w:rPr>
          <w:rFonts w:cs="Arial" w:ascii="Arial" w:hAnsi="Arial"/>
          <w:i/>
          <w:spacing w:val="-53"/>
        </w:rPr>
        <w:t xml:space="preserve"> </w:t>
      </w:r>
      <w:r>
        <w:rPr>
          <w:rFonts w:cs="Arial" w:ascii="Arial" w:hAnsi="Arial"/>
          <w:i/>
        </w:rPr>
        <w:t>el Anexo I de la Ley 1/2005 de 9 de marzo, por la que se regula el régimen del comercio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-2"/>
        </w:rPr>
        <w:t xml:space="preserve"> </w:t>
      </w:r>
      <w:r>
        <w:rPr>
          <w:rFonts w:cs="Arial" w:ascii="Arial" w:hAnsi="Arial"/>
          <w:i/>
        </w:rPr>
        <w:t>derechos de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emisión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gases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de</w:t>
      </w:r>
      <w:r>
        <w:rPr>
          <w:rFonts w:cs="Arial" w:ascii="Arial" w:hAnsi="Arial"/>
          <w:i/>
          <w:spacing w:val="1"/>
        </w:rPr>
        <w:t xml:space="preserve"> </w:t>
      </w:r>
      <w:r>
        <w:rPr>
          <w:rFonts w:cs="Arial" w:ascii="Arial" w:hAnsi="Arial"/>
          <w:i/>
        </w:rPr>
        <w:t>efecto</w:t>
      </w:r>
      <w:r>
        <w:rPr>
          <w:rFonts w:cs="Arial" w:ascii="Arial" w:hAnsi="Arial"/>
          <w:i/>
          <w:spacing w:val="-1"/>
        </w:rPr>
        <w:t xml:space="preserve"> </w:t>
      </w:r>
      <w:r>
        <w:rPr>
          <w:rFonts w:cs="Arial" w:ascii="Arial" w:hAnsi="Arial"/>
          <w:i/>
        </w:rPr>
        <w:t>invernadero.</w:t>
      </w:r>
    </w:p>
    <w:p>
      <w:pPr>
        <w:pStyle w:val="Cuerpodetexto"/>
        <w:jc w:val="both"/>
        <w:rPr>
          <w:rFonts w:ascii="Arial" w:hAnsi="Arial"/>
          <w:i/>
          <w:i/>
          <w:sz w:val="22"/>
        </w:rPr>
      </w:pPr>
      <w:r>
        <w:rPr>
          <w:rFonts w:ascii="Arial" w:hAnsi="Arial"/>
          <w:i/>
          <w:sz w:val="22"/>
        </w:rPr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462" w:leader="none"/>
        </w:tabs>
        <w:spacing w:lineRule="auto" w:line="276" w:before="133" w:after="0"/>
        <w:ind w:left="462" w:right="116" w:hanging="360"/>
        <w:rPr>
          <w:b/>
          <w:b/>
          <w:sz w:val="20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14" wp14:anchorId="5A7332CE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6990" cy="15240"/>
                <wp:effectExtent l="0" t="0" r="0" b="0"/>
                <wp:wrapNone/>
                <wp:docPr id="1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40" cy="147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path="m0,0l-2147483645,0l-2147483645,-2147483646l0,-2147483646xe" fillcolor="black" stroked="f" style="position:absolute;margin-left:380.25pt;margin-top:43.8pt;width:3.6pt;height:1.1pt;mso-wrap-style:none;v-text-anchor:middle;mso-position-horizontal-relative:page" wp14:anchorId="5A7332CE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ENTIDAD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SOLICITANTE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PREVÉ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EFECTOS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DIRECTOS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PROYECTO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53"/>
        </w:rPr>
        <w:t xml:space="preserve"> </w:t>
      </w:r>
      <w:r>
        <w:rPr>
          <w:rFonts w:cs="Arial" w:ascii="Arial" w:hAnsi="Arial"/>
        </w:rPr>
        <w:t>ACTIVIDAD SOBRE EL MEDIO AMBIENTE, NI EFECTOS INDIRECTOS PRIMARIOS,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entendiendo como tales aquéllos que pudieran materializarse tras su finalización, una vez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realizado el proyecto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actividad</w:t>
      </w:r>
      <w:r>
        <w:rPr>
          <w:sz w:val="20"/>
        </w:rPr>
        <w:t>.</w:t>
      </w:r>
    </w:p>
    <w:p>
      <w:pPr>
        <w:pStyle w:val="Cuerpodetexto"/>
        <w:spacing w:before="5" w:after="0"/>
        <w:jc w:val="both"/>
        <w:rPr>
          <w:sz w:val="22"/>
        </w:rPr>
      </w:pPr>
      <w:r>
        <w:rPr>
          <w:sz w:val="22"/>
        </w:rPr>
      </w:r>
    </w:p>
    <w:p>
      <w:pPr>
        <w:pStyle w:val="Cuerpodetexto"/>
        <w:spacing w:lineRule="auto" w:line="276"/>
        <w:ind w:left="102" w:right="120" w:hanging="0"/>
        <w:jc w:val="both"/>
        <w:rPr/>
      </w:pPr>
      <w:r>
        <w:rPr>
          <w:rFonts w:cs="Arial" w:ascii="Arial" w:hAnsi="Arial"/>
          <w:sz w:val="22"/>
          <w:szCs w:val="22"/>
        </w:rPr>
        <w:t>El</w:t>
      </w:r>
      <w:r>
        <w:rPr>
          <w:rFonts w:cs="Arial" w:ascii="Arial" w:hAnsi="Arial"/>
          <w:spacing w:val="-9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incumplimiento</w:t>
      </w:r>
      <w:r>
        <w:rPr>
          <w:rFonts w:cs="Arial" w:ascii="Arial" w:hAnsi="Arial"/>
          <w:spacing w:val="-7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</w:t>
      </w:r>
      <w:r>
        <w:rPr>
          <w:rFonts w:cs="Arial" w:ascii="Arial" w:hAnsi="Arial"/>
          <w:spacing w:val="-8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alguno</w:t>
      </w:r>
      <w:r>
        <w:rPr>
          <w:rFonts w:cs="Arial" w:ascii="Arial" w:hAnsi="Arial"/>
          <w:spacing w:val="-9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</w:t>
      </w:r>
      <w:r>
        <w:rPr>
          <w:rFonts w:cs="Arial" w:ascii="Arial" w:hAnsi="Arial"/>
          <w:spacing w:val="-8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los</w:t>
      </w:r>
      <w:r>
        <w:rPr>
          <w:rFonts w:cs="Arial" w:ascii="Arial" w:hAnsi="Arial"/>
          <w:spacing w:val="-8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requisitos</w:t>
      </w:r>
      <w:r>
        <w:rPr>
          <w:rFonts w:cs="Arial" w:ascii="Arial" w:hAnsi="Arial"/>
          <w:spacing w:val="-9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establecido</w:t>
      </w:r>
      <w:r>
        <w:rPr>
          <w:rFonts w:cs="Arial" w:ascii="Arial" w:hAnsi="Arial"/>
          <w:spacing w:val="-10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en</w:t>
      </w:r>
      <w:r>
        <w:rPr>
          <w:rFonts w:cs="Arial" w:ascii="Arial" w:hAnsi="Arial"/>
          <w:spacing w:val="-8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la</w:t>
      </w:r>
      <w:r>
        <w:rPr>
          <w:rFonts w:cs="Arial" w:ascii="Arial" w:hAnsi="Arial"/>
          <w:spacing w:val="-7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presente</w:t>
      </w:r>
      <w:r>
        <w:rPr>
          <w:rFonts w:cs="Arial" w:ascii="Arial" w:hAnsi="Arial"/>
          <w:spacing w:val="-7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declaración</w:t>
      </w:r>
      <w:r>
        <w:rPr>
          <w:rFonts w:cs="Arial" w:ascii="Arial" w:hAnsi="Arial"/>
          <w:spacing w:val="-10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dará,</w:t>
      </w:r>
      <w:r>
        <w:rPr>
          <w:rFonts w:cs="Arial" w:ascii="Arial" w:hAnsi="Arial"/>
          <w:spacing w:val="-7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previo</w:t>
      </w:r>
      <w:r>
        <w:rPr>
          <w:rFonts w:cs="Arial" w:ascii="Arial" w:hAnsi="Arial"/>
          <w:spacing w:val="-53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el oportuno procedimiento de reintegro, a la obligación de devolver las ayudas percibidas y los</w:t>
      </w:r>
      <w:r>
        <w:rPr>
          <w:rFonts w:cs="Arial" w:ascii="Arial" w:hAnsi="Arial"/>
          <w:spacing w:val="1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intereses</w:t>
      </w:r>
      <w:r>
        <w:rPr>
          <w:rFonts w:cs="Arial" w:ascii="Arial" w:hAnsi="Arial"/>
          <w:spacing w:val="1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</w:t>
      </w:r>
      <w:r>
        <w:rPr>
          <w:rFonts w:cs="Arial" w:ascii="Arial" w:hAnsi="Arial"/>
          <w:spacing w:val="1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demora</w:t>
      </w:r>
      <w:r>
        <w:rPr>
          <w:rFonts w:cs="Arial" w:ascii="Arial" w:hAnsi="Arial"/>
          <w:spacing w:val="-1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correspondientes</w:t>
      </w:r>
      <w:r>
        <w:rPr/>
        <w:t>.</w:t>
      </w:r>
    </w:p>
    <w:p>
      <w:pPr>
        <w:pStyle w:val="Parrafo2"/>
        <w:numPr>
          <w:ilvl w:val="0"/>
          <w:numId w:val="1"/>
        </w:numPr>
        <w:shd w:val="clear" w:color="auto" w:fill="FFFFFF"/>
        <w:spacing w:beforeAutospacing="0" w:before="360" w:afterAutospacing="0" w:after="180"/>
        <w:jc w:val="both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Declaración sobre lucha contra el fraude (OLAF)</w:t>
      </w:r>
    </w:p>
    <w:p>
      <w:pPr>
        <w:pStyle w:val="Parrafo"/>
        <w:shd w:val="clear" w:color="auto" w:fill="FFFFFF"/>
        <w:spacing w:beforeAutospacing="0" w:before="18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>
      <w:pPr>
        <w:pStyle w:val="Parrafo"/>
        <w:shd w:val="clear" w:color="auto" w:fill="FFFFFF"/>
        <w:spacing w:beforeAutospacing="0" w:before="180" w:afterAutospacing="0" w:after="1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Asimismo, concede de manera expresa la autorización prevista en el artículo 22.2.e), del Reglamento (UE) 2021/241, del Parlamento Europeo y del Consejo, de 12 de febrero de 2021).</w:t>
      </w:r>
    </w:p>
    <w:p>
      <w:pPr>
        <w:pStyle w:val="Parrafo"/>
        <w:shd w:val="clear" w:color="auto" w:fill="FFFFFF"/>
        <w:spacing w:beforeAutospacing="0" w:before="180" w:afterAutospacing="0" w:after="18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  <w:r>
        <w:rPr>
          <w:rFonts w:cs="Arial" w:ascii="Arial" w:hAnsi="Arial"/>
          <w:color w:val="000000"/>
          <w:sz w:val="22"/>
          <w:szCs w:val="22"/>
          <w:lang w:val="es-ES_tradnl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spacing w:before="60" w:after="60"/>
        <w:ind w:firstLine="851"/>
        <w:jc w:val="left"/>
        <w:rPr>
          <w:sz w:val="18"/>
        </w:rPr>
      </w:pPr>
      <w:r>
        <w:rPr>
          <w:sz w:val="18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spacing w:before="60" w:after="60"/>
        <w:ind w:firstLine="85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4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, a </w:t>
      </w:r>
      <w:r>
        <w:fldChar w:fldCharType="begin">
          <w:ffData>
            <w:name w:val="Texto841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Firmado: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" w:color="000000"/>
        </w:pBdr>
        <w:jc w:val="center"/>
        <w:rPr>
          <w:sz w:val="22"/>
          <w:szCs w:val="22"/>
          <w:lang w:val="es-ES"/>
        </w:rPr>
      </w:pPr>
      <w:r>
        <w:rPr>
          <w:sz w:val="22"/>
          <w:szCs w:val="22"/>
        </w:rPr>
        <w:t xml:space="preserve">Cargo: 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</w:p>
    <w:p>
      <w:pPr>
        <w:pStyle w:val="Normal"/>
        <w:rPr>
          <w:sz w:val="20"/>
          <w:lang w:val="es-ES"/>
        </w:rPr>
      </w:pPr>
      <w:r>
        <w:rPr>
          <w:sz w:val="20"/>
          <w:lang w:val="es-ES"/>
        </w:rPr>
      </w:r>
    </w:p>
    <w:p>
      <w:pPr>
        <w:pStyle w:val="Normal"/>
        <w:rPr>
          <w:sz w:val="20"/>
          <w:lang w:val="es-ES"/>
        </w:rPr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1418" w:right="1134" w:header="851" w:top="2552" w:footer="454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Microsoft Sans Serif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tabs>
        <w:tab w:val="clear" w:pos="4252"/>
        <w:tab w:val="clear" w:pos="8504"/>
        <w:tab w:val="left" w:pos="237" w:leader="none"/>
        <w:tab w:val="center" w:pos="4820" w:leader="none"/>
        <w:tab w:val="right" w:pos="9639" w:leader="none"/>
      </w:tabs>
      <w:ind w:left="-851" w:right="-426" w:hanging="0"/>
      <w:jc w:val="right"/>
      <w:rPr>
        <w:sz w:val="12"/>
        <w:szCs w:val="12"/>
      </w:rPr>
    </w:pPr>
    <w:r>
      <w:rPr>
        <w:sz w:val="12"/>
        <w:szCs w:val="12"/>
      </w:rPr>
      <w:t>Fc6.02.12   Rev. 0</w:t>
    </w:r>
  </w:p>
  <w:p>
    <w:pPr>
      <w:pStyle w:val="Piedepgina"/>
      <w:tabs>
        <w:tab w:val="clear" w:pos="4252"/>
        <w:tab w:val="clear" w:pos="8504"/>
        <w:tab w:val="left" w:pos="237" w:leader="none"/>
        <w:tab w:val="center" w:pos="4820" w:leader="none"/>
        <w:tab w:val="right" w:pos="9639" w:leader="none"/>
      </w:tabs>
      <w:ind w:left="-851" w:hanging="0"/>
      <w:rPr>
        <w:sz w:val="12"/>
        <w:szCs w:val="12"/>
      </w:rPr>
    </w:pPr>
    <w:r>
      <w:rPr>
        <w:sz w:val="12"/>
        <w:szCs w:val="12"/>
      </w:rPr>
    </w:r>
  </w:p>
  <w:p>
    <w:pPr>
      <w:pStyle w:val="Piedepgina"/>
      <w:tabs>
        <w:tab w:val="clear" w:pos="4252"/>
        <w:tab w:val="clear" w:pos="8504"/>
        <w:tab w:val="left" w:pos="237" w:leader="none"/>
        <w:tab w:val="center" w:pos="4820" w:leader="none"/>
        <w:tab w:val="right" w:pos="9639" w:leader="none"/>
      </w:tabs>
      <w:ind w:left="-851" w:hanging="0"/>
      <w:rPr>
        <w:sz w:val="14"/>
      </w:rPr>
    </w:pPr>
    <w:r>
      <w:rPr>
        <w:sz w:val="12"/>
        <w:szCs w:val="12"/>
      </w:rPr>
      <w:tab/>
      <w:tab/>
    </w:r>
    <w:r>
      <w:rPr>
        <w:sz w:val="14"/>
      </w:rPr>
      <w:t>Pág.</w:t>
    </w:r>
    <w:r>
      <w:rPr>
        <w:rStyle w:val="Pagenumber"/>
        <w:sz w:val="14"/>
      </w:rPr>
      <w:fldChar w:fldCharType="begin"/>
    </w:r>
    <w:r>
      <w:rPr>
        <w:rStyle w:val="Pagenumber"/>
        <w:sz w:val="14"/>
      </w:rPr>
      <w:instrText> PAGE </w:instrText>
    </w:r>
    <w:r>
      <w:rPr>
        <w:rStyle w:val="Pagenumber"/>
        <w:sz w:val="14"/>
      </w:rPr>
      <w:fldChar w:fldCharType="separate"/>
    </w:r>
    <w:r>
      <w:rPr>
        <w:rStyle w:val="Pagenumber"/>
        <w:sz w:val="14"/>
      </w:rPr>
      <w:t>5</w:t>
    </w:r>
    <w:r>
      <w:rPr>
        <w:rStyle w:val="Pagenumber"/>
        <w:sz w:val="14"/>
      </w:rPr>
      <w:fldChar w:fldCharType="end"/>
    </w:r>
    <w:r>
      <w:rPr>
        <w:rStyle w:val="Pagenumber"/>
        <w:sz w:val="14"/>
      </w:rPr>
      <w:t>/</w:t>
    </w:r>
    <w:r>
      <w:rPr>
        <w:rStyle w:val="Pagenumber"/>
        <w:sz w:val="14"/>
      </w:rPr>
      <w:fldChar w:fldCharType="begin"/>
    </w:r>
    <w:r>
      <w:rPr>
        <w:rStyle w:val="Pagenumber"/>
        <w:sz w:val="14"/>
      </w:rPr>
      <w:instrText> NUMPAGES </w:instrText>
    </w:r>
    <w:r>
      <w:rPr>
        <w:rStyle w:val="Pagenumber"/>
        <w:sz w:val="14"/>
      </w:rPr>
      <w:fldChar w:fldCharType="separate"/>
    </w:r>
    <w:r>
      <w:rPr>
        <w:rStyle w:val="Pagenumber"/>
        <w:sz w:val="14"/>
      </w:rPr>
      <w:t>6</w:t>
    </w:r>
    <w:r>
      <w:rPr>
        <w:rStyle w:val="Pagenumber"/>
        <w:sz w:val="14"/>
      </w:rPr>
      <w:fldChar w:fldCharType="end"/>
    </w:r>
    <w:r>
      <w:rPr>
        <w:sz w:val="14"/>
      </w:rPr>
      <w:tab/>
    </w:r>
    <w:r>
      <w:rPr/>
      <w:drawing>
        <wp:inline distT="0" distB="0" distL="0" distR="0">
          <wp:extent cx="590550" cy="247650"/>
          <wp:effectExtent l="0" t="0" r="0" b="0"/>
          <wp:docPr id="3" name="Imagen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3467" w:type="dxa"/>
      <w:jc w:val="left"/>
      <w:tblInd w:w="-851" w:type="dxa"/>
      <w:tblLayout w:type="fixed"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10916"/>
      <w:gridCol w:w="2550"/>
    </w:tblGrid>
    <w:tr>
      <w:trPr/>
      <w:tc>
        <w:tcPr>
          <w:tcW w:w="10916" w:type="dxa"/>
          <w:tcBorders/>
          <w:vAlign w:val="center"/>
        </w:tcPr>
        <w:p>
          <w:pPr>
            <w:pStyle w:val="Normal"/>
            <w:widowControl w:val="false"/>
            <w:ind w:left="213" w:right="-1131" w:hanging="0"/>
            <w:jc w:val="left"/>
            <w:rPr/>
          </w:pPr>
          <w:r>
            <w:rPr/>
          </w:r>
        </w:p>
      </w:tc>
      <w:tc>
        <w:tcPr>
          <w:tcW w:w="2550" w:type="dxa"/>
          <w:tcBorders/>
        </w:tcPr>
        <w:p>
          <w:pPr>
            <w:pStyle w:val="Normal"/>
            <w:widowControl w:val="false"/>
            <w:rPr>
              <w:sz w:val="16"/>
            </w:rPr>
          </w:pPr>
          <w:r>
            <w:rPr>
              <w:sz w:val="16"/>
            </w:rPr>
          </w:r>
        </w:p>
      </w:tc>
    </w:tr>
  </w:tbl>
  <w:p>
    <w:pPr>
      <w:pStyle w:val="Cabecera"/>
      <w:tabs>
        <w:tab w:val="clear" w:pos="4252"/>
        <w:tab w:val="clear" w:pos="8504"/>
      </w:tabs>
      <w:rPr>
        <w:spacing w:val="-8"/>
        <w:sz w:val="16"/>
      </w:rPr>
    </w:pPr>
    <w:r>
      <w:rPr/>
      <w:drawing>
        <wp:inline distT="0" distB="0" distL="0" distR="0">
          <wp:extent cx="5400040" cy="727075"/>
          <wp:effectExtent l="0" t="0" r="0" b="0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27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ª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462" w:hanging="360"/>
      </w:pPr>
      <w:rPr>
        <w:spacing w:val="-1"/>
        <w:w w:val="99"/>
        <w:lang w:val="es-ES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68" w:hanging="356"/>
      </w:pPr>
      <w:rPr>
        <w:spacing w:val="-1"/>
        <w:w w:val="99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55" w:hanging="3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450" w:hanging="3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46" w:hanging="3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241" w:hanging="3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137" w:hanging="3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032" w:hanging="3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6928" w:hanging="356"/>
      </w:pPr>
      <w:rPr>
        <w:rFonts w:ascii="Symbol" w:hAnsi="Symbol" w:cs="Symbol" w:hint="default"/>
      </w:rPr>
    </w:lvl>
  </w:abstractNum>
  <w:abstractNum w:abstractNumId="6">
    <w:lvl w:ilvl="0">
      <w:numFmt w:val="bullet"/>
      <w:lvlText w:val=""/>
      <w:lvlJc w:val="left"/>
      <w:pPr>
        <w:tabs>
          <w:tab w:val="num" w:pos="0"/>
        </w:tabs>
        <w:ind w:left="668" w:hanging="356"/>
      </w:pPr>
      <w:rPr>
        <w:rFonts w:ascii="Symbol" w:hAnsi="Symbol" w:cs="Symbol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65" w:hanging="35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71" w:hanging="3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77" w:hanging="3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83" w:hanging="3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9" w:hanging="3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95" w:hanging="3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01" w:hanging="3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07" w:hanging="356"/>
      </w:pPr>
      <w:rPr>
        <w:rFonts w:ascii="Symbol" w:hAnsi="Symbol" w:cs="Symbol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67" w:hanging="273"/>
      </w:pPr>
      <w:rPr>
        <w:b/>
        <w:bCs/>
        <w:w w:val="74"/>
        <w:lang w:val="es-ES" w:eastAsia="en-US" w:bidi="ar-SA"/>
      </w:rPr>
    </w:lvl>
    <w:lvl w:ilvl="1">
      <w:start w:val="0"/>
      <w:numFmt w:val="bullet"/>
      <w:lvlText w:val="•"/>
      <w:lvlJc w:val="left"/>
      <w:pPr>
        <w:tabs>
          <w:tab w:val="num" w:pos="0"/>
        </w:tabs>
        <w:ind w:left="961" w:hanging="227"/>
      </w:pPr>
      <w:rPr>
        <w:rFonts w:ascii="Microsoft Sans Serif" w:hAnsi="Microsoft Sans Serif" w:cs="Microsoft Sans Serif" w:hint="default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1473" w:hanging="227"/>
      </w:pPr>
      <w:rPr>
        <w:rFonts w:ascii="Microsoft Sans Serif" w:hAnsi="Microsoft Sans Serif" w:cs="Microsoft Sans Serif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480" w:hanging="227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663" w:hanging="227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847" w:hanging="227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30" w:hanging="227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14" w:hanging="227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98" w:hanging="227"/>
      </w:pPr>
      <w:rPr>
        <w:rFonts w:ascii="Symbol" w:hAnsi="Symbol" w:cs="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forms" w:cryptProviderType="rsaAES" w:cryptAlgorithmClass="hash" w:cryptAlgorithmType="typeAny" w:cryptAlgorithmSid="" w:cryptSpinCount="0" w:hash="" w:salt=""/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0"/>
      <w:lang w:val="es-ES_tradnl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Annotationreference">
    <w:name w:val="annotation reference"/>
    <w:semiHidden/>
    <w:qFormat/>
    <w:rsid w:val="00274d56"/>
    <w:rPr>
      <w:sz w:val="16"/>
      <w:szCs w:val="16"/>
    </w:rPr>
  </w:style>
  <w:style w:type="character" w:styleId="Destacado">
    <w:name w:val="Destacado"/>
    <w:uiPriority w:val="20"/>
    <w:qFormat/>
    <w:rsid w:val="00053368"/>
    <w:rPr>
      <w:i/>
      <w:iCs/>
    </w:rPr>
  </w:style>
  <w:style w:type="character" w:styleId="TextoindependienteCar" w:customStyle="1">
    <w:name w:val="Texto independiente Car"/>
    <w:basedOn w:val="DefaultParagraphFont"/>
    <w:link w:val="Textoindependiente"/>
    <w:uiPriority w:val="1"/>
    <w:qFormat/>
    <w:rsid w:val="00a405f3"/>
    <w:rPr>
      <w:rFonts w:ascii="Arial MT" w:hAnsi="Arial MT" w:eastAsia="Arial MT" w:cs="Arial MT"/>
      <w:lang w:eastAsia="en-US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uiPriority w:val="1"/>
    <w:qFormat/>
    <w:rsid w:val="00a405f3"/>
    <w:pPr>
      <w:widowControl w:val="false"/>
      <w:jc w:val="left"/>
    </w:pPr>
    <w:rPr>
      <w:rFonts w:ascii="Arial MT" w:hAnsi="Arial MT" w:eastAsia="Arial MT" w:cs="Arial MT"/>
      <w:sz w:val="20"/>
      <w:lang w:val="es-ES" w:eastAsia="en-US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Guin" w:customStyle="1">
    <w:name w:val="Guión"/>
    <w:basedOn w:val="Normal"/>
    <w:qFormat/>
    <w:pPr>
      <w:ind w:left="709" w:hanging="283"/>
    </w:pPr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uerpodetextoconsangra">
    <w:name w:val="Body Text Indent"/>
    <w:basedOn w:val="Normal"/>
    <w:pPr>
      <w:ind w:left="851" w:hanging="0"/>
    </w:pPr>
    <w:rPr>
      <w:sz w:val="22"/>
    </w:rPr>
  </w:style>
  <w:style w:type="paragraph" w:styleId="NormalWeb">
    <w:name w:val="Normal (Web)"/>
    <w:basedOn w:val="Normal"/>
    <w:qFormat/>
    <w:rsid w:val="009d2d66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BalloonText">
    <w:name w:val="Balloon Text"/>
    <w:basedOn w:val="Normal"/>
    <w:semiHidden/>
    <w:qFormat/>
    <w:rsid w:val="0075422f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semiHidden/>
    <w:qFormat/>
    <w:rsid w:val="00274d56"/>
    <w:pPr/>
    <w:rPr>
      <w:sz w:val="20"/>
    </w:rPr>
  </w:style>
  <w:style w:type="paragraph" w:styleId="Annotationsubject">
    <w:name w:val="annotation subject"/>
    <w:basedOn w:val="Annotationtext"/>
    <w:next w:val="Annotationtext"/>
    <w:semiHidden/>
    <w:qFormat/>
    <w:rsid w:val="00274d56"/>
    <w:pPr/>
    <w:rPr>
      <w:b/>
      <w:bCs/>
    </w:rPr>
  </w:style>
  <w:style w:type="paragraph" w:styleId="Centrocursiva" w:customStyle="1">
    <w:name w:val="centro_cursiva"/>
    <w:basedOn w:val="Normal"/>
    <w:qFormat/>
    <w:rsid w:val="00053368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Parrafo2" w:customStyle="1">
    <w:name w:val="parrafo_2"/>
    <w:basedOn w:val="Normal"/>
    <w:qFormat/>
    <w:rsid w:val="00053368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Parrafo" w:customStyle="1">
    <w:name w:val="parrafo"/>
    <w:basedOn w:val="Normal"/>
    <w:qFormat/>
    <w:rsid w:val="00053368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Centroredonda" w:customStyle="1">
    <w:name w:val="centro_redonda"/>
    <w:basedOn w:val="Normal"/>
    <w:qFormat/>
    <w:rsid w:val="00053368"/>
    <w:pPr>
      <w:spacing w:beforeAutospacing="1" w:afterAutospacing="1"/>
      <w:jc w:val="left"/>
    </w:pPr>
    <w:rPr>
      <w:rFonts w:ascii="Times New Roman" w:hAnsi="Times New Roman"/>
      <w:szCs w:val="24"/>
      <w:lang w:val="es-ES"/>
    </w:rPr>
  </w:style>
  <w:style w:type="paragraph" w:styleId="Default" w:customStyle="1">
    <w:name w:val="Default"/>
    <w:qFormat/>
    <w:rsid w:val="00e224c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es-ES" w:eastAsia="en-US" w:bidi="ar-SA"/>
    </w:rPr>
  </w:style>
  <w:style w:type="paragraph" w:styleId="ListParagraph">
    <w:name w:val="List Paragraph"/>
    <w:basedOn w:val="Normal"/>
    <w:uiPriority w:val="1"/>
    <w:qFormat/>
    <w:rsid w:val="00a405f3"/>
    <w:pPr>
      <w:widowControl w:val="false"/>
      <w:ind w:left="668" w:right="116" w:hanging="356"/>
    </w:pPr>
    <w:rPr>
      <w:rFonts w:ascii="Arial MT" w:hAnsi="Arial MT" w:eastAsia="Arial MT" w:cs="Arial MT"/>
      <w:sz w:val="22"/>
      <w:szCs w:val="22"/>
      <w:lang w:val="es-E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rsid w:val="00fd1a16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ur-lex.europa.eu/legal-content/ES/ALL/?uri=CELEX%3A32000D0532" TargetMode="External"/><Relationship Id="rId3" Type="http://schemas.openxmlformats.org/officeDocument/2006/relationships/hyperlink" Target="https://eur-lex.europa.eu/legal-content/ES/ALL/?uri=celex%3A31992L0043" TargetMode="External"/><Relationship Id="rId4" Type="http://schemas.openxmlformats.org/officeDocument/2006/relationships/hyperlink" Target="https://eur-lex.europa.eu/legal-content/ES/TXT/?uri=CELEX%3A32009L0147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ación de Calidad" ma:contentTypeID="0x0101004EFEE4DDB2023445B0A5605AAB861B350500D84C3DBC6F83E4479DBF2D348251C20B" ma:contentTypeVersion="34" ma:contentTypeDescription="" ma:contentTypeScope="" ma:versionID="e31fe887cc7e9a249957cb66050194fa">
  <xsd:schema xmlns:xsd="http://www.w3.org/2001/XMLSchema" xmlns:xs="http://www.w3.org/2001/XMLSchema" xmlns:p="http://schemas.microsoft.com/office/2006/metadata/properties" xmlns:ns2="86048f59-8fe8-440a-9878-378195a7d76f" xmlns:ns3="29938359-0a1e-4266-8f79-8d99b608e458" targetNamespace="http://schemas.microsoft.com/office/2006/metadata/properties" ma:root="true" ma:fieldsID="9ed910e3e40eaa5cd91d26ef084fce84" ns2:_="" ns3:_="">
    <xsd:import namespace="86048f59-8fe8-440a-9878-378195a7d76f"/>
    <xsd:import namespace="29938359-0a1e-4266-8f79-8d99b608e458"/>
    <xsd:element name="properties">
      <xsd:complexType>
        <xsd:sequence>
          <xsd:element name="documentManagement">
            <xsd:complexType>
              <xsd:all>
                <xsd:element ref="ns2:Procesos" minOccurs="0"/>
                <xsd:element ref="ns2:Proceso_x0020_antiguo" minOccurs="0"/>
                <xsd:element ref="ns2:Tipo_x0020_documento_x0020_calidad" minOccurs="0"/>
                <xsd:element ref="ns3:Documentos_x0020_asociados" minOccurs="0"/>
                <xsd:element ref="ns2:Descripción_x0020_del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Procesos" ma:index="2" nillable="true" ma:displayName="Proceso" ma:list="{49bfafb4-5e01-462d-8fc7-2aef8b8ab595}" ma:internalName="Procesos" ma:readOnly="false" ma:showField="Title" ma:web="86048f59-8fe8-440a-9878-378195a7d76f">
      <xsd:simpleType>
        <xsd:restriction base="dms:Lookup"/>
      </xsd:simpleType>
    </xsd:element>
    <xsd:element name="Proceso_x0020_antiguo" ma:index="3" nillable="true" ma:displayName="Proceso calidad" ma:list="{934eb780-46d5-4819-97b0-418734781b05}" ma:internalName="Proceso_x0020_antiguo0" ma:showField="Title" ma:web="86048f59-8fe8-440a-9878-378195a7d76f">
      <xsd:simpleType>
        <xsd:restriction base="dms:Lookup"/>
      </xsd:simpleType>
    </xsd:element>
    <xsd:element name="Tipo_x0020_documento_x0020_calidad" ma:index="4" nillable="true" ma:displayName="Tipo documento calidad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  <xsd:element name="Descripción_x0020_del_x0020_documento" ma:index="6" nillable="true" ma:displayName="Descripción del documento" ma:default="" ma:internalName="Descripci_x00f3_n_x0020_del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38359-0a1e-4266-8f79-8d99b608e458" elementFormDefault="qualified">
    <xsd:import namespace="http://schemas.microsoft.com/office/2006/documentManagement/types"/>
    <xsd:import namespace="http://schemas.microsoft.com/office/infopath/2007/PartnerControls"/>
    <xsd:element name="Documentos_x0020_asociados" ma:index="5" nillable="true" ma:displayName="Impresos" ma:list="{29938359-0a1e-4266-8f79-8d99b608e458}" ma:internalName="Documentos_x0020_asociados" ma:showField="Titl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7DDC8C-27B6-4EB8-8CD0-A0227098BD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F9C2DC-7E80-4DEB-B660-3AFDA32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48f59-8fe8-440a-9878-378195a7d76f"/>
    <ds:schemaRef ds:uri="29938359-0a1e-4266-8f79-8d99b608e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Fc6.02.12.dot</Template>
  <TotalTime>0</TotalTime>
  <Application>LibreOffice/7.1.0.3$Windows_X86_64 LibreOffice_project/f6099ecf3d29644b5008cc8f48f42f4a40986e4c</Application>
  <AppVersion>15.0000</AppVersion>
  <Pages>6</Pages>
  <Words>2367</Words>
  <Characters>12697</Characters>
  <CharactersWithSpaces>14993</CharactersWithSpaces>
  <Paragraphs>64</Paragraphs>
  <Company>Gobierno de Navarra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2025-06-13T08:03:00Z</dcterms:created>
  <dc:creator>X087264</dc:creator>
  <dc:description/>
  <dc:language>es-ES</dc:language>
  <cp:lastModifiedBy/>
  <cp:lastPrinted>2006-12-15T11:25:00Z</cp:lastPrinted>
  <dcterms:modified xsi:type="dcterms:W3CDTF">2025-08-29T09:42:21Z</dcterms:modified>
  <cp:revision>4</cp:revision>
  <dc:subject/>
  <dc:title>Declaración responsable otras ayudas obtenidas y requisitos art. 13 LF Subv.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ualizar">
    <vt:lpwstr/>
  </property>
  <property fmtid="{D5CDD505-2E9C-101B-9397-08002B2CF9AE}" pid="3" name="ContentType">
    <vt:lpwstr>Documentación de Calidad</vt:lpwstr>
  </property>
  <property fmtid="{D5CDD505-2E9C-101B-9397-08002B2CF9AE}" pid="4" name="ContentTypeId">
    <vt:lpwstr>0x0101004EFEE4DDB2023445B0A5605AAB861B350500D84C3DBC6F83E4479DBF2D348251C20B</vt:lpwstr>
  </property>
  <property fmtid="{D5CDD505-2E9C-101B-9397-08002B2CF9AE}" pid="5" name="Descripci?n del documento">
    <vt:lpwstr/>
  </property>
  <property fmtid="{D5CDD505-2E9C-101B-9397-08002B2CF9AE}" pid="6" name="Documentos asociados">
    <vt:lpwstr/>
  </property>
  <property fmtid="{D5CDD505-2E9C-101B-9397-08002B2CF9AE}" pid="7" name="Order">
    <vt:lpwstr>128600.000000000</vt:lpwstr>
  </property>
  <property fmtid="{D5CDD505-2E9C-101B-9397-08002B2CF9AE}" pid="8" name="Proceso antiguo0">
    <vt:lpwstr>24</vt:lpwstr>
  </property>
  <property fmtid="{D5CDD505-2E9C-101B-9397-08002B2CF9AE}" pid="9" name="Procesos">
    <vt:lpwstr>143</vt:lpwstr>
  </property>
  <property fmtid="{D5CDD505-2E9C-101B-9397-08002B2CF9AE}" pid="10" name="Tipo documento calidad">
    <vt:lpwstr>4</vt:lpwstr>
  </property>
</Properties>
</file>