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D44" w:rsidRDefault="004F3A8C">
      <w:pPr>
        <w:spacing w:after="0" w:line="259" w:lineRule="auto"/>
        <w:jc w:val="center"/>
      </w:pPr>
      <w:bookmarkStart w:id="0" w:name="_GoBack"/>
      <w:bookmarkEnd w:id="0"/>
      <w:r>
        <w:rPr>
          <w:b/>
          <w:u w:val="single" w:color="000000"/>
        </w:rPr>
        <w:t>ANEXO VI</w:t>
      </w:r>
      <w:r>
        <w:rPr>
          <w:b/>
        </w:rPr>
        <w:t xml:space="preserve"> </w:t>
      </w:r>
    </w:p>
    <w:p w:rsidR="00B36D44" w:rsidRDefault="004F3A8C">
      <w:pPr>
        <w:spacing w:after="0" w:line="259" w:lineRule="auto"/>
        <w:ind w:left="60" w:right="0" w:firstLine="0"/>
        <w:jc w:val="center"/>
      </w:pPr>
      <w:r>
        <w:t xml:space="preserve"> </w:t>
      </w:r>
    </w:p>
    <w:p w:rsidR="00B36D44" w:rsidRDefault="004F3A8C">
      <w:pPr>
        <w:spacing w:after="0" w:line="259" w:lineRule="auto"/>
        <w:ind w:right="4"/>
        <w:jc w:val="center"/>
      </w:pPr>
      <w:r>
        <w:rPr>
          <w:b/>
          <w:u w:val="single" w:color="000000"/>
        </w:rPr>
        <w:t>CRITERIOS CUANTIFICABLES MEDIANTE FÓRMULAS (SER 01/2025)</w:t>
      </w:r>
      <w:r>
        <w:rPr>
          <w:b/>
        </w:rPr>
        <w:t xml:space="preserve"> </w:t>
      </w:r>
    </w:p>
    <w:p w:rsidR="00B36D44" w:rsidRDefault="004F3A8C">
      <w:pPr>
        <w:spacing w:after="65" w:line="259" w:lineRule="auto"/>
        <w:ind w:left="0" w:right="0" w:firstLine="0"/>
        <w:jc w:val="left"/>
      </w:pPr>
      <w:r>
        <w:rPr>
          <w:rFonts w:ascii="Bookman Old Style" w:eastAsia="Bookman Old Style" w:hAnsi="Bookman Old Style" w:cs="Bookman Old Style"/>
          <w:sz w:val="22"/>
        </w:rPr>
        <w:t xml:space="preserve"> </w:t>
      </w:r>
    </w:p>
    <w:p w:rsidR="00B36D44" w:rsidRDefault="004F3A8C">
      <w:pPr>
        <w:tabs>
          <w:tab w:val="center" w:pos="948"/>
          <w:tab w:val="center" w:pos="1504"/>
          <w:tab w:val="center" w:pos="1821"/>
          <w:tab w:val="center" w:pos="2138"/>
          <w:tab w:val="center" w:pos="4765"/>
          <w:tab w:val="center" w:pos="7569"/>
          <w:tab w:val="center" w:pos="8274"/>
          <w:tab w:val="right" w:pos="9002"/>
        </w:tabs>
        <w:spacing w:after="39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D/Dª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…………………………………………………, </w:t>
      </w:r>
      <w:r>
        <w:tab/>
        <w:t xml:space="preserve">con </w:t>
      </w:r>
      <w:r>
        <w:tab/>
        <w:t xml:space="preserve">DNI </w:t>
      </w:r>
      <w:r>
        <w:tab/>
        <w:t xml:space="preserve">nº </w:t>
      </w:r>
    </w:p>
    <w:p w:rsidR="00B36D44" w:rsidRDefault="004F3A8C">
      <w:pPr>
        <w:ind w:left="-5" w:right="0"/>
      </w:pPr>
      <w:r>
        <w:t>………………</w:t>
      </w:r>
      <w:proofErr w:type="gramStart"/>
      <w:r>
        <w:t>…….</w:t>
      </w:r>
      <w:proofErr w:type="gramEnd"/>
      <w:r>
        <w:t xml:space="preserve">, en nombre propio o en representación de la empresa ………………………………………, con CIF nº ______________________________, en calidad de ………………………………………………………….., al objeto de participar en la licitación del contrato de servicios de determinaciones analíticas por laboratorio externo para confirmar y diagnosticar diversas enfermedades neurológicas de distintos Centros del Servicio Navarro de Salud-Osasunbidea, </w:t>
      </w:r>
    </w:p>
    <w:p w:rsidR="00B36D44" w:rsidRDefault="004F3A8C">
      <w:pPr>
        <w:spacing w:after="0" w:line="259" w:lineRule="auto"/>
        <w:ind w:left="0" w:right="0" w:firstLine="0"/>
        <w:jc w:val="left"/>
      </w:pPr>
      <w:r>
        <w:rPr>
          <w:rFonts w:ascii="Bookman Old Style" w:eastAsia="Bookman Old Style" w:hAnsi="Bookman Old Style" w:cs="Bookman Old Style"/>
          <w:sz w:val="22"/>
        </w:rPr>
        <w:t xml:space="preserve"> </w:t>
      </w:r>
    </w:p>
    <w:p w:rsidR="00B36D44" w:rsidRDefault="004F3A8C">
      <w:pPr>
        <w:spacing w:after="0" w:line="259" w:lineRule="auto"/>
        <w:ind w:left="0" w:right="4" w:firstLine="0"/>
        <w:jc w:val="center"/>
      </w:pPr>
      <w:r>
        <w:rPr>
          <w:b/>
          <w:sz w:val="22"/>
        </w:rPr>
        <w:t xml:space="preserve">DECLARA BAJO SU RESPONSABILIDAD </w:t>
      </w:r>
    </w:p>
    <w:p w:rsidR="00B36D44" w:rsidRDefault="004F3A8C">
      <w:pPr>
        <w:spacing w:after="29" w:line="259" w:lineRule="auto"/>
        <w:ind w:left="55" w:right="0" w:firstLine="0"/>
        <w:jc w:val="center"/>
      </w:pPr>
      <w:r>
        <w:rPr>
          <w:b/>
          <w:sz w:val="22"/>
        </w:rPr>
        <w:t xml:space="preserve"> </w:t>
      </w:r>
    </w:p>
    <w:p w:rsidR="00B36D44" w:rsidRDefault="004F3A8C">
      <w:pPr>
        <w:ind w:left="-15" w:right="0" w:firstLine="708"/>
      </w:pPr>
      <w:r>
        <w:t xml:space="preserve">Que la empresa _____________________________ que represento, realiza en sus instalaciones las técnicas marcadas en el apartado 1 de la presente declaración responsable y que son las siguientes: </w:t>
      </w:r>
    </w:p>
    <w:p w:rsidR="00B36D44" w:rsidRDefault="004F3A8C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8082" w:type="dxa"/>
        <w:tblInd w:w="283" w:type="dxa"/>
        <w:tblCellMar>
          <w:top w:w="7" w:type="dxa"/>
          <w:left w:w="108" w:type="dxa"/>
          <w:right w:w="2" w:type="dxa"/>
        </w:tblCellMar>
        <w:tblLook w:val="04A0" w:firstRow="1" w:lastRow="0" w:firstColumn="1" w:lastColumn="0" w:noHBand="0" w:noVBand="1"/>
      </w:tblPr>
      <w:tblGrid>
        <w:gridCol w:w="6521"/>
        <w:gridCol w:w="1561"/>
      </w:tblGrid>
      <w:tr w:rsidR="00B36D44">
        <w:trPr>
          <w:trHeight w:val="466"/>
        </w:trPr>
        <w:tc>
          <w:tcPr>
            <w:tcW w:w="8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1)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Técnicas empleadas por el Centro/Laboratorio: </w:t>
            </w:r>
          </w:p>
        </w:tc>
      </w:tr>
      <w:tr w:rsidR="00B36D44">
        <w:trPr>
          <w:trHeight w:val="76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530" w:right="104" w:hanging="360"/>
            </w:pPr>
            <w:r>
              <w:rPr>
                <w:sz w:val="22"/>
              </w:rPr>
              <w:t>a)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Para los anticuerpos anti-</w:t>
            </w:r>
            <w:proofErr w:type="spellStart"/>
            <w:r>
              <w:rPr>
                <w:sz w:val="22"/>
              </w:rPr>
              <w:t>IgG</w:t>
            </w:r>
            <w:proofErr w:type="spellEnd"/>
            <w:r>
              <w:rPr>
                <w:sz w:val="22"/>
              </w:rPr>
              <w:t>-NMO (AQP4) y MOG, suero/LCR, mediante el ensayo celular con células vivas (</w:t>
            </w:r>
            <w:proofErr w:type="spellStart"/>
            <w:r>
              <w:rPr>
                <w:sz w:val="22"/>
              </w:rPr>
              <w:t>live</w:t>
            </w:r>
            <w:proofErr w:type="spellEnd"/>
            <w:r>
              <w:rPr>
                <w:sz w:val="22"/>
              </w:rPr>
              <w:t xml:space="preserve">-CBA), </w:t>
            </w:r>
            <w:proofErr w:type="spellStart"/>
            <w:r>
              <w:rPr>
                <w:sz w:val="22"/>
              </w:rPr>
              <w:t>transfectadas</w:t>
            </w:r>
            <w:proofErr w:type="spellEnd"/>
            <w:r>
              <w:rPr>
                <w:sz w:val="22"/>
              </w:rPr>
              <w:t xml:space="preserve"> con el antígeno AQP4/MOG (SI/NO):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</w:tc>
      </w:tr>
      <w:tr w:rsidR="00B36D44">
        <w:trPr>
          <w:trHeight w:val="1529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1" w:line="249" w:lineRule="auto"/>
              <w:ind w:left="530" w:right="107" w:hanging="360"/>
            </w:pPr>
            <w:r>
              <w:rPr>
                <w:sz w:val="22"/>
              </w:rPr>
              <w:t>b)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Para los anticuerpos </w:t>
            </w:r>
            <w:proofErr w:type="spellStart"/>
            <w:r>
              <w:rPr>
                <w:sz w:val="22"/>
              </w:rPr>
              <w:t>onconeuronales</w:t>
            </w:r>
            <w:proofErr w:type="spellEnd"/>
            <w:r>
              <w:rPr>
                <w:sz w:val="22"/>
              </w:rPr>
              <w:t xml:space="preserve"> y anti-GAD, suero/LCR, mediante la técnica de </w:t>
            </w:r>
            <w:proofErr w:type="spellStart"/>
            <w:r>
              <w:rPr>
                <w:sz w:val="22"/>
              </w:rPr>
              <w:t>screening</w:t>
            </w:r>
            <w:proofErr w:type="spellEnd"/>
            <w:r>
              <w:rPr>
                <w:sz w:val="22"/>
              </w:rPr>
              <w:t xml:space="preserve"> con </w:t>
            </w:r>
            <w:proofErr w:type="spellStart"/>
            <w:r>
              <w:rPr>
                <w:sz w:val="22"/>
              </w:rPr>
              <w:t>inmunohistoquímica</w:t>
            </w:r>
            <w:proofErr w:type="spellEnd"/>
            <w:r>
              <w:rPr>
                <w:sz w:val="22"/>
              </w:rPr>
              <w:t xml:space="preserve"> indirecta sobre tejido de cerebelo completo de rata (SI/NO): El resultado se confirma con: </w:t>
            </w:r>
          </w:p>
          <w:p w:rsidR="00B36D44" w:rsidRDefault="004F3A8C">
            <w:pPr>
              <w:numPr>
                <w:ilvl w:val="0"/>
                <w:numId w:val="1"/>
              </w:numPr>
              <w:spacing w:after="0" w:line="259" w:lineRule="auto"/>
              <w:ind w:left="849" w:right="0" w:hanging="319"/>
              <w:jc w:val="left"/>
            </w:pPr>
            <w:proofErr w:type="spellStart"/>
            <w:r>
              <w:rPr>
                <w:sz w:val="22"/>
              </w:rPr>
              <w:t>Inmunolobot</w:t>
            </w:r>
            <w:proofErr w:type="spellEnd"/>
            <w:r>
              <w:rPr>
                <w:sz w:val="22"/>
              </w:rPr>
              <w:t xml:space="preserve"> de proteínas recombinantes (SI /NO): </w:t>
            </w:r>
          </w:p>
          <w:p w:rsidR="00B36D44" w:rsidRDefault="004F3A8C">
            <w:pPr>
              <w:numPr>
                <w:ilvl w:val="0"/>
                <w:numId w:val="1"/>
              </w:numPr>
              <w:spacing w:after="0" w:line="259" w:lineRule="auto"/>
              <w:ind w:left="849" w:right="0" w:hanging="319"/>
              <w:jc w:val="left"/>
            </w:pPr>
            <w:r>
              <w:rPr>
                <w:sz w:val="22"/>
              </w:rPr>
              <w:t xml:space="preserve">Ensayo celular específico (SI/NO)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</w:tc>
      </w:tr>
      <w:tr w:rsidR="00B36D44">
        <w:trPr>
          <w:trHeight w:val="1274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34" w:line="248" w:lineRule="auto"/>
              <w:ind w:left="530" w:right="104" w:hanging="360"/>
            </w:pPr>
            <w:r>
              <w:rPr>
                <w:sz w:val="22"/>
              </w:rPr>
              <w:t>c)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Para los anticuerpos anti-superficie neuronal, suero/LCR, mediante la técnica de </w:t>
            </w:r>
            <w:proofErr w:type="spellStart"/>
            <w:r>
              <w:rPr>
                <w:sz w:val="22"/>
              </w:rPr>
              <w:t>screening</w:t>
            </w:r>
            <w:proofErr w:type="spellEnd"/>
            <w:r>
              <w:rPr>
                <w:sz w:val="22"/>
              </w:rPr>
              <w:t xml:space="preserve"> con </w:t>
            </w:r>
            <w:proofErr w:type="spellStart"/>
            <w:r>
              <w:rPr>
                <w:sz w:val="22"/>
              </w:rPr>
              <w:t>inmunohistoquímica</w:t>
            </w:r>
            <w:proofErr w:type="spellEnd"/>
            <w:r>
              <w:rPr>
                <w:sz w:val="22"/>
              </w:rPr>
              <w:t xml:space="preserve"> indirecta sobre tejido de cerebro completo de rata (SI/NO): El resultado se confirma con: </w:t>
            </w:r>
          </w:p>
          <w:p w:rsidR="00B36D44" w:rsidRDefault="004F3A8C">
            <w:pPr>
              <w:spacing w:after="0" w:line="259" w:lineRule="auto"/>
              <w:ind w:left="530" w:right="0" w:firstLine="0"/>
              <w:jc w:val="left"/>
            </w:pPr>
            <w:r>
              <w:rPr>
                <w:sz w:val="22"/>
              </w:rPr>
              <w:t>-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Ensayo </w:t>
            </w:r>
            <w:proofErr w:type="spellStart"/>
            <w:r>
              <w:rPr>
                <w:sz w:val="22"/>
              </w:rPr>
              <w:t>cellular</w:t>
            </w:r>
            <w:proofErr w:type="spellEnd"/>
            <w:r>
              <w:rPr>
                <w:sz w:val="22"/>
              </w:rPr>
              <w:t xml:space="preserve"> especifico (SI/NO):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SI               NO  </w:t>
            </w:r>
          </w:p>
        </w:tc>
      </w:tr>
      <w:tr w:rsidR="00B36D44">
        <w:trPr>
          <w:trHeight w:val="516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603" w:right="0" w:hanging="425"/>
            </w:pPr>
            <w:r>
              <w:rPr>
                <w:sz w:val="22"/>
              </w:rPr>
              <w:t>d)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Para el RT-</w:t>
            </w:r>
            <w:proofErr w:type="spellStart"/>
            <w:r>
              <w:rPr>
                <w:sz w:val="22"/>
              </w:rPr>
              <w:t>QuIC</w:t>
            </w:r>
            <w:proofErr w:type="spellEnd"/>
            <w:r>
              <w:rPr>
                <w:sz w:val="22"/>
              </w:rPr>
              <w:t xml:space="preserve"> para el diagnóstico de ECJ, LCR, por ensayo de Real-time </w:t>
            </w:r>
            <w:proofErr w:type="spellStart"/>
            <w:r>
              <w:rPr>
                <w:sz w:val="22"/>
              </w:rPr>
              <w:t>quaking-induced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conversion</w:t>
            </w:r>
            <w:proofErr w:type="spellEnd"/>
            <w:r>
              <w:rPr>
                <w:sz w:val="22"/>
              </w:rPr>
              <w:t xml:space="preserve"> (SI/NO):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</w:tc>
      </w:tr>
      <w:tr w:rsidR="00B36D44">
        <w:trPr>
          <w:trHeight w:val="463"/>
        </w:trPr>
        <w:tc>
          <w:tcPr>
            <w:tcW w:w="8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2)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Participación en controles de calidad externos: </w:t>
            </w:r>
          </w:p>
        </w:tc>
      </w:tr>
      <w:tr w:rsidR="00B36D44">
        <w:trPr>
          <w:trHeight w:val="1023"/>
        </w:trPr>
        <w:tc>
          <w:tcPr>
            <w:tcW w:w="8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360" w:right="104" w:firstLine="0"/>
            </w:pPr>
            <w:r>
              <w:rPr>
                <w:sz w:val="22"/>
              </w:rPr>
              <w:t xml:space="preserve">Se otorgará la máxima puntuación a la oferta que acredite el mayor número de pruebas (de las incluidas en el Pliego) inscritas en Programas de Calidad Externa realizados por Entidades de reconocido prestigio. Nº de pruebas inscritas: </w:t>
            </w:r>
            <w:r>
              <w:rPr>
                <w:i/>
                <w:sz w:val="22"/>
              </w:rPr>
              <w:t>(indíquese). Se acompañará el certificado correspondiente de las pruebas inscritas.</w:t>
            </w:r>
            <w:r>
              <w:rPr>
                <w:sz w:val="22"/>
              </w:rPr>
              <w:t xml:space="preserve"> </w:t>
            </w:r>
          </w:p>
        </w:tc>
      </w:tr>
      <w:tr w:rsidR="00B36D44">
        <w:trPr>
          <w:trHeight w:val="463"/>
        </w:trPr>
        <w:tc>
          <w:tcPr>
            <w:tcW w:w="8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3)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Recursos humanos:</w:t>
            </w:r>
            <w:r>
              <w:rPr>
                <w:sz w:val="22"/>
              </w:rPr>
              <w:t xml:space="preserve"> </w:t>
            </w:r>
          </w:p>
        </w:tc>
      </w:tr>
      <w:tr w:rsidR="00B36D44">
        <w:trPr>
          <w:trHeight w:val="770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Nº Licenciados, adscritos al presente contrato, con la especialidad en inmunología o </w:t>
            </w:r>
            <w:proofErr w:type="spellStart"/>
            <w:r>
              <w:rPr>
                <w:sz w:val="22"/>
              </w:rPr>
              <w:t>neuroinmunología</w:t>
            </w:r>
            <w:proofErr w:type="spellEnd"/>
            <w:r>
              <w:rPr>
                <w:sz w:val="22"/>
              </w:rPr>
              <w:t xml:space="preserve"> en el horario mínimo previsto en el Pliego.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5" w:right="0" w:firstLine="0"/>
              <w:jc w:val="left"/>
            </w:pPr>
            <w:r>
              <w:rPr>
                <w:sz w:val="22"/>
              </w:rPr>
              <w:t xml:space="preserve">Nº: </w:t>
            </w:r>
            <w:r>
              <w:rPr>
                <w:i/>
                <w:sz w:val="22"/>
              </w:rPr>
              <w:t>(indíquese)</w:t>
            </w:r>
            <w:r>
              <w:rPr>
                <w:sz w:val="22"/>
              </w:rPr>
              <w:t xml:space="preserve"> </w:t>
            </w:r>
          </w:p>
        </w:tc>
      </w:tr>
      <w:tr w:rsidR="00B36D44">
        <w:trPr>
          <w:trHeight w:val="293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104" w:firstLine="0"/>
              <w:jc w:val="right"/>
            </w:pPr>
            <w:r>
              <w:rPr>
                <w:sz w:val="22"/>
              </w:rPr>
              <w:t xml:space="preserve">Nº Total personal adscrita: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50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B36D44">
        <w:trPr>
          <w:trHeight w:val="295"/>
        </w:trPr>
        <w:tc>
          <w:tcPr>
            <w:tcW w:w="8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4)</w:t>
            </w: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Sistemas de comunicación e información:</w:t>
            </w:r>
            <w:r>
              <w:rPr>
                <w:sz w:val="22"/>
              </w:rPr>
              <w:t xml:space="preserve"> </w:t>
            </w:r>
          </w:p>
        </w:tc>
      </w:tr>
      <w:tr w:rsidR="00B36D44">
        <w:trPr>
          <w:trHeight w:val="76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360" w:right="0" w:firstLine="0"/>
              <w:jc w:val="left"/>
            </w:pPr>
            <w:r>
              <w:rPr>
                <w:rFonts w:ascii="Courier New" w:eastAsia="Courier New" w:hAnsi="Courier New" w:cs="Courier New"/>
                <w:sz w:val="22"/>
              </w:rPr>
              <w:t>o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Atención a consultas diagnósticas biomédicas 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</w:tr>
    </w:tbl>
    <w:p w:rsidR="00B36D44" w:rsidRDefault="004F3A8C">
      <w:pPr>
        <w:tabs>
          <w:tab w:val="right" w:pos="9002"/>
        </w:tabs>
        <w:spacing w:after="10" w:line="248" w:lineRule="auto"/>
        <w:ind w:left="-15" w:right="0" w:firstLine="0"/>
        <w:jc w:val="left"/>
      </w:pPr>
      <w:r>
        <w:rPr>
          <w:sz w:val="22"/>
        </w:rPr>
        <w:t xml:space="preserve">Táchese SI o NO, según proceda. </w:t>
      </w:r>
      <w:r>
        <w:rPr>
          <w:sz w:val="22"/>
        </w:rPr>
        <w:tab/>
        <w:t xml:space="preserve">1 </w:t>
      </w:r>
    </w:p>
    <w:p w:rsidR="00B36D44" w:rsidRDefault="004F3A8C">
      <w:pPr>
        <w:spacing w:after="10" w:line="248" w:lineRule="auto"/>
        <w:ind w:left="-5" w:right="0"/>
        <w:jc w:val="left"/>
      </w:pPr>
      <w:r>
        <w:rPr>
          <w:sz w:val="22"/>
        </w:rPr>
        <w:t xml:space="preserve">Táchese SI o NO, según proceda y, en su caso, se identifica el sistema de alerta y el de acceso telemático al catálogo de pruebas e información técnica y clínica. </w:t>
      </w:r>
    </w:p>
    <w:tbl>
      <w:tblPr>
        <w:tblStyle w:val="TableGrid"/>
        <w:tblW w:w="8082" w:type="dxa"/>
        <w:tblInd w:w="283" w:type="dxa"/>
        <w:tblCellMar>
          <w:top w:w="7" w:type="dxa"/>
          <w:right w:w="54" w:type="dxa"/>
        </w:tblCellMar>
        <w:tblLook w:val="04A0" w:firstRow="1" w:lastRow="0" w:firstColumn="1" w:lastColumn="0" w:noHBand="0" w:noVBand="1"/>
      </w:tblPr>
      <w:tblGrid>
        <w:gridCol w:w="828"/>
        <w:gridCol w:w="5693"/>
        <w:gridCol w:w="1561"/>
      </w:tblGrid>
      <w:tr w:rsidR="00B36D44">
        <w:trPr>
          <w:trHeight w:val="77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6D44" w:rsidRDefault="004F3A8C">
            <w:pPr>
              <w:spacing w:after="0" w:line="259" w:lineRule="auto"/>
              <w:ind w:left="294" w:right="0" w:firstLine="0"/>
              <w:jc w:val="center"/>
            </w:pPr>
            <w:r>
              <w:rPr>
                <w:rFonts w:ascii="Courier New" w:eastAsia="Courier New" w:hAnsi="Courier New" w:cs="Courier New"/>
                <w:sz w:val="22"/>
              </w:rPr>
              <w:lastRenderedPageBreak/>
              <w:t>o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53" w:firstLine="0"/>
            </w:pPr>
            <w:r>
              <w:rPr>
                <w:sz w:val="22"/>
              </w:rPr>
              <w:t>Interpretación de resultados confirmatorios con facultativos que dispongan de la especialidad de inmunología para las pruebas relacionadas con el objeto del contrato (SI/NO).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</w:tc>
      </w:tr>
      <w:tr w:rsidR="00B36D44">
        <w:trPr>
          <w:trHeight w:val="76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6D44" w:rsidRDefault="004F3A8C">
            <w:pPr>
              <w:spacing w:after="0" w:line="259" w:lineRule="auto"/>
              <w:ind w:left="294" w:right="0" w:firstLine="0"/>
              <w:jc w:val="center"/>
            </w:pPr>
            <w:r>
              <w:rPr>
                <w:rFonts w:ascii="Courier New" w:eastAsia="Courier New" w:hAnsi="Courier New" w:cs="Courier New"/>
                <w:sz w:val="22"/>
              </w:rPr>
              <w:t>o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0" w:right="0" w:firstLine="0"/>
            </w:pPr>
            <w:r>
              <w:rPr>
                <w:sz w:val="22"/>
              </w:rPr>
              <w:t xml:space="preserve">Se dispone de sistema de alerta ante cambios en los métodos analíticos de las pruebas licitadas.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109" w:right="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9" w:right="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2"/>
              </w:rPr>
              <w:t xml:space="preserve">SÍ               NO </w:t>
            </w:r>
          </w:p>
        </w:tc>
      </w:tr>
      <w:tr w:rsidR="00B36D44">
        <w:trPr>
          <w:trHeight w:val="76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6D44" w:rsidRDefault="004F3A8C">
            <w:pPr>
              <w:spacing w:after="0" w:line="259" w:lineRule="auto"/>
              <w:ind w:left="294" w:right="0" w:firstLine="0"/>
              <w:jc w:val="center"/>
            </w:pPr>
            <w:r>
              <w:rPr>
                <w:rFonts w:ascii="Courier New" w:eastAsia="Courier New" w:hAnsi="Courier New" w:cs="Courier New"/>
                <w:sz w:val="22"/>
              </w:rPr>
              <w:t>o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6D44" w:rsidRDefault="004F3A8C">
            <w:pPr>
              <w:spacing w:after="0" w:line="259" w:lineRule="auto"/>
              <w:ind w:left="0" w:right="0" w:firstLine="0"/>
            </w:pPr>
            <w:r>
              <w:rPr>
                <w:sz w:val="22"/>
              </w:rPr>
              <w:t xml:space="preserve">Se dispone de acceso telemático al catálogo de pruebas objeto del contrato.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109" w:right="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9" w:right="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</w:tc>
      </w:tr>
      <w:tr w:rsidR="00B36D44">
        <w:trPr>
          <w:trHeight w:val="51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36D44" w:rsidRDefault="004F3A8C">
            <w:pPr>
              <w:spacing w:after="0" w:line="259" w:lineRule="auto"/>
              <w:ind w:left="294" w:right="0" w:firstLine="0"/>
              <w:jc w:val="center"/>
            </w:pPr>
            <w:r>
              <w:rPr>
                <w:rFonts w:ascii="Courier New" w:eastAsia="Courier New" w:hAnsi="Courier New" w:cs="Courier New"/>
                <w:sz w:val="22"/>
              </w:rPr>
              <w:t>o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5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Acceso a la información técnica y clínica de las pruebas licitadas.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6D44" w:rsidRDefault="004F3A8C">
            <w:pPr>
              <w:spacing w:after="0" w:line="259" w:lineRule="auto"/>
              <w:ind w:left="109" w:right="0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B36D44" w:rsidRDefault="004F3A8C">
            <w:pPr>
              <w:spacing w:after="0" w:line="259" w:lineRule="auto"/>
              <w:ind w:left="108" w:right="0" w:firstLine="0"/>
              <w:jc w:val="left"/>
            </w:pPr>
            <w:r>
              <w:rPr>
                <w:sz w:val="22"/>
              </w:rPr>
              <w:t xml:space="preserve">SI               NO </w:t>
            </w:r>
          </w:p>
        </w:tc>
      </w:tr>
    </w:tbl>
    <w:p w:rsidR="00B36D44" w:rsidRDefault="004F3A8C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B36D44" w:rsidRDefault="004F3A8C">
      <w:pPr>
        <w:ind w:left="-15" w:right="0" w:firstLine="708"/>
      </w:pPr>
      <w:r>
        <w:t xml:space="preserve">Que la licitadora se compromete a presentar la justificación acreditativa de las técnicas marcadas en el apartado 1 de la presente declaración en el supuesto de que sea requerido por el órgano de contratación y una vez que resulte propuesta como adjudicataria del contrato, indicando que emplea las técnicas marcadas en el momento de presentación de la presente declaración responsable. </w:t>
      </w:r>
    </w:p>
    <w:p w:rsidR="00B36D44" w:rsidRDefault="004F3A8C">
      <w:pPr>
        <w:spacing w:after="19" w:line="259" w:lineRule="auto"/>
        <w:ind w:left="708" w:right="0" w:firstLine="0"/>
        <w:jc w:val="left"/>
      </w:pPr>
      <w:r>
        <w:t xml:space="preserve"> </w:t>
      </w:r>
    </w:p>
    <w:p w:rsidR="00B36D44" w:rsidRDefault="004F3A8C">
      <w:pPr>
        <w:ind w:left="718" w:right="0"/>
      </w:pPr>
      <w:r>
        <w:t xml:space="preserve">En __________________, a __________ de ______________ </w:t>
      </w:r>
      <w:proofErr w:type="spellStart"/>
      <w:r>
        <w:t>de</w:t>
      </w:r>
      <w:proofErr w:type="spellEnd"/>
      <w:r>
        <w:t xml:space="preserve"> 2025. </w:t>
      </w:r>
    </w:p>
    <w:p w:rsidR="00B36D44" w:rsidRDefault="004F3A8C">
      <w:pPr>
        <w:spacing w:after="19" w:line="259" w:lineRule="auto"/>
        <w:ind w:left="708" w:right="0" w:firstLine="0"/>
        <w:jc w:val="left"/>
      </w:pPr>
      <w:r>
        <w:t xml:space="preserve"> </w:t>
      </w:r>
    </w:p>
    <w:p w:rsidR="00B36D44" w:rsidRDefault="004F3A8C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B36D44" w:rsidRDefault="004F3A8C">
      <w:pPr>
        <w:spacing w:after="21" w:line="259" w:lineRule="auto"/>
        <w:ind w:left="708" w:right="0" w:firstLine="0"/>
        <w:jc w:val="left"/>
      </w:pPr>
      <w:r>
        <w:t xml:space="preserve"> </w:t>
      </w:r>
    </w:p>
    <w:p w:rsidR="00B36D44" w:rsidRDefault="004F3A8C">
      <w:pPr>
        <w:spacing w:after="19" w:line="259" w:lineRule="auto"/>
        <w:ind w:left="0" w:firstLine="0"/>
        <w:jc w:val="center"/>
      </w:pPr>
      <w:r>
        <w:t xml:space="preserve">Fdo.: _______________________ </w:t>
      </w:r>
    </w:p>
    <w:p w:rsidR="00B36D44" w:rsidRDefault="004F3A8C">
      <w:pPr>
        <w:spacing w:after="7153" w:line="259" w:lineRule="auto"/>
        <w:ind w:left="0" w:right="0" w:firstLine="0"/>
        <w:jc w:val="left"/>
      </w:pPr>
      <w:r>
        <w:t xml:space="preserve"> </w:t>
      </w:r>
    </w:p>
    <w:p w:rsidR="00B36D44" w:rsidRDefault="004F3A8C">
      <w:pPr>
        <w:tabs>
          <w:tab w:val="right" w:pos="9002"/>
        </w:tabs>
        <w:spacing w:after="10" w:line="248" w:lineRule="auto"/>
        <w:ind w:left="-15" w:right="0" w:firstLine="0"/>
        <w:jc w:val="left"/>
      </w:pPr>
      <w:r>
        <w:rPr>
          <w:sz w:val="22"/>
        </w:rPr>
        <w:t xml:space="preserve">Táchese SI o NO, según proceda. </w:t>
      </w:r>
      <w:r>
        <w:rPr>
          <w:sz w:val="22"/>
        </w:rPr>
        <w:tab/>
        <w:t xml:space="preserve">2 </w:t>
      </w:r>
    </w:p>
    <w:p w:rsidR="00B36D44" w:rsidRDefault="004F3A8C">
      <w:pPr>
        <w:spacing w:after="10" w:line="248" w:lineRule="auto"/>
        <w:ind w:left="-5" w:right="0"/>
        <w:jc w:val="left"/>
      </w:pPr>
      <w:r>
        <w:rPr>
          <w:sz w:val="22"/>
        </w:rPr>
        <w:t xml:space="preserve">Táchese SI o NO, según proceda y, en su caso, se identifica el sistema de alerta y el de acceso telemático al catálogo de pruebas e información técnica y clínica. </w:t>
      </w:r>
    </w:p>
    <w:sectPr w:rsidR="00B36D44" w:rsidSect="00D44847">
      <w:pgSz w:w="11906" w:h="16838"/>
      <w:pgMar w:top="284" w:right="1203" w:bottom="426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D7599"/>
    <w:multiLevelType w:val="hybridMultilevel"/>
    <w:tmpl w:val="7B86245A"/>
    <w:lvl w:ilvl="0" w:tplc="1CECF798">
      <w:start w:val="1"/>
      <w:numFmt w:val="bullet"/>
      <w:lvlText w:val="-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EA26A2">
      <w:start w:val="1"/>
      <w:numFmt w:val="bullet"/>
      <w:lvlText w:val="o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88B6D2">
      <w:start w:val="1"/>
      <w:numFmt w:val="bullet"/>
      <w:lvlText w:val="▪"/>
      <w:lvlJc w:val="left"/>
      <w:pPr>
        <w:ind w:left="2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C25C88">
      <w:start w:val="1"/>
      <w:numFmt w:val="bullet"/>
      <w:lvlText w:val="•"/>
      <w:lvlJc w:val="left"/>
      <w:pPr>
        <w:ind w:left="3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427986">
      <w:start w:val="1"/>
      <w:numFmt w:val="bullet"/>
      <w:lvlText w:val="o"/>
      <w:lvlJc w:val="left"/>
      <w:pPr>
        <w:ind w:left="3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BE8F22">
      <w:start w:val="1"/>
      <w:numFmt w:val="bullet"/>
      <w:lvlText w:val="▪"/>
      <w:lvlJc w:val="left"/>
      <w:pPr>
        <w:ind w:left="4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62499E">
      <w:start w:val="1"/>
      <w:numFmt w:val="bullet"/>
      <w:lvlText w:val="•"/>
      <w:lvlJc w:val="left"/>
      <w:pPr>
        <w:ind w:left="5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FAD9E8">
      <w:start w:val="1"/>
      <w:numFmt w:val="bullet"/>
      <w:lvlText w:val="o"/>
      <w:lvlJc w:val="left"/>
      <w:pPr>
        <w:ind w:left="6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AE2664">
      <w:start w:val="1"/>
      <w:numFmt w:val="bullet"/>
      <w:lvlText w:val="▪"/>
      <w:lvlJc w:val="left"/>
      <w:pPr>
        <w:ind w:left="6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44"/>
    <w:rsid w:val="004F3A8C"/>
    <w:rsid w:val="00B36D44"/>
    <w:rsid w:val="00D4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8BF36C-6B89-474D-965C-AF7F39B27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" w:line="268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X058448</dc:creator>
  <cp:keywords/>
  <cp:lastModifiedBy>López Iraizoz, Elena (Serv. Centrales)</cp:lastModifiedBy>
  <cp:revision>3</cp:revision>
  <dcterms:created xsi:type="dcterms:W3CDTF">2025-08-05T09:36:00Z</dcterms:created>
  <dcterms:modified xsi:type="dcterms:W3CDTF">2025-08-05T09:38:00Z</dcterms:modified>
</cp:coreProperties>
</file>