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C10" w:rsidRDefault="00F20C10" w:rsidP="00010A55">
      <w:pPr>
        <w:ind w:left="708" w:hanging="708"/>
        <w:rPr>
          <w:szCs w:val="20"/>
        </w:rPr>
      </w:pPr>
      <w:bookmarkStart w:id="0" w:name="_GoBack"/>
      <w:bookmarkEnd w:id="0"/>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Pr="00311BE9" w:rsidRDefault="00F20C10" w:rsidP="00387490">
      <w:pPr>
        <w:pStyle w:val="Lnea"/>
        <w:ind w:left="0"/>
      </w:pPr>
    </w:p>
    <w:p w:rsidR="00F20C10" w:rsidRDefault="00F20C10" w:rsidP="00F20C10"/>
    <w:p w:rsidR="00AE61DD" w:rsidRDefault="00AE61DD" w:rsidP="00AE61DD">
      <w:pPr>
        <w:pStyle w:val="Proyecto"/>
      </w:pPr>
      <w:r>
        <w:t>Requerimientos S</w:t>
      </w:r>
      <w:r w:rsidR="00463559">
        <w:t>TS</w:t>
      </w:r>
      <w:r>
        <w:t xml:space="preserve"> - (Equipo</w:t>
      </w:r>
      <w:r w:rsidR="005A66BC">
        <w:t>s</w:t>
      </w:r>
      <w:r>
        <w:t xml:space="preserve"> neurofisiología)</w:t>
      </w:r>
    </w:p>
    <w:p w:rsidR="00F20C10" w:rsidRDefault="00F20C10" w:rsidP="00387490">
      <w:pPr>
        <w:pStyle w:val="Lnea"/>
        <w:ind w:left="0"/>
      </w:pPr>
    </w:p>
    <w:p w:rsidR="00F20C10" w:rsidRDefault="00F20C10" w:rsidP="00F20C10"/>
    <w:p w:rsidR="00F20C10" w:rsidRDefault="00F20C10" w:rsidP="00F20C10"/>
    <w:p w:rsidR="00F20C10" w:rsidRDefault="00F20C10" w:rsidP="00F20C10"/>
    <w:p w:rsidR="00F20C10" w:rsidRDefault="00F20C10" w:rsidP="00F20C10"/>
    <w:p w:rsidR="00F20C10" w:rsidRDefault="00F20C10" w:rsidP="00F20C10"/>
    <w:p w:rsidR="00F20C10" w:rsidRDefault="00F20C10" w:rsidP="008E442F">
      <w:pPr>
        <w:pStyle w:val="Lnea"/>
        <w:ind w:left="0"/>
      </w:pPr>
    </w:p>
    <w:p w:rsidR="00F20C10" w:rsidRDefault="00F20C10" w:rsidP="00F20C10"/>
    <w:p w:rsidR="00F20C10" w:rsidRDefault="00817680" w:rsidP="00F20C10">
      <w:pPr>
        <w:pStyle w:val="Entregable"/>
      </w:pPr>
      <w:r>
        <w:t xml:space="preserve">Pliego </w:t>
      </w:r>
      <w:r w:rsidR="00596B37">
        <w:t>de Cláusulas Técnicas</w:t>
      </w:r>
    </w:p>
    <w:p w:rsidR="00F20C10" w:rsidRPr="005F161D" w:rsidRDefault="00F20C10" w:rsidP="00F20C10">
      <w:pPr>
        <w:pStyle w:val="Versin"/>
      </w:pPr>
      <w:r w:rsidRPr="005C5AC7">
        <w:t>Versión</w:t>
      </w:r>
      <w:r w:rsidR="004B2A78">
        <w:t xml:space="preserve"> 1.0</w:t>
      </w:r>
    </w:p>
    <w:p w:rsidR="00F20C10" w:rsidRDefault="00F20C10" w:rsidP="008E442F">
      <w:pPr>
        <w:pStyle w:val="Lnea"/>
        <w:ind w:left="0"/>
      </w:pPr>
    </w:p>
    <w:p w:rsidR="00311BE9" w:rsidRDefault="00311BE9" w:rsidP="00311BE9">
      <w:pPr>
        <w:rPr>
          <w:szCs w:val="20"/>
        </w:rPr>
      </w:pPr>
    </w:p>
    <w:p w:rsidR="00311BE9" w:rsidRDefault="00311BE9" w:rsidP="00311BE9">
      <w:pPr>
        <w:rPr>
          <w:szCs w:val="20"/>
        </w:rPr>
      </w:pPr>
    </w:p>
    <w:p w:rsidR="00311BE9" w:rsidRDefault="00311BE9" w:rsidP="00A87ED2"/>
    <w:p w:rsidR="006E4C99" w:rsidRDefault="006E4C99" w:rsidP="00A87ED2"/>
    <w:p w:rsidR="00311BE9" w:rsidRDefault="00311BE9" w:rsidP="00A87ED2"/>
    <w:p w:rsidR="00311BE9" w:rsidRPr="005F161D" w:rsidRDefault="00311BE9" w:rsidP="00387490">
      <w:pPr>
        <w:pStyle w:val="Indicedecontenidos"/>
        <w:ind w:left="0"/>
      </w:pPr>
      <w:r w:rsidRPr="005F161D">
        <w:lastRenderedPageBreak/>
        <w:t>Índice de contenidos</w:t>
      </w:r>
    </w:p>
    <w:p w:rsidR="005B55C5" w:rsidRDefault="001336C3">
      <w:pPr>
        <w:pStyle w:val="TDC1"/>
        <w:rPr>
          <w:rFonts w:asciiTheme="minorHAnsi" w:eastAsiaTheme="minorEastAsia" w:hAnsiTheme="minorHAnsi" w:cstheme="minorBidi"/>
          <w:smallCaps w:val="0"/>
          <w:noProof/>
        </w:rPr>
      </w:pPr>
      <w:r>
        <w:fldChar w:fldCharType="begin"/>
      </w:r>
      <w:r>
        <w:instrText xml:space="preserve"> TOC \o "1-3" \h \z \u </w:instrText>
      </w:r>
      <w:r>
        <w:fldChar w:fldCharType="separate"/>
      </w:r>
      <w:hyperlink w:anchor="_Toc199149520" w:history="1">
        <w:r w:rsidR="005B55C5" w:rsidRPr="00A64443">
          <w:rPr>
            <w:rStyle w:val="Hipervnculo"/>
            <w:noProof/>
          </w:rPr>
          <w:t>1</w:t>
        </w:r>
        <w:r w:rsidR="005B55C5">
          <w:rPr>
            <w:rFonts w:asciiTheme="minorHAnsi" w:eastAsiaTheme="minorEastAsia" w:hAnsiTheme="minorHAnsi" w:cstheme="minorBidi"/>
            <w:smallCaps w:val="0"/>
            <w:noProof/>
          </w:rPr>
          <w:tab/>
        </w:r>
        <w:r w:rsidR="005B55C5" w:rsidRPr="00A64443">
          <w:rPr>
            <w:rStyle w:val="Hipervnculo"/>
            <w:noProof/>
          </w:rPr>
          <w:t>Objeto del Contrato</w:t>
        </w:r>
        <w:r w:rsidR="005B55C5">
          <w:rPr>
            <w:noProof/>
            <w:webHidden/>
          </w:rPr>
          <w:tab/>
        </w:r>
        <w:r w:rsidR="005B55C5">
          <w:rPr>
            <w:noProof/>
            <w:webHidden/>
          </w:rPr>
          <w:fldChar w:fldCharType="begin"/>
        </w:r>
        <w:r w:rsidR="005B55C5">
          <w:rPr>
            <w:noProof/>
            <w:webHidden/>
          </w:rPr>
          <w:instrText xml:space="preserve"> PAGEREF _Toc199149520 \h </w:instrText>
        </w:r>
        <w:r w:rsidR="005B55C5">
          <w:rPr>
            <w:noProof/>
            <w:webHidden/>
          </w:rPr>
        </w:r>
        <w:r w:rsidR="005B55C5">
          <w:rPr>
            <w:noProof/>
            <w:webHidden/>
          </w:rPr>
          <w:fldChar w:fldCharType="separate"/>
        </w:r>
        <w:r w:rsidR="005B55C5">
          <w:rPr>
            <w:noProof/>
            <w:webHidden/>
          </w:rPr>
          <w:t>3</w:t>
        </w:r>
        <w:r w:rsidR="005B55C5">
          <w:rPr>
            <w:noProof/>
            <w:webHidden/>
          </w:rPr>
          <w:fldChar w:fldCharType="end"/>
        </w:r>
      </w:hyperlink>
    </w:p>
    <w:p w:rsidR="005B55C5" w:rsidRDefault="005A66BC">
      <w:pPr>
        <w:pStyle w:val="TDC1"/>
        <w:rPr>
          <w:rFonts w:asciiTheme="minorHAnsi" w:eastAsiaTheme="minorEastAsia" w:hAnsiTheme="minorHAnsi" w:cstheme="minorBidi"/>
          <w:smallCaps w:val="0"/>
          <w:noProof/>
        </w:rPr>
      </w:pPr>
      <w:hyperlink w:anchor="_Toc199149521" w:history="1">
        <w:r w:rsidR="005B55C5" w:rsidRPr="00A64443">
          <w:rPr>
            <w:rStyle w:val="Hipervnculo"/>
            <w:noProof/>
          </w:rPr>
          <w:t>2</w:t>
        </w:r>
        <w:r w:rsidR="005B55C5">
          <w:rPr>
            <w:rFonts w:asciiTheme="minorHAnsi" w:eastAsiaTheme="minorEastAsia" w:hAnsiTheme="minorHAnsi" w:cstheme="minorBidi"/>
            <w:smallCaps w:val="0"/>
            <w:noProof/>
          </w:rPr>
          <w:tab/>
        </w:r>
        <w:r w:rsidR="005B55C5" w:rsidRPr="00A64443">
          <w:rPr>
            <w:rStyle w:val="Hipervnculo"/>
            <w:noProof/>
          </w:rPr>
          <w:t>Condiciones Técnicas</w:t>
        </w:r>
        <w:r w:rsidR="005B55C5">
          <w:rPr>
            <w:noProof/>
            <w:webHidden/>
          </w:rPr>
          <w:tab/>
        </w:r>
        <w:r w:rsidR="005B55C5">
          <w:rPr>
            <w:noProof/>
            <w:webHidden/>
          </w:rPr>
          <w:fldChar w:fldCharType="begin"/>
        </w:r>
        <w:r w:rsidR="005B55C5">
          <w:rPr>
            <w:noProof/>
            <w:webHidden/>
          </w:rPr>
          <w:instrText xml:space="preserve"> PAGEREF _Toc199149521 \h </w:instrText>
        </w:r>
        <w:r w:rsidR="005B55C5">
          <w:rPr>
            <w:noProof/>
            <w:webHidden/>
          </w:rPr>
        </w:r>
        <w:r w:rsidR="005B55C5">
          <w:rPr>
            <w:noProof/>
            <w:webHidden/>
          </w:rPr>
          <w:fldChar w:fldCharType="separate"/>
        </w:r>
        <w:r w:rsidR="005B55C5">
          <w:rPr>
            <w:noProof/>
            <w:webHidden/>
          </w:rPr>
          <w:t>4</w:t>
        </w:r>
        <w:r w:rsidR="005B55C5">
          <w:rPr>
            <w:noProof/>
            <w:webHidden/>
          </w:rPr>
          <w:fldChar w:fldCharType="end"/>
        </w:r>
      </w:hyperlink>
    </w:p>
    <w:p w:rsidR="005B55C5" w:rsidRDefault="005A66BC">
      <w:pPr>
        <w:pStyle w:val="TDC2"/>
        <w:rPr>
          <w:rFonts w:asciiTheme="minorHAnsi" w:eastAsiaTheme="minorEastAsia" w:hAnsiTheme="minorHAnsi" w:cstheme="minorBidi"/>
          <w:b w:val="0"/>
          <w:noProof/>
          <w:sz w:val="22"/>
        </w:rPr>
      </w:pPr>
      <w:hyperlink w:anchor="_Toc199149522" w:history="1">
        <w:r w:rsidR="005B55C5" w:rsidRPr="00A64443">
          <w:rPr>
            <w:rStyle w:val="Hipervnculo"/>
            <w:noProof/>
          </w:rPr>
          <w:t>2.1</w:t>
        </w:r>
        <w:r w:rsidR="005B55C5">
          <w:rPr>
            <w:rFonts w:asciiTheme="minorHAnsi" w:eastAsiaTheme="minorEastAsia" w:hAnsiTheme="minorHAnsi" w:cstheme="minorBidi"/>
            <w:b w:val="0"/>
            <w:noProof/>
            <w:sz w:val="22"/>
          </w:rPr>
          <w:tab/>
        </w:r>
        <w:r w:rsidR="005B55C5" w:rsidRPr="00A64443">
          <w:rPr>
            <w:rStyle w:val="Hipervnculo"/>
            <w:noProof/>
          </w:rPr>
          <w:t>Requisitos Técnicos</w:t>
        </w:r>
        <w:r w:rsidR="005B55C5">
          <w:rPr>
            <w:noProof/>
            <w:webHidden/>
          </w:rPr>
          <w:tab/>
        </w:r>
        <w:r w:rsidR="005B55C5">
          <w:rPr>
            <w:noProof/>
            <w:webHidden/>
          </w:rPr>
          <w:fldChar w:fldCharType="begin"/>
        </w:r>
        <w:r w:rsidR="005B55C5">
          <w:rPr>
            <w:noProof/>
            <w:webHidden/>
          </w:rPr>
          <w:instrText xml:space="preserve"> PAGEREF _Toc199149522 \h </w:instrText>
        </w:r>
        <w:r w:rsidR="005B55C5">
          <w:rPr>
            <w:noProof/>
            <w:webHidden/>
          </w:rPr>
        </w:r>
        <w:r w:rsidR="005B55C5">
          <w:rPr>
            <w:noProof/>
            <w:webHidden/>
          </w:rPr>
          <w:fldChar w:fldCharType="separate"/>
        </w:r>
        <w:r w:rsidR="005B55C5">
          <w:rPr>
            <w:noProof/>
            <w:webHidden/>
          </w:rPr>
          <w:t>4</w:t>
        </w:r>
        <w:r w:rsidR="005B55C5">
          <w:rPr>
            <w:noProof/>
            <w:webHidden/>
          </w:rPr>
          <w:fldChar w:fldCharType="end"/>
        </w:r>
      </w:hyperlink>
    </w:p>
    <w:p w:rsidR="005B55C5" w:rsidRDefault="005A66BC">
      <w:pPr>
        <w:pStyle w:val="TDC2"/>
        <w:rPr>
          <w:rFonts w:asciiTheme="minorHAnsi" w:eastAsiaTheme="minorEastAsia" w:hAnsiTheme="minorHAnsi" w:cstheme="minorBidi"/>
          <w:b w:val="0"/>
          <w:noProof/>
          <w:sz w:val="22"/>
        </w:rPr>
      </w:pPr>
      <w:hyperlink w:anchor="_Toc199149523" w:history="1">
        <w:r w:rsidR="005B55C5" w:rsidRPr="00A64443">
          <w:rPr>
            <w:rStyle w:val="Hipervnculo"/>
            <w:noProof/>
          </w:rPr>
          <w:t>2.2</w:t>
        </w:r>
        <w:r w:rsidR="005B55C5">
          <w:rPr>
            <w:rFonts w:asciiTheme="minorHAnsi" w:eastAsiaTheme="minorEastAsia" w:hAnsiTheme="minorHAnsi" w:cstheme="minorBidi"/>
            <w:b w:val="0"/>
            <w:noProof/>
            <w:sz w:val="22"/>
          </w:rPr>
          <w:tab/>
        </w:r>
        <w:r w:rsidR="005B55C5" w:rsidRPr="00A64443">
          <w:rPr>
            <w:rStyle w:val="Hipervnculo"/>
            <w:noProof/>
          </w:rPr>
          <w:t>Infraestructura tecnológica</w:t>
        </w:r>
        <w:r w:rsidR="005B55C5">
          <w:rPr>
            <w:noProof/>
            <w:webHidden/>
          </w:rPr>
          <w:tab/>
        </w:r>
        <w:r w:rsidR="005B55C5">
          <w:rPr>
            <w:noProof/>
            <w:webHidden/>
          </w:rPr>
          <w:fldChar w:fldCharType="begin"/>
        </w:r>
        <w:r w:rsidR="005B55C5">
          <w:rPr>
            <w:noProof/>
            <w:webHidden/>
          </w:rPr>
          <w:instrText xml:space="preserve"> PAGEREF _Toc199149523 \h </w:instrText>
        </w:r>
        <w:r w:rsidR="005B55C5">
          <w:rPr>
            <w:noProof/>
            <w:webHidden/>
          </w:rPr>
        </w:r>
        <w:r w:rsidR="005B55C5">
          <w:rPr>
            <w:noProof/>
            <w:webHidden/>
          </w:rPr>
          <w:fldChar w:fldCharType="separate"/>
        </w:r>
        <w:r w:rsidR="005B55C5">
          <w:rPr>
            <w:noProof/>
            <w:webHidden/>
          </w:rPr>
          <w:t>4</w:t>
        </w:r>
        <w:r w:rsidR="005B55C5">
          <w:rPr>
            <w:noProof/>
            <w:webHidden/>
          </w:rPr>
          <w:fldChar w:fldCharType="end"/>
        </w:r>
      </w:hyperlink>
    </w:p>
    <w:p w:rsidR="005B55C5" w:rsidRDefault="005A66BC">
      <w:pPr>
        <w:pStyle w:val="TDC2"/>
        <w:rPr>
          <w:rFonts w:asciiTheme="minorHAnsi" w:eastAsiaTheme="minorEastAsia" w:hAnsiTheme="minorHAnsi" w:cstheme="minorBidi"/>
          <w:b w:val="0"/>
          <w:noProof/>
          <w:sz w:val="22"/>
        </w:rPr>
      </w:pPr>
      <w:hyperlink w:anchor="_Toc199149524" w:history="1">
        <w:r w:rsidR="005B55C5" w:rsidRPr="00A64443">
          <w:rPr>
            <w:rStyle w:val="Hipervnculo"/>
            <w:noProof/>
          </w:rPr>
          <w:t>2.3</w:t>
        </w:r>
        <w:r w:rsidR="005B55C5">
          <w:rPr>
            <w:rFonts w:asciiTheme="minorHAnsi" w:eastAsiaTheme="minorEastAsia" w:hAnsiTheme="minorHAnsi" w:cstheme="minorBidi"/>
            <w:b w:val="0"/>
            <w:noProof/>
            <w:sz w:val="22"/>
          </w:rPr>
          <w:tab/>
        </w:r>
        <w:r w:rsidR="005B55C5" w:rsidRPr="00A64443">
          <w:rPr>
            <w:rStyle w:val="Hipervnculo"/>
            <w:noProof/>
          </w:rPr>
          <w:t>Seguridad</w:t>
        </w:r>
        <w:r w:rsidR="005B55C5">
          <w:rPr>
            <w:noProof/>
            <w:webHidden/>
          </w:rPr>
          <w:tab/>
        </w:r>
        <w:r w:rsidR="005B55C5">
          <w:rPr>
            <w:noProof/>
            <w:webHidden/>
          </w:rPr>
          <w:fldChar w:fldCharType="begin"/>
        </w:r>
        <w:r w:rsidR="005B55C5">
          <w:rPr>
            <w:noProof/>
            <w:webHidden/>
          </w:rPr>
          <w:instrText xml:space="preserve"> PAGEREF _Toc199149524 \h </w:instrText>
        </w:r>
        <w:r w:rsidR="005B55C5">
          <w:rPr>
            <w:noProof/>
            <w:webHidden/>
          </w:rPr>
        </w:r>
        <w:r w:rsidR="005B55C5">
          <w:rPr>
            <w:noProof/>
            <w:webHidden/>
          </w:rPr>
          <w:fldChar w:fldCharType="separate"/>
        </w:r>
        <w:r w:rsidR="005B55C5">
          <w:rPr>
            <w:noProof/>
            <w:webHidden/>
          </w:rPr>
          <w:t>4</w:t>
        </w:r>
        <w:r w:rsidR="005B55C5">
          <w:rPr>
            <w:noProof/>
            <w:webHidden/>
          </w:rPr>
          <w:fldChar w:fldCharType="end"/>
        </w:r>
      </w:hyperlink>
    </w:p>
    <w:p w:rsidR="005B55C5" w:rsidRDefault="005A66BC">
      <w:pPr>
        <w:pStyle w:val="TDC1"/>
        <w:rPr>
          <w:rFonts w:asciiTheme="minorHAnsi" w:eastAsiaTheme="minorEastAsia" w:hAnsiTheme="minorHAnsi" w:cstheme="minorBidi"/>
          <w:smallCaps w:val="0"/>
          <w:noProof/>
        </w:rPr>
      </w:pPr>
      <w:hyperlink w:anchor="_Toc199149525" w:history="1">
        <w:r w:rsidR="005B55C5" w:rsidRPr="00A64443">
          <w:rPr>
            <w:rStyle w:val="Hipervnculo"/>
            <w:noProof/>
          </w:rPr>
          <w:t>Anexo I. Requisitos técnicos de Infraestructuras para pliegos técnicos (v0.8)</w:t>
        </w:r>
        <w:r w:rsidR="005B55C5">
          <w:rPr>
            <w:noProof/>
            <w:webHidden/>
          </w:rPr>
          <w:tab/>
        </w:r>
        <w:r w:rsidR="005B55C5">
          <w:rPr>
            <w:noProof/>
            <w:webHidden/>
          </w:rPr>
          <w:fldChar w:fldCharType="begin"/>
        </w:r>
        <w:r w:rsidR="005B55C5">
          <w:rPr>
            <w:noProof/>
            <w:webHidden/>
          </w:rPr>
          <w:instrText xml:space="preserve"> PAGEREF _Toc199149525 \h </w:instrText>
        </w:r>
        <w:r w:rsidR="005B55C5">
          <w:rPr>
            <w:noProof/>
            <w:webHidden/>
          </w:rPr>
        </w:r>
        <w:r w:rsidR="005B55C5">
          <w:rPr>
            <w:noProof/>
            <w:webHidden/>
          </w:rPr>
          <w:fldChar w:fldCharType="separate"/>
        </w:r>
        <w:r w:rsidR="005B55C5">
          <w:rPr>
            <w:noProof/>
            <w:webHidden/>
          </w:rPr>
          <w:t>5</w:t>
        </w:r>
        <w:r w:rsidR="005B55C5">
          <w:rPr>
            <w:noProof/>
            <w:webHidden/>
          </w:rPr>
          <w:fldChar w:fldCharType="end"/>
        </w:r>
      </w:hyperlink>
    </w:p>
    <w:p w:rsidR="00ED3B41" w:rsidRPr="002F4EBF" w:rsidRDefault="001336C3" w:rsidP="00596B37">
      <w:r>
        <w:fldChar w:fldCharType="end"/>
      </w:r>
    </w:p>
    <w:p w:rsidR="004A3462" w:rsidRDefault="004A3462" w:rsidP="00A87ED2"/>
    <w:p w:rsidR="00ED3B41" w:rsidRDefault="00ED3B41" w:rsidP="00A87ED2">
      <w:pPr>
        <w:sectPr w:rsidR="00ED3B41" w:rsidSect="004A3462">
          <w:headerReference w:type="default" r:id="rId8"/>
          <w:footerReference w:type="default" r:id="rId9"/>
          <w:pgSz w:w="11906" w:h="16838"/>
          <w:pgMar w:top="954" w:right="1701" w:bottom="719" w:left="1701" w:header="284" w:footer="0" w:gutter="0"/>
          <w:cols w:space="708"/>
          <w:docGrid w:linePitch="360"/>
        </w:sectPr>
      </w:pPr>
    </w:p>
    <w:p w:rsidR="00ED3B41" w:rsidRDefault="00817680" w:rsidP="00ED3B41">
      <w:pPr>
        <w:pStyle w:val="Ttulo1"/>
        <w:spacing w:before="240"/>
      </w:pPr>
      <w:bookmarkStart w:id="1" w:name="_Toc199149520"/>
      <w:r>
        <w:t xml:space="preserve">Objeto del </w:t>
      </w:r>
      <w:r w:rsidR="00361719">
        <w:t>Contrato</w:t>
      </w:r>
      <w:bookmarkEnd w:id="1"/>
    </w:p>
    <w:p w:rsidR="00ED3B41" w:rsidRDefault="00CB30F2" w:rsidP="00ED3B41">
      <w:r>
        <w:t>El</w:t>
      </w:r>
      <w:r w:rsidR="00817680">
        <w:t xml:space="preserve"> objeto del presente pliego </w:t>
      </w:r>
      <w:r w:rsidR="00D61AAB">
        <w:t xml:space="preserve">de cláusulas técnicas </w:t>
      </w:r>
      <w:r w:rsidR="00463559">
        <w:t xml:space="preserve">del Servicio de Tecnologías de la Salud (STS) </w:t>
      </w:r>
      <w:r w:rsidR="00D61AAB">
        <w:t xml:space="preserve">es </w:t>
      </w:r>
      <w:r>
        <w:t>el suministro</w:t>
      </w:r>
      <w:r w:rsidR="00817680">
        <w:t xml:space="preserve"> </w:t>
      </w:r>
      <w:r w:rsidR="00136410">
        <w:t xml:space="preserve">de </w:t>
      </w:r>
      <w:r w:rsidR="005A66BC">
        <w:t>dos</w:t>
      </w:r>
      <w:r w:rsidR="007B57D8">
        <w:t xml:space="preserve"> monitor</w:t>
      </w:r>
      <w:r w:rsidR="005A66BC">
        <w:t>es</w:t>
      </w:r>
      <w:r w:rsidR="007B57D8">
        <w:t xml:space="preserve"> </w:t>
      </w:r>
      <w:proofErr w:type="spellStart"/>
      <w:r w:rsidR="007B57D8">
        <w:t>intraoperatorio</w:t>
      </w:r>
      <w:r w:rsidR="005A66BC">
        <w:t>s</w:t>
      </w:r>
      <w:proofErr w:type="spellEnd"/>
      <w:r w:rsidR="007B57D8">
        <w:t xml:space="preserve"> </w:t>
      </w:r>
      <w:r w:rsidR="00EC2102">
        <w:t xml:space="preserve">y el software correspondiente de visualización y revisión de resultados </w:t>
      </w:r>
      <w:r w:rsidR="007B57D8">
        <w:t>para el servicio de Neurofisiología d</w:t>
      </w:r>
      <w:r w:rsidR="00136410">
        <w:t xml:space="preserve">el Servicio </w:t>
      </w:r>
      <w:r w:rsidR="001A5171">
        <w:t xml:space="preserve">Navarro de Salud </w:t>
      </w:r>
      <w:r w:rsidR="00B96D8D">
        <w:t>(</w:t>
      </w:r>
      <w:r w:rsidR="001A5171">
        <w:t>SNS-O</w:t>
      </w:r>
      <w:r w:rsidR="00B96D8D">
        <w:t>)</w:t>
      </w:r>
      <w:r w:rsidR="00CE5A47">
        <w:t xml:space="preserve"> que se ubicará</w:t>
      </w:r>
      <w:r w:rsidR="008A4A5E">
        <w:t xml:space="preserve"> </w:t>
      </w:r>
      <w:r w:rsidR="007B57D8">
        <w:t>en el Hospital Universitario de Navarra (HUN)</w:t>
      </w:r>
      <w:r w:rsidR="00EC2102">
        <w:t xml:space="preserve">. </w:t>
      </w:r>
    </w:p>
    <w:p w:rsidR="00ED0E49" w:rsidRDefault="00ED0E49" w:rsidP="002B4C1C">
      <w:pPr>
        <w:pStyle w:val="Ttulo1"/>
      </w:pPr>
      <w:bookmarkStart w:id="2" w:name="_Toc199149521"/>
      <w:r>
        <w:t>Condiciones Técnicas</w:t>
      </w:r>
      <w:bookmarkEnd w:id="2"/>
    </w:p>
    <w:p w:rsidR="002B4C1C" w:rsidRDefault="00ED0E49" w:rsidP="00ED0E49">
      <w:pPr>
        <w:pStyle w:val="Ttulo2"/>
      </w:pPr>
      <w:bookmarkStart w:id="3" w:name="_Toc199149522"/>
      <w:r>
        <w:t>Requisitos</w:t>
      </w:r>
      <w:r w:rsidR="002B4C1C">
        <w:t xml:space="preserve"> Técnic</w:t>
      </w:r>
      <w:r>
        <w:t>os</w:t>
      </w:r>
      <w:bookmarkEnd w:id="3"/>
    </w:p>
    <w:p w:rsidR="00D61AAB" w:rsidRDefault="00D61AAB" w:rsidP="00D61AAB">
      <w:r>
        <w:t xml:space="preserve">Todo el equipamiento </w:t>
      </w:r>
      <w:r w:rsidR="00361719">
        <w:t xml:space="preserve">y software </w:t>
      </w:r>
      <w:r>
        <w:t>incluido en este expediente deberá cumplir con la</w:t>
      </w:r>
      <w:r w:rsidR="00361719">
        <w:t xml:space="preserve"> normativa que le corresponda: M</w:t>
      </w:r>
      <w:r>
        <w:t xml:space="preserve">arcado CE, </w:t>
      </w:r>
      <w:r w:rsidR="00DA4977">
        <w:t>Compatibilidad Electromagnética (CEM), Reglamento Electrotécnico de Baja Tensión (RBT), Reglamentación respecto a los Productos S</w:t>
      </w:r>
      <w:r w:rsidR="00361719">
        <w:t>anitarios, Reglamentaciones de S</w:t>
      </w:r>
      <w:r w:rsidR="00DA4977">
        <w:t>eguridad, etc.</w:t>
      </w:r>
    </w:p>
    <w:p w:rsidR="00EC2102" w:rsidRPr="00EC2102" w:rsidRDefault="00463559" w:rsidP="00EC2102">
      <w:pPr>
        <w:spacing w:before="480"/>
        <w:rPr>
          <w:b/>
        </w:rPr>
      </w:pPr>
      <w:r w:rsidRPr="00463559">
        <w:rPr>
          <w:b/>
        </w:rPr>
        <w:t xml:space="preserve">Monitor </w:t>
      </w:r>
      <w:proofErr w:type="spellStart"/>
      <w:r w:rsidRPr="00463559">
        <w:rPr>
          <w:b/>
        </w:rPr>
        <w:t>intraoperatorio</w:t>
      </w:r>
      <w:proofErr w:type="spellEnd"/>
      <w:r w:rsidRPr="00463559">
        <w:rPr>
          <w:b/>
        </w:rPr>
        <w:t xml:space="preserve">: </w:t>
      </w:r>
    </w:p>
    <w:p w:rsidR="00463559" w:rsidRDefault="00463559" w:rsidP="00463559">
      <w:pPr>
        <w:pStyle w:val="Vietas"/>
      </w:pPr>
      <w:r>
        <w:t>Debe permitir la conexión a red del Hospital.</w:t>
      </w:r>
    </w:p>
    <w:p w:rsidR="00C5423A" w:rsidRDefault="00C5423A" w:rsidP="00463559">
      <w:pPr>
        <w:pStyle w:val="Vietas"/>
      </w:pPr>
      <w:r>
        <w:t>Conexión mediante cable Ethernet por puerto RJ 45</w:t>
      </w:r>
    </w:p>
    <w:p w:rsidR="00463559" w:rsidRDefault="00463559" w:rsidP="00463559">
      <w:pPr>
        <w:pStyle w:val="Vietas"/>
      </w:pPr>
      <w:r>
        <w:t xml:space="preserve">Protocolo TCP/IP para conexión a red. </w:t>
      </w:r>
    </w:p>
    <w:p w:rsidR="00B839CD" w:rsidRDefault="00B839CD" w:rsidP="00B839CD">
      <w:pPr>
        <w:pStyle w:val="Vietas"/>
        <w:numPr>
          <w:ilvl w:val="0"/>
          <w:numId w:val="0"/>
        </w:numPr>
        <w:ind w:left="624" w:hanging="284"/>
      </w:pPr>
    </w:p>
    <w:p w:rsidR="00B839CD" w:rsidRDefault="00B839CD" w:rsidP="00B839CD">
      <w:pPr>
        <w:spacing w:before="240"/>
        <w:rPr>
          <w:b/>
        </w:rPr>
      </w:pPr>
      <w:r>
        <w:rPr>
          <w:b/>
        </w:rPr>
        <w:t>Software:</w:t>
      </w:r>
    </w:p>
    <w:p w:rsidR="00B839CD" w:rsidRDefault="00B839CD" w:rsidP="00B839CD">
      <w:pPr>
        <w:pStyle w:val="Vietas"/>
      </w:pPr>
      <w:r>
        <w:t>Compatible con Windows 11 en el momento de la puesta en marcha.</w:t>
      </w:r>
    </w:p>
    <w:p w:rsidR="00B839CD" w:rsidRDefault="00B839CD" w:rsidP="00B839CD">
      <w:pPr>
        <w:pStyle w:val="Vietas"/>
      </w:pPr>
      <w:r w:rsidRPr="008F1756">
        <w:t xml:space="preserve">Todas las licencias </w:t>
      </w:r>
      <w:r>
        <w:t xml:space="preserve">que se suministren </w:t>
      </w:r>
      <w:r w:rsidRPr="008F1756">
        <w:t xml:space="preserve">deberán figurar a nombre del </w:t>
      </w:r>
      <w:r>
        <w:t>SNS-O</w:t>
      </w:r>
      <w:r w:rsidRPr="008F1756">
        <w:t xml:space="preserve"> o estar cedidas a éste.</w:t>
      </w:r>
    </w:p>
    <w:p w:rsidR="00B839CD" w:rsidRDefault="00B839CD" w:rsidP="00B839CD">
      <w:pPr>
        <w:pStyle w:val="Vietas"/>
        <w:numPr>
          <w:ilvl w:val="0"/>
          <w:numId w:val="0"/>
        </w:numPr>
        <w:ind w:left="624" w:hanging="284"/>
      </w:pPr>
    </w:p>
    <w:p w:rsidR="00ED0E49" w:rsidRPr="0098722B" w:rsidRDefault="00ED0E49" w:rsidP="00ED0E49">
      <w:pPr>
        <w:pStyle w:val="Ttulo2"/>
      </w:pPr>
      <w:bookmarkStart w:id="4" w:name="_Toc199149523"/>
      <w:r>
        <w:t>Infraestructura tecnológica</w:t>
      </w:r>
      <w:bookmarkEnd w:id="4"/>
    </w:p>
    <w:p w:rsidR="00ED0E49" w:rsidRDefault="005A66BC" w:rsidP="00ED0E49">
      <w:hyperlink r:id="rId10" w:history="1">
        <w:r w:rsidR="00E2040A" w:rsidRPr="00EA02F7">
          <w:rPr>
            <w:rStyle w:val="Hipervnculo"/>
          </w:rPr>
          <w:t>https://gespublica.navarra.es/SistemasInformacionGN/Documentacion/EscenarioTecnologicoGobiernodeNavarraMarzo2025v1.0.pdf</w:t>
        </w:r>
      </w:hyperlink>
    </w:p>
    <w:p w:rsidR="00ED0E49" w:rsidRDefault="00ED0E49" w:rsidP="00ED0E49">
      <w:r>
        <w:t>En el enlace anterior se describe el Escenario Tecnológico del Gobierno de navarra, que será el punto de partida para los nuevos sistemas a desarrollar, aunque se ha de tener en cuenta que éste puede sufrir modificaciones motivadas por la incorporación de nuevos productos o por la migración a versiones superiores de aquellos que lo componen.</w:t>
      </w:r>
    </w:p>
    <w:p w:rsidR="00ED0E49" w:rsidRDefault="00ED0E49" w:rsidP="00ED0E49">
      <w:r>
        <w:t>No obstante, a la empresa adjudicataria se le informará adecuadamente del escenario tecnológico vigente para la realización de los trabajos.</w:t>
      </w:r>
    </w:p>
    <w:p w:rsidR="00ED0E49" w:rsidRDefault="00ED0E49" w:rsidP="00ED0E49">
      <w:r>
        <w:t>La empresa deberá disponer de recursos en el equipo de trabajo con conocimientos técnicos suficientes y probados en el escenario correspondiente a los sistemas en funcionamiento en el Servicio Navarro de Salud – Osasunbidea, así como en el escenario actual de desarrollo en el Gobierno de Navarra.</w:t>
      </w:r>
    </w:p>
    <w:p w:rsidR="00ED0E49" w:rsidRDefault="00ED0E49" w:rsidP="00ED0E49"/>
    <w:p w:rsidR="00ED0E49" w:rsidRDefault="00ED0E49" w:rsidP="00ED0E49">
      <w:pPr>
        <w:pStyle w:val="Ttulo2"/>
      </w:pPr>
      <w:bookmarkStart w:id="5" w:name="_Toc199149524"/>
      <w:r>
        <w:t>Seguridad</w:t>
      </w:r>
      <w:bookmarkEnd w:id="5"/>
    </w:p>
    <w:p w:rsidR="00ED0E49" w:rsidRDefault="00ED0E49" w:rsidP="00C4570D">
      <w:pPr>
        <w:ind w:left="708" w:hanging="708"/>
      </w:pPr>
      <w:r>
        <w:t xml:space="preserve">El software suministrado por el Adjudicatario deberá cumplir con buenas prácticas de programación segura existentes (en un sentido amplio, pudiendo basarse en recomendaciones de entidades internacionales reconocidas como OWASP, </w:t>
      </w:r>
      <w:r w:rsidR="00E2040A">
        <w:t xml:space="preserve">WASC, etc…), reservándose la </w:t>
      </w:r>
      <w:r w:rsidR="007C2171">
        <w:t>Dirección General de Telecomunicaciones y Digitalización (</w:t>
      </w:r>
      <w:r w:rsidR="00E2040A">
        <w:t>DG</w:t>
      </w:r>
      <w:r>
        <w:t>T</w:t>
      </w:r>
      <w:r w:rsidR="00E2040A">
        <w:t>D</w:t>
      </w:r>
      <w:r w:rsidR="007C2171">
        <w:t>)</w:t>
      </w:r>
      <w:r>
        <w:t xml:space="preserve"> la facultad de realizar una auditoría al respecto para evaluar el grado de cumplimiento y detectar posibles deficiencias que pudiesen existir. En caso de detectarse incumplimiento y/o vulnerabilidades que puedan comprometer gravemente la seguridad del servicio prestado por la aplicación o de sus usuarios, el Adjudicatario se compromete a subsanarlas en tiempo y forma.</w:t>
      </w:r>
    </w:p>
    <w:p w:rsidR="00B04979" w:rsidRPr="002B4C1C" w:rsidRDefault="00B04979" w:rsidP="00C4570D">
      <w:pPr>
        <w:ind w:left="708" w:hanging="708"/>
      </w:pPr>
      <w:r>
        <w:t>Asimismo, el software suministrado por el Adjudicatario deberá cumplir con la legislación vigente en materia de Seguridad de la Información (LOPD, ENS, etc.).</w:t>
      </w:r>
    </w:p>
    <w:p w:rsidR="002D37C0" w:rsidRDefault="002D37C0" w:rsidP="002D37C0"/>
    <w:p w:rsidR="0022547F" w:rsidRDefault="0022547F" w:rsidP="0022547F">
      <w:pPr>
        <w:pStyle w:val="Ttulo1"/>
        <w:widowControl/>
        <w:numPr>
          <w:ilvl w:val="0"/>
          <w:numId w:val="18"/>
        </w:numPr>
        <w:suppressAutoHyphens/>
        <w:ind w:left="709" w:hanging="709"/>
      </w:pPr>
      <w:bookmarkStart w:id="6" w:name="_Toc199149525"/>
      <w:r>
        <w:t xml:space="preserve">Anexo I. Requisitos técnicos de Infraestructuras para pliegos técnicos </w:t>
      </w:r>
      <w:r w:rsidRPr="00773B74">
        <w:rPr>
          <w:sz w:val="16"/>
        </w:rPr>
        <w:t>(v0.</w:t>
      </w:r>
      <w:r>
        <w:rPr>
          <w:sz w:val="16"/>
        </w:rPr>
        <w:t>8</w:t>
      </w:r>
      <w:r w:rsidRPr="00773B74">
        <w:rPr>
          <w:sz w:val="16"/>
        </w:rPr>
        <w:t>)</w:t>
      </w:r>
      <w:bookmarkEnd w:id="6"/>
    </w:p>
    <w:p w:rsidR="0022547F" w:rsidRDefault="0022547F" w:rsidP="0022547F"/>
    <w:p w:rsidR="0022547F" w:rsidRPr="005B55C5" w:rsidRDefault="0022547F" w:rsidP="005B55C5">
      <w:r>
        <w:rPr>
          <w:rFonts w:cs="Arial"/>
        </w:rPr>
        <w:t>Todos los sistemas deberán cumplir de forma general el Escenario Tecnológico de Gobierno de Navarra que está publicado en:</w:t>
      </w:r>
      <w:r w:rsidR="005B55C5">
        <w:t xml:space="preserve"> </w:t>
      </w:r>
      <w:hyperlink r:id="rId11" w:history="1">
        <w:r w:rsidRPr="005B55C5">
          <w:rPr>
            <w:rStyle w:val="Hipervnculo"/>
            <w:rFonts w:cs="Arial"/>
          </w:rPr>
          <w:t>https://gespublica.navarra.es/SistemasInformacionGN/</w:t>
        </w:r>
      </w:hyperlink>
    </w:p>
    <w:p w:rsidR="0022547F" w:rsidRDefault="0022547F" w:rsidP="0022547F">
      <w:pPr>
        <w:pStyle w:val="Vietas"/>
        <w:numPr>
          <w:ilvl w:val="0"/>
          <w:numId w:val="0"/>
        </w:numPr>
        <w:ind w:left="624"/>
        <w:rPr>
          <w:rFonts w:cs="Arial"/>
        </w:rPr>
      </w:pPr>
    </w:p>
    <w:p w:rsidR="0022547F" w:rsidRDefault="0022547F" w:rsidP="0022547F">
      <w:pPr>
        <w:pStyle w:val="Vietas"/>
        <w:numPr>
          <w:ilvl w:val="0"/>
          <w:numId w:val="0"/>
        </w:numPr>
      </w:pPr>
      <w:r>
        <w:rPr>
          <w:rFonts w:cs="Arial"/>
        </w:rPr>
        <w:t>Además, deberán cumplir los siguientes requisitos específicos para lo cual en cada oferta se entregará esta tabla completada junto a la propuesta técnica:</w:t>
      </w:r>
    </w:p>
    <w:p w:rsidR="0022547F" w:rsidRDefault="0022547F" w:rsidP="0022547F">
      <w:pPr>
        <w:pStyle w:val="Vietas"/>
        <w:numPr>
          <w:ilvl w:val="0"/>
          <w:numId w:val="0"/>
        </w:numPr>
        <w:rPr>
          <w:rFonts w:cs="Arial"/>
          <w:b/>
        </w:rPr>
      </w:pPr>
    </w:p>
    <w:tbl>
      <w:tblPr>
        <w:tblW w:w="10246" w:type="dxa"/>
        <w:tblInd w:w="-856" w:type="dxa"/>
        <w:tblLayout w:type="fixed"/>
        <w:tblLook w:val="0000" w:firstRow="0" w:lastRow="0" w:firstColumn="0" w:lastColumn="0" w:noHBand="0" w:noVBand="0"/>
      </w:tblPr>
      <w:tblGrid>
        <w:gridCol w:w="8164"/>
        <w:gridCol w:w="2082"/>
      </w:tblGrid>
      <w:tr w:rsidR="0022547F" w:rsidTr="0022547F">
        <w:tc>
          <w:tcPr>
            <w:tcW w:w="8164"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rPr>
              <w:t>Requisitos</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pPr>
            <w:r>
              <w:rPr>
                <w:rFonts w:cs="Arial"/>
                <w:b/>
              </w:rPr>
              <w:t>Aceptación (Sí)</w:t>
            </w:r>
          </w:p>
        </w:tc>
      </w:tr>
      <w:tr w:rsidR="0022547F" w:rsidTr="0022547F">
        <w:tc>
          <w:tcPr>
            <w:tcW w:w="8164"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 xml:space="preserve">Todos los sistemas de información de servidor serán </w:t>
            </w:r>
            <w:proofErr w:type="spellStart"/>
            <w:r>
              <w:rPr>
                <w:rFonts w:cs="Arial"/>
                <w:b/>
                <w:szCs w:val="20"/>
              </w:rPr>
              <w:t>virtualizables</w:t>
            </w:r>
            <w:proofErr w:type="spellEnd"/>
            <w:r>
              <w:rPr>
                <w:rFonts w:cs="Arial"/>
                <w:szCs w:val="20"/>
              </w:rPr>
              <w:t xml:space="preserve"> y alojados en la plataforma de virtualización </w:t>
            </w:r>
            <w:proofErr w:type="spellStart"/>
            <w:r>
              <w:rPr>
                <w:rFonts w:cs="Arial"/>
                <w:b/>
                <w:szCs w:val="20"/>
              </w:rPr>
              <w:t>VMware</w:t>
            </w:r>
            <w:proofErr w:type="spellEnd"/>
            <w:r>
              <w:rPr>
                <w:rFonts w:cs="Arial"/>
                <w:szCs w:val="20"/>
              </w:rPr>
              <w:t xml:space="preserve"> de Gobierno de Navarra con las características y condiciones descritas en el Escenario Tecnológico del mismo.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r w:rsidR="0022547F" w:rsidTr="0022547F">
        <w:tc>
          <w:tcPr>
            <w:tcW w:w="8164"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 xml:space="preserve">Los parámetros de red de los sistemas de información tanto para equipos servidor como cliente o equipo tipo </w:t>
            </w:r>
            <w:proofErr w:type="spellStart"/>
            <w:r>
              <w:rPr>
                <w:rFonts w:cs="Arial"/>
                <w:b/>
                <w:i/>
                <w:szCs w:val="20"/>
              </w:rPr>
              <w:t>appliance</w:t>
            </w:r>
            <w:proofErr w:type="spellEnd"/>
            <w:r>
              <w:rPr>
                <w:rFonts w:cs="Arial"/>
                <w:b/>
                <w:szCs w:val="20"/>
              </w:rPr>
              <w:t xml:space="preserve"> serán asignados por Gobierno de Navarra.</w:t>
            </w:r>
            <w:r>
              <w:rPr>
                <w:rFonts w:cs="Arial"/>
                <w:szCs w:val="20"/>
              </w:rPr>
              <w:t xml:space="preserve"> Incluidos dirección IP (fija o DHCP), máscara de red, DNS y puerta de enlace.</w:t>
            </w:r>
          </w:p>
          <w:p w:rsidR="0022547F" w:rsidRDefault="0022547F" w:rsidP="0022547F">
            <w:pPr>
              <w:pStyle w:val="Vietas"/>
              <w:widowControl/>
              <w:numPr>
                <w:ilvl w:val="0"/>
                <w:numId w:val="25"/>
              </w:numPr>
              <w:suppressAutoHyphens/>
              <w:spacing w:before="0"/>
            </w:pPr>
            <w:r>
              <w:rPr>
                <w:rFonts w:cs="Arial"/>
                <w:szCs w:val="20"/>
              </w:rPr>
              <w:t xml:space="preserve">Interfaz física: 1Gb mediante RJ45 </w:t>
            </w:r>
            <w:r w:rsidRPr="006D1D45">
              <w:rPr>
                <w:rFonts w:cs="Arial"/>
                <w:szCs w:val="20"/>
              </w:rPr>
              <w:t>o 10Gb mediante fibra óptica.</w:t>
            </w:r>
          </w:p>
          <w:p w:rsidR="0022547F" w:rsidRDefault="0022547F" w:rsidP="0022547F">
            <w:pPr>
              <w:pStyle w:val="Vietas"/>
              <w:widowControl/>
              <w:numPr>
                <w:ilvl w:val="0"/>
                <w:numId w:val="25"/>
              </w:numPr>
              <w:suppressAutoHyphens/>
              <w:spacing w:before="0"/>
            </w:pPr>
            <w:r>
              <w:rPr>
                <w:rFonts w:cs="Arial"/>
                <w:szCs w:val="20"/>
              </w:rPr>
              <w:t>Estándar de red de área local: Ethernet.</w:t>
            </w:r>
          </w:p>
          <w:p w:rsidR="0022547F" w:rsidRDefault="0022547F" w:rsidP="0022547F">
            <w:pPr>
              <w:pStyle w:val="Vietas"/>
              <w:widowControl/>
              <w:numPr>
                <w:ilvl w:val="0"/>
                <w:numId w:val="25"/>
              </w:numPr>
              <w:suppressAutoHyphens/>
              <w:spacing w:before="0"/>
            </w:pPr>
            <w:r>
              <w:rPr>
                <w:rFonts w:cs="Arial"/>
                <w:szCs w:val="20"/>
              </w:rPr>
              <w:t>Protocolo de red: TCP/IP.</w:t>
            </w:r>
          </w:p>
          <w:p w:rsidR="0022547F" w:rsidRDefault="0022547F" w:rsidP="00E84B44">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r w:rsidR="0022547F" w:rsidTr="0022547F">
        <w:tc>
          <w:tcPr>
            <w:tcW w:w="8164"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rPr>
                <w:rFonts w:cs="Arial"/>
                <w:szCs w:val="20"/>
              </w:rPr>
            </w:pPr>
            <w:r>
              <w:rPr>
                <w:rFonts w:cs="Arial"/>
                <w:b/>
                <w:szCs w:val="20"/>
              </w:rPr>
              <w:t xml:space="preserve">Los dispositivos que hagan uso de la red wifi </w:t>
            </w:r>
            <w:r w:rsidRPr="00C476A0">
              <w:rPr>
                <w:rFonts w:cs="Arial"/>
                <w:szCs w:val="20"/>
              </w:rPr>
              <w:t xml:space="preserve">utilizarán alguno de los siguientes </w:t>
            </w:r>
            <w:r w:rsidRPr="003D7FBF">
              <w:rPr>
                <w:rFonts w:cs="Arial"/>
                <w:b/>
                <w:szCs w:val="20"/>
              </w:rPr>
              <w:t>estándar</w:t>
            </w:r>
            <w:r>
              <w:rPr>
                <w:rFonts w:cs="Arial"/>
                <w:b/>
                <w:szCs w:val="20"/>
              </w:rPr>
              <w:t>e</w:t>
            </w:r>
            <w:r w:rsidRPr="003D7FBF">
              <w:rPr>
                <w:rFonts w:cs="Arial"/>
                <w:b/>
                <w:szCs w:val="20"/>
              </w:rPr>
              <w:t>s</w:t>
            </w:r>
            <w:r w:rsidRPr="00C476A0">
              <w:rPr>
                <w:rFonts w:cs="Arial"/>
                <w:szCs w:val="20"/>
              </w:rPr>
              <w:t xml:space="preserve"> dependiendo </w:t>
            </w:r>
            <w:r>
              <w:rPr>
                <w:rFonts w:cs="Arial"/>
                <w:szCs w:val="20"/>
              </w:rPr>
              <w:t xml:space="preserve">de las características de los </w:t>
            </w:r>
            <w:proofErr w:type="spellStart"/>
            <w:r>
              <w:rPr>
                <w:rFonts w:cs="Arial"/>
                <w:szCs w:val="20"/>
              </w:rPr>
              <w:t>APs</w:t>
            </w:r>
            <w:proofErr w:type="spellEnd"/>
            <w:r>
              <w:rPr>
                <w:rFonts w:cs="Arial"/>
                <w:szCs w:val="20"/>
              </w:rPr>
              <w:t xml:space="preserve"> que doten de cobertura la ubicación</w:t>
            </w:r>
            <w:r w:rsidRPr="003D7FBF">
              <w:rPr>
                <w:rFonts w:cs="Arial"/>
                <w:szCs w:val="20"/>
              </w:rPr>
              <w:t xml:space="preserve">: </w:t>
            </w:r>
            <w:r w:rsidRPr="00C476A0">
              <w:rPr>
                <w:rFonts w:cs="Arial"/>
                <w:szCs w:val="20"/>
              </w:rPr>
              <w:t>IEEE 802.11g, IEEE 802.11n, IEEE 802.11ac o IEEE 802.11ax</w:t>
            </w:r>
            <w:r>
              <w:rPr>
                <w:rFonts w:cs="Arial"/>
                <w:szCs w:val="20"/>
              </w:rPr>
              <w:t>.</w:t>
            </w:r>
          </w:p>
          <w:p w:rsidR="0022547F" w:rsidRPr="003D7FBF" w:rsidRDefault="0022547F" w:rsidP="00E84B44">
            <w:pPr>
              <w:pStyle w:val="Vietas"/>
              <w:numPr>
                <w:ilvl w:val="0"/>
                <w:numId w:val="0"/>
              </w:numPr>
              <w:rPr>
                <w:rFonts w:cs="Arial"/>
                <w:szCs w:val="20"/>
              </w:rPr>
            </w:pPr>
            <w:r>
              <w:rPr>
                <w:rFonts w:cs="Arial"/>
                <w:szCs w:val="20"/>
              </w:rPr>
              <w:t xml:space="preserve">A su vez, los dispositivos deberán soportar el </w:t>
            </w:r>
            <w:r w:rsidRPr="003D7FBF">
              <w:rPr>
                <w:rFonts w:cs="Arial"/>
                <w:b/>
                <w:szCs w:val="20"/>
              </w:rPr>
              <w:t>método de autenticación</w:t>
            </w:r>
            <w:r w:rsidRPr="003D7FBF">
              <w:rPr>
                <w:rFonts w:cs="Arial"/>
                <w:szCs w:val="20"/>
              </w:rPr>
              <w:t xml:space="preserve"> WPA2</w:t>
            </w:r>
            <w:r>
              <w:rPr>
                <w:rFonts w:cs="Arial"/>
                <w:szCs w:val="20"/>
              </w:rPr>
              <w:t>/WPA3</w:t>
            </w:r>
            <w:r w:rsidRPr="003D7FBF">
              <w:rPr>
                <w:rFonts w:cs="Arial"/>
                <w:szCs w:val="20"/>
              </w:rPr>
              <w:t xml:space="preserve"> Enterprise </w:t>
            </w:r>
            <w:r>
              <w:rPr>
                <w:rFonts w:cs="Arial"/>
                <w:szCs w:val="20"/>
              </w:rPr>
              <w:t xml:space="preserve">que </w:t>
            </w:r>
            <w:r w:rsidRPr="003D7FBF">
              <w:rPr>
                <w:rFonts w:cs="Arial"/>
                <w:szCs w:val="20"/>
              </w:rPr>
              <w:t>utiliza el estándar IEEE 802.1X para autenticación de red</w:t>
            </w:r>
            <w:r>
              <w:rPr>
                <w:rFonts w:cs="Arial"/>
                <w:szCs w:val="20"/>
              </w:rPr>
              <w:t xml:space="preserve"> basados en la </w:t>
            </w:r>
            <w:r w:rsidRPr="003D7FBF">
              <w:rPr>
                <w:rFonts w:cs="Arial"/>
                <w:szCs w:val="20"/>
              </w:rPr>
              <w:t xml:space="preserve">estructura EAP (Protocolo de Autenticación Extensible) </w:t>
            </w:r>
            <w:r>
              <w:rPr>
                <w:rFonts w:cs="Arial"/>
                <w:szCs w:val="20"/>
              </w:rPr>
              <w:t>con</w:t>
            </w:r>
            <w:r w:rsidRPr="003D7FBF">
              <w:rPr>
                <w:rFonts w:cs="Arial"/>
                <w:szCs w:val="20"/>
              </w:rPr>
              <w:t xml:space="preserve"> </w:t>
            </w:r>
            <w:r>
              <w:rPr>
                <w:rFonts w:cs="Arial"/>
                <w:szCs w:val="20"/>
              </w:rPr>
              <w:t xml:space="preserve">un </w:t>
            </w:r>
            <w:r w:rsidRPr="003D7FBF">
              <w:rPr>
                <w:rFonts w:cs="Arial"/>
                <w:szCs w:val="20"/>
              </w:rPr>
              <w:t>servidor RADIUS</w:t>
            </w:r>
            <w:r>
              <w:rPr>
                <w:rFonts w:cs="Arial"/>
                <w:szCs w:val="20"/>
              </w:rPr>
              <w:t>.</w:t>
            </w:r>
          </w:p>
          <w:p w:rsidR="0022547F" w:rsidRDefault="0022547F" w:rsidP="00E84B44">
            <w:pPr>
              <w:pStyle w:val="Vietas"/>
              <w:numPr>
                <w:ilvl w:val="0"/>
                <w:numId w:val="0"/>
              </w:numPr>
              <w:ind w:left="720"/>
              <w:rPr>
                <w:rFonts w:cs="Arial"/>
                <w:b/>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r w:rsidR="0022547F" w:rsidTr="0022547F">
        <w:tc>
          <w:tcPr>
            <w:tcW w:w="8164"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Los cambios necesarios en los parámetros de red de los sistemas de información serán posibles durante toda la vida útil de los sistemas de información</w:t>
            </w:r>
            <w:r>
              <w:rPr>
                <w:rFonts w:cs="Arial"/>
                <w:szCs w:val="20"/>
              </w:rPr>
              <w:t xml:space="preserve"> y estará debidamente documentada la ejecución de los mismos por parte del fabricante, instalador o proveedor. Los cambios en los parámetros de red de los sistemas de información necesarios durante el periodo de soporte, serán realizados por el proveedor del soporte sin ocasionar gastos a Gobierno de Navarra.</w:t>
            </w:r>
          </w:p>
          <w:p w:rsidR="0022547F" w:rsidRDefault="0022547F" w:rsidP="00E84B44">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r w:rsidR="0022547F" w:rsidTr="0022547F">
        <w:tc>
          <w:tcPr>
            <w:tcW w:w="8164" w:type="dxa"/>
            <w:tcBorders>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 xml:space="preserve">Los sistemas de información estarán colocados en una </w:t>
            </w:r>
            <w:r>
              <w:rPr>
                <w:rFonts w:cs="Arial"/>
                <w:b/>
                <w:i/>
                <w:szCs w:val="20"/>
              </w:rPr>
              <w:t>VLAN</w:t>
            </w:r>
            <w:r>
              <w:rPr>
                <w:rFonts w:cs="Arial"/>
                <w:b/>
                <w:szCs w:val="20"/>
              </w:rPr>
              <w:t xml:space="preserve"> asignada</w:t>
            </w:r>
            <w:r>
              <w:rPr>
                <w:rFonts w:cs="Arial"/>
                <w:szCs w:val="20"/>
              </w:rPr>
              <w:t xml:space="preserve"> por </w:t>
            </w:r>
            <w:r w:rsidRPr="00E60CC9">
              <w:rPr>
                <w:rFonts w:cs="Arial"/>
                <w:szCs w:val="20"/>
              </w:rPr>
              <w:t>Gobierno de Navarra</w:t>
            </w:r>
            <w:r>
              <w:rPr>
                <w:rFonts w:cs="Arial"/>
                <w:szCs w:val="20"/>
              </w:rPr>
              <w:t xml:space="preserve">, detrás de </w:t>
            </w:r>
            <w:proofErr w:type="gramStart"/>
            <w:r>
              <w:rPr>
                <w:rFonts w:cs="Arial"/>
                <w:szCs w:val="20"/>
              </w:rPr>
              <w:t>un cortafuegos</w:t>
            </w:r>
            <w:proofErr w:type="gramEnd"/>
            <w:r>
              <w:rPr>
                <w:rFonts w:cs="Arial"/>
                <w:szCs w:val="20"/>
              </w:rPr>
              <w:t xml:space="preserve"> aportado por </w:t>
            </w:r>
            <w:r w:rsidRPr="00E60CC9">
              <w:rPr>
                <w:rFonts w:cs="Arial"/>
                <w:szCs w:val="20"/>
              </w:rPr>
              <w:t>Gobierno de Navarra</w:t>
            </w:r>
            <w:r>
              <w:rPr>
                <w:rFonts w:cs="Arial"/>
                <w:szCs w:val="20"/>
              </w:rPr>
              <w:t xml:space="preserve"> y los cuales están descritos en el escenario tecnológico. La </w:t>
            </w:r>
            <w:r>
              <w:rPr>
                <w:rFonts w:cs="Arial"/>
                <w:i/>
                <w:szCs w:val="20"/>
              </w:rPr>
              <w:t>VLAN</w:t>
            </w:r>
            <w:r>
              <w:rPr>
                <w:rFonts w:cs="Arial"/>
                <w:szCs w:val="20"/>
              </w:rPr>
              <w:t xml:space="preserve"> asignada podrá estar compartida con otros equipos del mismo u otros fabricantes.</w:t>
            </w:r>
          </w:p>
          <w:p w:rsidR="0022547F" w:rsidRDefault="0022547F" w:rsidP="00E84B44">
            <w:pPr>
              <w:pStyle w:val="Vietas"/>
              <w:numPr>
                <w:ilvl w:val="0"/>
                <w:numId w:val="0"/>
              </w:numPr>
              <w:rPr>
                <w:rFonts w:cs="Arial"/>
                <w:szCs w:val="20"/>
              </w:rPr>
            </w:pPr>
          </w:p>
        </w:tc>
        <w:tc>
          <w:tcPr>
            <w:tcW w:w="2082" w:type="dxa"/>
            <w:tcBorders>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r w:rsidR="0022547F" w:rsidTr="0022547F">
        <w:tc>
          <w:tcPr>
            <w:tcW w:w="8164"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El acceso remoto</w:t>
            </w:r>
            <w:r>
              <w:rPr>
                <w:rFonts w:cs="Arial"/>
                <w:szCs w:val="20"/>
              </w:rPr>
              <w:t xml:space="preserve"> a los sistemas de información únicamente será posible mediante las opciones tecnológicas que provee Gobierno de Navarra y que son:</w:t>
            </w:r>
          </w:p>
          <w:p w:rsidR="0022547F" w:rsidRDefault="0022547F" w:rsidP="0022547F">
            <w:pPr>
              <w:pStyle w:val="Vietas"/>
              <w:widowControl/>
              <w:numPr>
                <w:ilvl w:val="0"/>
                <w:numId w:val="23"/>
              </w:numPr>
              <w:suppressAutoHyphens/>
              <w:spacing w:before="0"/>
              <w:jc w:val="left"/>
            </w:pPr>
            <w:r>
              <w:rPr>
                <w:rFonts w:cs="Arial"/>
                <w:szCs w:val="20"/>
              </w:rPr>
              <w:t xml:space="preserve">Acceso VPN SSL mediante </w:t>
            </w:r>
            <w:r>
              <w:rPr>
                <w:rFonts w:cs="Arial"/>
                <w:i/>
                <w:szCs w:val="20"/>
              </w:rPr>
              <w:t>extranet</w:t>
            </w:r>
            <w:r>
              <w:rPr>
                <w:rFonts w:cs="Arial"/>
                <w:szCs w:val="20"/>
              </w:rPr>
              <w:t xml:space="preserve"> con doble factor</w:t>
            </w:r>
          </w:p>
          <w:p w:rsidR="0022547F" w:rsidRDefault="0022547F" w:rsidP="0022547F">
            <w:pPr>
              <w:pStyle w:val="Vietas"/>
              <w:widowControl/>
              <w:numPr>
                <w:ilvl w:val="0"/>
                <w:numId w:val="23"/>
              </w:numPr>
              <w:suppressAutoHyphens/>
              <w:spacing w:before="0"/>
              <w:jc w:val="left"/>
            </w:pPr>
            <w:r>
              <w:rPr>
                <w:rFonts w:cs="Arial"/>
                <w:szCs w:val="20"/>
              </w:rPr>
              <w:t>VPN de sitio a sitio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r w:rsidR="0022547F" w:rsidTr="0022547F">
        <w:tc>
          <w:tcPr>
            <w:tcW w:w="8164"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 xml:space="preserve">Los sistemas e información basados en sistemas operativos Microsoft y </w:t>
            </w:r>
            <w:proofErr w:type="spellStart"/>
            <w:r>
              <w:rPr>
                <w:rFonts w:cs="Arial"/>
                <w:b/>
                <w:szCs w:val="20"/>
              </w:rPr>
              <w:t>RedHat</w:t>
            </w:r>
            <w:proofErr w:type="spellEnd"/>
            <w:r>
              <w:rPr>
                <w:rFonts w:cs="Arial"/>
                <w:b/>
                <w:szCs w:val="20"/>
              </w:rPr>
              <w:t xml:space="preserve"> Linux deberán disponer de un software Antimalware/antivirus</w:t>
            </w:r>
            <w:r>
              <w:rPr>
                <w:rFonts w:cs="Arial"/>
                <w:szCs w:val="20"/>
              </w:rPr>
              <w:t xml:space="preserve"> instalado, licenciado y que se actualice automáticamente durante todo el tiempo que dure el soporte del mismo. Aun en los casos en que la operación y soporte del equipamiento la proporcione el proveedor, Gobierno de Navarra ofrece la inclusión de su sistema antivirus corporativo.</w:t>
            </w:r>
          </w:p>
          <w:p w:rsidR="0022547F" w:rsidRDefault="0022547F" w:rsidP="00E84B44">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r w:rsidR="0022547F" w:rsidTr="0022547F">
        <w:tc>
          <w:tcPr>
            <w:tcW w:w="8164"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Obligación de notificar</w:t>
            </w:r>
            <w:r>
              <w:rPr>
                <w:rFonts w:cs="Arial"/>
                <w:szCs w:val="20"/>
              </w:rPr>
              <w:t xml:space="preserve"> al Responsable de Explotación de Gobierno de Navarra las vulnerabilidades, parches existentes o brechas de seguridad que puedan afectar a los sistemas de información según normativa vigente.</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bl>
    <w:p w:rsidR="0022547F" w:rsidRPr="00087D36" w:rsidRDefault="0022547F" w:rsidP="0022547F"/>
    <w:tbl>
      <w:tblPr>
        <w:tblpPr w:leftFromText="141" w:rightFromText="141" w:vertAnchor="text" w:tblpX="-856" w:tblpY="1"/>
        <w:tblOverlap w:val="never"/>
        <w:tblW w:w="9929" w:type="dxa"/>
        <w:tblLayout w:type="fixed"/>
        <w:tblLook w:val="0000" w:firstRow="0" w:lastRow="0" w:firstColumn="0" w:lastColumn="0" w:noHBand="0" w:noVBand="0"/>
      </w:tblPr>
      <w:tblGrid>
        <w:gridCol w:w="7908"/>
        <w:gridCol w:w="2021"/>
      </w:tblGrid>
      <w:tr w:rsidR="0022547F" w:rsidTr="0022547F">
        <w:tc>
          <w:tcPr>
            <w:tcW w:w="7908" w:type="dxa"/>
            <w:tcBorders>
              <w:top w:val="single" w:sz="4" w:space="0" w:color="000000"/>
              <w:left w:val="single" w:sz="4" w:space="0" w:color="000000"/>
              <w:bottom w:val="single" w:sz="4" w:space="0" w:color="000000"/>
            </w:tcBorders>
            <w:shd w:val="clear" w:color="auto" w:fill="auto"/>
          </w:tcPr>
          <w:p w:rsidR="0022547F" w:rsidRDefault="0022547F" w:rsidP="0022547F">
            <w:pPr>
              <w:pStyle w:val="Vietas"/>
              <w:numPr>
                <w:ilvl w:val="0"/>
                <w:numId w:val="0"/>
              </w:numPr>
            </w:pPr>
            <w:r>
              <w:rPr>
                <w:rFonts w:cs="Arial"/>
                <w:b/>
              </w:rPr>
              <w:t>Requisitos</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22547F">
            <w:pPr>
              <w:pStyle w:val="Vietas"/>
              <w:numPr>
                <w:ilvl w:val="0"/>
                <w:numId w:val="0"/>
              </w:numPr>
            </w:pPr>
            <w:r>
              <w:rPr>
                <w:rFonts w:cs="Arial"/>
                <w:b/>
              </w:rPr>
              <w:t>Aceptación (Sí)</w:t>
            </w:r>
          </w:p>
        </w:tc>
      </w:tr>
      <w:tr w:rsidR="0022547F" w:rsidTr="0022547F">
        <w:tc>
          <w:tcPr>
            <w:tcW w:w="7908" w:type="dxa"/>
            <w:tcBorders>
              <w:top w:val="single" w:sz="4" w:space="0" w:color="000000"/>
              <w:left w:val="single" w:sz="4" w:space="0" w:color="000000"/>
              <w:bottom w:val="single" w:sz="4" w:space="0" w:color="000000"/>
            </w:tcBorders>
            <w:shd w:val="clear" w:color="auto" w:fill="auto"/>
          </w:tcPr>
          <w:p w:rsidR="0022547F" w:rsidRDefault="0022547F" w:rsidP="0022547F">
            <w:pPr>
              <w:pStyle w:val="Vietas"/>
              <w:numPr>
                <w:ilvl w:val="0"/>
                <w:numId w:val="0"/>
              </w:numPr>
            </w:pPr>
            <w:r>
              <w:rPr>
                <w:rFonts w:cs="Arial"/>
                <w:b/>
                <w:szCs w:val="20"/>
              </w:rPr>
              <w:t>El sistema de información se monitorizará</w:t>
            </w:r>
            <w:r>
              <w:rPr>
                <w:rFonts w:cs="Arial"/>
                <w:szCs w:val="20"/>
              </w:rPr>
              <w:t xml:space="preserve"> con las herramientas que forman parte del escenario de monitorización:</w:t>
            </w:r>
          </w:p>
          <w:p w:rsidR="0022547F" w:rsidRDefault="0022547F" w:rsidP="0022547F">
            <w:pPr>
              <w:pStyle w:val="Vietas"/>
              <w:widowControl/>
              <w:numPr>
                <w:ilvl w:val="0"/>
                <w:numId w:val="21"/>
              </w:numPr>
              <w:suppressAutoHyphens/>
              <w:spacing w:before="0"/>
              <w:jc w:val="left"/>
            </w:pPr>
            <w:proofErr w:type="spellStart"/>
            <w:r w:rsidRPr="00B2470B">
              <w:rPr>
                <w:rFonts w:cs="Arial"/>
                <w:b/>
                <w:szCs w:val="20"/>
              </w:rPr>
              <w:t>Centreon</w:t>
            </w:r>
            <w:proofErr w:type="spellEnd"/>
            <w:r>
              <w:rPr>
                <w:rFonts w:cs="Arial"/>
                <w:szCs w:val="20"/>
              </w:rPr>
              <w:t>: Herramienta de monitorización de disponibilidad y rendimiento de infraestructuras y aplicaciones.</w:t>
            </w:r>
          </w:p>
          <w:p w:rsidR="0022547F" w:rsidRDefault="0022547F" w:rsidP="0022547F">
            <w:pPr>
              <w:pStyle w:val="Vietas"/>
              <w:widowControl/>
              <w:numPr>
                <w:ilvl w:val="0"/>
                <w:numId w:val="21"/>
              </w:numPr>
              <w:suppressAutoHyphens/>
              <w:spacing w:before="0"/>
              <w:jc w:val="left"/>
            </w:pPr>
            <w:proofErr w:type="spellStart"/>
            <w:r>
              <w:rPr>
                <w:rFonts w:cs="Arial"/>
                <w:b/>
                <w:szCs w:val="20"/>
              </w:rPr>
              <w:t>QRadar</w:t>
            </w:r>
            <w:proofErr w:type="spellEnd"/>
            <w:r>
              <w:rPr>
                <w:rFonts w:cs="Arial"/>
                <w:szCs w:val="20"/>
              </w:rPr>
              <w:t xml:space="preserve"> de IBM: Herramienta de tipo SIEM orientada a la recolección y monitorización de eventos de seguridad que permite garantizar el cumplimiento de normativas de seguridad.</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22547F">
            <w:pPr>
              <w:pStyle w:val="Vietas"/>
              <w:numPr>
                <w:ilvl w:val="0"/>
                <w:numId w:val="0"/>
              </w:numPr>
              <w:snapToGrid w:val="0"/>
              <w:rPr>
                <w:rFonts w:cs="Arial"/>
                <w:szCs w:val="20"/>
              </w:rPr>
            </w:pPr>
          </w:p>
        </w:tc>
      </w:tr>
      <w:tr w:rsidR="0022547F" w:rsidTr="0022547F">
        <w:tc>
          <w:tcPr>
            <w:tcW w:w="7908" w:type="dxa"/>
            <w:tcBorders>
              <w:top w:val="single" w:sz="4" w:space="0" w:color="000000"/>
              <w:left w:val="single" w:sz="4" w:space="0" w:color="000000"/>
              <w:bottom w:val="single" w:sz="4" w:space="0" w:color="000000"/>
            </w:tcBorders>
            <w:shd w:val="clear" w:color="auto" w:fill="auto"/>
          </w:tcPr>
          <w:p w:rsidR="0022547F" w:rsidRDefault="0022547F" w:rsidP="0022547F">
            <w:pPr>
              <w:pStyle w:val="Vietas"/>
              <w:numPr>
                <w:ilvl w:val="0"/>
                <w:numId w:val="0"/>
              </w:numPr>
            </w:pPr>
            <w:r>
              <w:rPr>
                <w:rFonts w:cs="Arial"/>
                <w:b/>
                <w:szCs w:val="20"/>
              </w:rPr>
              <w:t xml:space="preserve">El sistema de información no podrá usar </w:t>
            </w:r>
            <w:proofErr w:type="spellStart"/>
            <w:r>
              <w:rPr>
                <w:rFonts w:cs="Arial"/>
                <w:b/>
                <w:i/>
                <w:szCs w:val="20"/>
              </w:rPr>
              <w:t>applets</w:t>
            </w:r>
            <w:proofErr w:type="spellEnd"/>
            <w:r>
              <w:rPr>
                <w:rFonts w:cs="Arial"/>
                <w:b/>
                <w:szCs w:val="20"/>
              </w:rPr>
              <w:t xml:space="preserve"> de Java</w:t>
            </w:r>
            <w:r>
              <w:rPr>
                <w:rFonts w:cs="Arial"/>
                <w:szCs w:val="20"/>
              </w:rPr>
              <w:t xml:space="preserve">. El sistema de información no podrá usar la arquitectura de </w:t>
            </w:r>
            <w:proofErr w:type="spellStart"/>
            <w:r>
              <w:rPr>
                <w:rFonts w:cs="Arial"/>
                <w:szCs w:val="20"/>
              </w:rPr>
              <w:t>plugin</w:t>
            </w:r>
            <w:proofErr w:type="spellEnd"/>
            <w:r>
              <w:rPr>
                <w:rFonts w:cs="Arial"/>
                <w:szCs w:val="20"/>
              </w:rPr>
              <w:t xml:space="preserve"> de plataforma cruzada NPAPI en la que se basa entre otros el </w:t>
            </w:r>
            <w:proofErr w:type="spellStart"/>
            <w:r>
              <w:rPr>
                <w:rFonts w:cs="Arial"/>
                <w:szCs w:val="20"/>
              </w:rPr>
              <w:t>plugin</w:t>
            </w:r>
            <w:proofErr w:type="spellEnd"/>
            <w:r>
              <w:rPr>
                <w:rFonts w:cs="Arial"/>
                <w:szCs w:val="20"/>
              </w:rPr>
              <w:t xml:space="preserve"> de Java para exploradores web, ya que los navegadores modernos no soportan esta arquitectura. Esta restricción no afecta a las aplicaciones Java Web </w:t>
            </w:r>
            <w:proofErr w:type="spellStart"/>
            <w:r>
              <w:rPr>
                <w:rFonts w:cs="Arial"/>
                <w:szCs w:val="20"/>
              </w:rPr>
              <w:t>Start</w:t>
            </w:r>
            <w:proofErr w:type="spellEnd"/>
            <w:r>
              <w:rPr>
                <w:rFonts w:cs="Arial"/>
                <w:szCs w:val="20"/>
              </w:rPr>
              <w:t xml:space="preserve">, solo afecta a los </w:t>
            </w:r>
            <w:proofErr w:type="spellStart"/>
            <w:r>
              <w:rPr>
                <w:rFonts w:cs="Arial"/>
                <w:i/>
                <w:szCs w:val="20"/>
              </w:rPr>
              <w:t>applets</w:t>
            </w:r>
            <w:proofErr w:type="spellEnd"/>
            <w:r>
              <w:rPr>
                <w:rFonts w:cs="Arial"/>
                <w:szCs w:val="20"/>
              </w:rPr>
              <w:t>.</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22547F">
            <w:pPr>
              <w:pStyle w:val="Vietas"/>
              <w:numPr>
                <w:ilvl w:val="0"/>
                <w:numId w:val="0"/>
              </w:numPr>
              <w:snapToGrid w:val="0"/>
              <w:ind w:left="175" w:hanging="175"/>
              <w:rPr>
                <w:rFonts w:cs="Arial"/>
                <w:szCs w:val="20"/>
              </w:rPr>
            </w:pPr>
          </w:p>
        </w:tc>
      </w:tr>
      <w:tr w:rsidR="0022547F" w:rsidTr="0022547F">
        <w:tc>
          <w:tcPr>
            <w:tcW w:w="7908" w:type="dxa"/>
            <w:tcBorders>
              <w:top w:val="single" w:sz="4" w:space="0" w:color="000000"/>
              <w:left w:val="single" w:sz="4" w:space="0" w:color="000000"/>
              <w:bottom w:val="single" w:sz="4" w:space="0" w:color="000000"/>
            </w:tcBorders>
            <w:shd w:val="clear" w:color="auto" w:fill="auto"/>
          </w:tcPr>
          <w:p w:rsidR="0022547F" w:rsidRDefault="0022547F" w:rsidP="0022547F">
            <w:pPr>
              <w:pStyle w:val="Vietas"/>
              <w:numPr>
                <w:ilvl w:val="0"/>
                <w:numId w:val="0"/>
              </w:numPr>
            </w:pPr>
            <w:r>
              <w:rPr>
                <w:rFonts w:cs="Arial"/>
                <w:b/>
                <w:szCs w:val="20"/>
              </w:rPr>
              <w:t>Licenciamiento del software base.</w:t>
            </w:r>
            <w:r>
              <w:rPr>
                <w:rFonts w:cs="Arial"/>
                <w:szCs w:val="20"/>
              </w:rPr>
              <w:t xml:space="preserve"> Las licencias de software base se adquirirán a nombre del Gobierno de Navarra con una duración ilimitada. Cuando el sistema de información se despliegue en los servidores corporativos, compartidos con varias aplicaciones más y con acceso restringido por parte del proveedor, no será necesario que se adquieran las licencias del sistema operativo, del servidor de aplicaciones o del gestor de base de datos. Si el sistema de información se despliega en servidores exclusivos, la empresa adjudicataria deberá aportar las licencias del sistema operativo, servidor de aplicaciones y gestor de base de datos (así como cualquier otro elemento software específico necesario) que se adapten a la infraestructura existente en Gobierno de Navarra, y siempre en las versiones, ediciones, y dimensionamiento (número de usuarios, procesadores, servidores, etc. licenciados) que se definan desde la DGTD como necesarias y adecuadas, siempre de acuerdo al Escenario Tecnológico.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22547F">
            <w:pPr>
              <w:pStyle w:val="Vietas"/>
              <w:numPr>
                <w:ilvl w:val="0"/>
                <w:numId w:val="0"/>
              </w:numPr>
              <w:snapToGrid w:val="0"/>
              <w:rPr>
                <w:rFonts w:cs="Arial"/>
                <w:szCs w:val="20"/>
              </w:rPr>
            </w:pPr>
          </w:p>
        </w:tc>
      </w:tr>
      <w:tr w:rsidR="0022547F" w:rsidTr="0022547F">
        <w:tc>
          <w:tcPr>
            <w:tcW w:w="7908" w:type="dxa"/>
            <w:tcBorders>
              <w:top w:val="single" w:sz="4" w:space="0" w:color="000000"/>
              <w:left w:val="single" w:sz="4" w:space="0" w:color="000000"/>
              <w:bottom w:val="single" w:sz="4" w:space="0" w:color="000000"/>
            </w:tcBorders>
            <w:shd w:val="clear" w:color="auto" w:fill="auto"/>
          </w:tcPr>
          <w:p w:rsidR="0022547F" w:rsidRPr="00087D36" w:rsidRDefault="0022547F" w:rsidP="0022547F">
            <w:pPr>
              <w:pStyle w:val="Vietas"/>
              <w:numPr>
                <w:ilvl w:val="0"/>
                <w:numId w:val="0"/>
              </w:numPr>
              <w:rPr>
                <w:rFonts w:cs="Arial"/>
                <w:szCs w:val="20"/>
              </w:rPr>
            </w:pPr>
            <w:r>
              <w:rPr>
                <w:rFonts w:cs="Arial"/>
                <w:b/>
                <w:szCs w:val="20"/>
              </w:rPr>
              <w:t>Licenciamiento del producto.</w:t>
            </w:r>
            <w:r>
              <w:rPr>
                <w:rFonts w:cs="Arial"/>
                <w:szCs w:val="20"/>
              </w:rPr>
              <w:t xml:space="preserve"> Las licencias del producto, si existe la posibilidad, serán de tipo software. Anteponiéndose estas a las de tipo mochila/hardware.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22547F">
            <w:pPr>
              <w:pStyle w:val="Vietas"/>
              <w:numPr>
                <w:ilvl w:val="0"/>
                <w:numId w:val="0"/>
              </w:numPr>
              <w:snapToGrid w:val="0"/>
              <w:rPr>
                <w:rFonts w:cs="Arial"/>
                <w:szCs w:val="20"/>
              </w:rPr>
            </w:pPr>
          </w:p>
        </w:tc>
      </w:tr>
      <w:tr w:rsidR="0022547F" w:rsidTr="0022547F">
        <w:tc>
          <w:tcPr>
            <w:tcW w:w="7908" w:type="dxa"/>
            <w:tcBorders>
              <w:top w:val="single" w:sz="4" w:space="0" w:color="000000"/>
              <w:left w:val="single" w:sz="4" w:space="0" w:color="000000"/>
              <w:bottom w:val="single" w:sz="4" w:space="0" w:color="000000"/>
            </w:tcBorders>
            <w:shd w:val="clear" w:color="auto" w:fill="auto"/>
          </w:tcPr>
          <w:p w:rsidR="0022547F" w:rsidRDefault="0022547F" w:rsidP="0022547F">
            <w:pPr>
              <w:pStyle w:val="Vietas"/>
              <w:numPr>
                <w:ilvl w:val="0"/>
                <w:numId w:val="0"/>
              </w:numPr>
            </w:pPr>
            <w:r>
              <w:rPr>
                <w:rFonts w:cs="Arial"/>
                <w:b/>
                <w:szCs w:val="20"/>
              </w:rPr>
              <w:t>Usuarios y contraseñas:</w:t>
            </w:r>
          </w:p>
          <w:p w:rsidR="0022547F" w:rsidRDefault="0022547F" w:rsidP="0022547F">
            <w:pPr>
              <w:pStyle w:val="Vietas"/>
              <w:widowControl/>
              <w:numPr>
                <w:ilvl w:val="0"/>
                <w:numId w:val="24"/>
              </w:numPr>
              <w:suppressAutoHyphens/>
              <w:spacing w:before="0"/>
            </w:pPr>
            <w:r>
              <w:rPr>
                <w:rFonts w:cs="Arial"/>
                <w:szCs w:val="20"/>
              </w:rPr>
              <w:t>Las cuentas de usuario de los sistemas de información deben ser nominales. No se permiten cuentas genéricas.</w:t>
            </w:r>
          </w:p>
          <w:p w:rsidR="0022547F" w:rsidRDefault="0022547F" w:rsidP="0022547F">
            <w:pPr>
              <w:pStyle w:val="Vietas"/>
              <w:widowControl/>
              <w:numPr>
                <w:ilvl w:val="0"/>
                <w:numId w:val="24"/>
              </w:numPr>
              <w:suppressAutoHyphens/>
              <w:spacing w:before="0"/>
            </w:pPr>
            <w:r>
              <w:rPr>
                <w:rFonts w:cs="Arial"/>
                <w:szCs w:val="20"/>
              </w:rPr>
              <w:t>Si es posible los sistemas de información se integrarán en el Directorio Activo de Gobierno de Navarra y utilizarán usuarios dentro del mismo.</w:t>
            </w:r>
          </w:p>
          <w:p w:rsidR="0022547F" w:rsidRDefault="0022547F" w:rsidP="0022547F">
            <w:pPr>
              <w:pStyle w:val="Vietas"/>
              <w:widowControl/>
              <w:numPr>
                <w:ilvl w:val="0"/>
                <w:numId w:val="24"/>
              </w:numPr>
              <w:suppressAutoHyphens/>
              <w:spacing w:before="0"/>
            </w:pPr>
            <w:r>
              <w:rPr>
                <w:rFonts w:cs="Arial"/>
                <w:szCs w:val="20"/>
              </w:rPr>
              <w:t>Política de contraseñas a aplicar en los sistemas de información y requerimientos de seguridad para todos los usuarios (está política no se aplica a usuarios de servicio, genéricos o de pruebas):</w:t>
            </w:r>
          </w:p>
          <w:p w:rsidR="0022547F" w:rsidRDefault="0022547F" w:rsidP="0022547F">
            <w:pPr>
              <w:pStyle w:val="Vietas"/>
              <w:widowControl/>
              <w:numPr>
                <w:ilvl w:val="1"/>
                <w:numId w:val="24"/>
              </w:numPr>
              <w:suppressAutoHyphens/>
              <w:spacing w:before="0"/>
            </w:pPr>
            <w:r>
              <w:rPr>
                <w:rFonts w:cs="Arial"/>
                <w:szCs w:val="20"/>
              </w:rPr>
              <w:t>La contraseña debe tener una longitud mínima de ocho caracteres.</w:t>
            </w:r>
          </w:p>
          <w:p w:rsidR="0022547F" w:rsidRDefault="0022547F" w:rsidP="0022547F">
            <w:pPr>
              <w:pStyle w:val="Vietas"/>
              <w:widowControl/>
              <w:numPr>
                <w:ilvl w:val="1"/>
                <w:numId w:val="24"/>
              </w:numPr>
              <w:suppressAutoHyphens/>
              <w:spacing w:before="0"/>
            </w:pPr>
            <w:r>
              <w:rPr>
                <w:rFonts w:cs="Arial"/>
                <w:szCs w:val="20"/>
              </w:rPr>
              <w:t>Deben combinarse tres tipos distintos de caracteres elegidos entre mayúsculas, minúsculas, números y caracteres especiales: @ $.</w:t>
            </w:r>
          </w:p>
          <w:p w:rsidR="0022547F" w:rsidRDefault="0022547F" w:rsidP="0022547F">
            <w:pPr>
              <w:pStyle w:val="Vietas"/>
              <w:widowControl/>
              <w:numPr>
                <w:ilvl w:val="1"/>
                <w:numId w:val="24"/>
              </w:numPr>
              <w:suppressAutoHyphens/>
              <w:spacing w:before="0"/>
            </w:pPr>
            <w:r>
              <w:rPr>
                <w:rFonts w:cs="Arial"/>
                <w:szCs w:val="20"/>
              </w:rPr>
              <w:t>Se obliga a un cambio de contraseña inicial tanto cuando se realice la primera conexión a la red de Gobierno de Navarra como tras la restauración de la contraseña (cuando por olvido se solicite un cambio de contraseña y sea asignada una provisionalmente, esta deberá ser sustituida inmediatamente para que cumpla los requisitos anteriores).</w:t>
            </w:r>
          </w:p>
          <w:p w:rsidR="0022547F" w:rsidRDefault="0022547F" w:rsidP="0022547F">
            <w:pPr>
              <w:pStyle w:val="Vietas"/>
              <w:widowControl/>
              <w:numPr>
                <w:ilvl w:val="1"/>
                <w:numId w:val="24"/>
              </w:numPr>
              <w:suppressAutoHyphens/>
              <w:spacing w:before="0"/>
            </w:pPr>
            <w:r>
              <w:rPr>
                <w:rFonts w:cs="Arial"/>
                <w:szCs w:val="20"/>
              </w:rPr>
              <w:t>Se obliga al cambio de contraseña cada 30 días. El equipo integrado en dominio avisa al usuario cinco días antes de que caduque la contraseña.</w:t>
            </w:r>
          </w:p>
          <w:p w:rsidR="0022547F" w:rsidRDefault="0022547F" w:rsidP="0022547F">
            <w:pPr>
              <w:pStyle w:val="Vietas"/>
              <w:widowControl/>
              <w:numPr>
                <w:ilvl w:val="1"/>
                <w:numId w:val="24"/>
              </w:numPr>
              <w:suppressAutoHyphens/>
              <w:spacing w:before="0"/>
            </w:pPr>
            <w:r>
              <w:rPr>
                <w:rFonts w:cs="Arial"/>
                <w:szCs w:val="20"/>
              </w:rPr>
              <w:t>No se pueden reutilizar las últimas 24 contraseñas.</w:t>
            </w:r>
          </w:p>
          <w:p w:rsidR="0022547F" w:rsidRDefault="0022547F" w:rsidP="0022547F">
            <w:pPr>
              <w:pStyle w:val="Vietas"/>
              <w:widowControl/>
              <w:numPr>
                <w:ilvl w:val="1"/>
                <w:numId w:val="24"/>
              </w:numPr>
              <w:suppressAutoHyphens/>
              <w:spacing w:before="0"/>
            </w:pPr>
            <w:r>
              <w:rPr>
                <w:rFonts w:cs="Arial"/>
                <w:szCs w:val="20"/>
              </w:rPr>
              <w:t>La cuenta de usuario será desactivada si no se utiliza durante 90 días. Para volver a entrar a la red debe solicitar la activación de la cuenta.</w:t>
            </w:r>
          </w:p>
          <w:p w:rsidR="0022547F" w:rsidRDefault="0022547F" w:rsidP="0022547F">
            <w:pPr>
              <w:pStyle w:val="Vietas"/>
              <w:widowControl/>
              <w:numPr>
                <w:ilvl w:val="1"/>
                <w:numId w:val="24"/>
              </w:numPr>
              <w:suppressAutoHyphens/>
              <w:spacing w:before="0"/>
            </w:pPr>
            <w:r>
              <w:rPr>
                <w:rFonts w:cs="Arial"/>
                <w:szCs w:val="20"/>
              </w:rPr>
              <w:t>No se permitirán palabras en cualquier idioma, secuencias lógicas deducibles, permutaciones sencillas, ni secuencias de teclado.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22547F">
            <w:pPr>
              <w:pStyle w:val="Vietas"/>
              <w:numPr>
                <w:ilvl w:val="0"/>
                <w:numId w:val="0"/>
              </w:numPr>
              <w:snapToGrid w:val="0"/>
              <w:rPr>
                <w:rFonts w:cs="Arial"/>
                <w:szCs w:val="20"/>
              </w:rPr>
            </w:pPr>
          </w:p>
        </w:tc>
      </w:tr>
    </w:tbl>
    <w:p w:rsidR="0022547F" w:rsidRDefault="0022547F" w:rsidP="0022547F">
      <w:pPr>
        <w:pStyle w:val="Vietas"/>
        <w:pageBreakBefore/>
        <w:numPr>
          <w:ilvl w:val="0"/>
          <w:numId w:val="0"/>
        </w:numPr>
      </w:pPr>
      <w:r>
        <w:rPr>
          <w:rFonts w:cs="Arial"/>
        </w:rPr>
        <w:t>Además, la propuesta que se presente en la oferta contendrá la respuesta a los siguientes apartados:</w:t>
      </w:r>
    </w:p>
    <w:p w:rsidR="0022547F" w:rsidRDefault="0022547F" w:rsidP="0022547F">
      <w:pPr>
        <w:pStyle w:val="Vietas"/>
        <w:numPr>
          <w:ilvl w:val="0"/>
          <w:numId w:val="0"/>
        </w:numPr>
        <w:rPr>
          <w:rFonts w:cs="Arial"/>
        </w:rPr>
      </w:pPr>
    </w:p>
    <w:tbl>
      <w:tblPr>
        <w:tblW w:w="0" w:type="auto"/>
        <w:tblInd w:w="-856" w:type="dxa"/>
        <w:tblLayout w:type="fixed"/>
        <w:tblLook w:val="0000" w:firstRow="0" w:lastRow="0" w:firstColumn="0" w:lastColumn="0" w:noHBand="0" w:noVBand="0"/>
      </w:tblPr>
      <w:tblGrid>
        <w:gridCol w:w="3936"/>
        <w:gridCol w:w="3118"/>
        <w:gridCol w:w="2022"/>
      </w:tblGrid>
      <w:tr w:rsidR="0022547F" w:rsidTr="0022547F">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pPr>
            <w:r>
              <w:rPr>
                <w:rFonts w:cs="Arial"/>
                <w:b/>
              </w:rPr>
              <w:t xml:space="preserve">Requerimientos </w:t>
            </w:r>
          </w:p>
        </w:tc>
      </w:tr>
      <w:tr w:rsidR="0022547F" w:rsidTr="0022547F">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pPr>
            <w:r>
              <w:rPr>
                <w:rFonts w:cs="Arial"/>
                <w:b/>
                <w:szCs w:val="20"/>
              </w:rPr>
              <w:t>Necesidad de adquisición de Infraestructura.</w:t>
            </w:r>
            <w:r>
              <w:rPr>
                <w:rFonts w:cs="Arial"/>
                <w:szCs w:val="20"/>
              </w:rPr>
              <w:t xml:space="preserve"> El proveedor deberá detallar la infraestructura </w:t>
            </w:r>
            <w:r w:rsidRPr="00644FB6">
              <w:rPr>
                <w:rFonts w:cs="Arial"/>
                <w:szCs w:val="20"/>
              </w:rPr>
              <w:t>servidora y puesto cliente</w:t>
            </w:r>
            <w:r>
              <w:rPr>
                <w:rFonts w:cs="Arial"/>
                <w:szCs w:val="20"/>
              </w:rPr>
              <w:t xml:space="preserve"> necesaria para soportar su propuesta.</w:t>
            </w:r>
          </w:p>
        </w:tc>
      </w:tr>
      <w:tr w:rsidR="0022547F" w:rsidTr="0022547F">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pPr>
            <w:r>
              <w:rPr>
                <w:rFonts w:cs="Arial"/>
                <w:b/>
                <w:szCs w:val="20"/>
              </w:rPr>
              <w:t>Dimensionamiento de los sistemas de información:</w:t>
            </w:r>
          </w:p>
        </w:tc>
      </w:tr>
      <w:tr w:rsidR="0022547F" w:rsidTr="0022547F">
        <w:tc>
          <w:tcPr>
            <w:tcW w:w="3936"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CPU (nº de núcleos)</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b/>
                <w:szCs w:val="20"/>
              </w:rPr>
            </w:pPr>
          </w:p>
        </w:tc>
      </w:tr>
      <w:tr w:rsidR="0022547F" w:rsidTr="0022547F">
        <w:tc>
          <w:tcPr>
            <w:tcW w:w="3936"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Memoria (GB)</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b/>
                <w:szCs w:val="20"/>
              </w:rPr>
            </w:pPr>
          </w:p>
        </w:tc>
      </w:tr>
      <w:tr w:rsidR="0022547F" w:rsidTr="0022547F">
        <w:tc>
          <w:tcPr>
            <w:tcW w:w="3936"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Disco (GB)</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b/>
                <w:szCs w:val="20"/>
              </w:rPr>
            </w:pPr>
          </w:p>
        </w:tc>
      </w:tr>
      <w:tr w:rsidR="0022547F" w:rsidTr="0022547F">
        <w:tc>
          <w:tcPr>
            <w:tcW w:w="3936"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Sistema gráficos (resolución)</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b/>
                <w:szCs w:val="20"/>
              </w:rPr>
            </w:pPr>
          </w:p>
        </w:tc>
      </w:tr>
      <w:tr w:rsidR="0022547F" w:rsidTr="0022547F">
        <w:tc>
          <w:tcPr>
            <w:tcW w:w="3936"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Puertos de entrada y salida</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b/>
                <w:szCs w:val="20"/>
              </w:rPr>
            </w:pPr>
          </w:p>
        </w:tc>
      </w:tr>
      <w:tr w:rsidR="0022547F" w:rsidTr="0022547F">
        <w:tc>
          <w:tcPr>
            <w:tcW w:w="3936"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Periféricos</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b/>
                <w:szCs w:val="20"/>
              </w:rPr>
            </w:pPr>
          </w:p>
        </w:tc>
      </w:tr>
      <w:tr w:rsidR="0022547F" w:rsidTr="0022547F">
        <w:tc>
          <w:tcPr>
            <w:tcW w:w="3936"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Almacenamiento externo</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b/>
                <w:szCs w:val="20"/>
              </w:rPr>
            </w:pPr>
          </w:p>
        </w:tc>
      </w:tr>
      <w:tr w:rsidR="0022547F" w:rsidTr="0022547F">
        <w:tc>
          <w:tcPr>
            <w:tcW w:w="3936"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Latencia</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b/>
                <w:szCs w:val="20"/>
              </w:rPr>
            </w:pPr>
          </w:p>
        </w:tc>
      </w:tr>
      <w:tr w:rsidR="0022547F" w:rsidTr="0022547F">
        <w:tc>
          <w:tcPr>
            <w:tcW w:w="3936"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Rendimientos (</w:t>
            </w:r>
            <w:proofErr w:type="spellStart"/>
            <w:r>
              <w:rPr>
                <w:rFonts w:cs="Arial"/>
                <w:b/>
                <w:i/>
                <w:szCs w:val="20"/>
              </w:rPr>
              <w:t>Throughputs</w:t>
            </w:r>
            <w:proofErr w:type="spellEnd"/>
            <w:r>
              <w:rPr>
                <w:rFonts w:cs="Arial"/>
                <w:b/>
                <w:szCs w:val="20"/>
              </w:rPr>
              <w:t>)</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b/>
                <w:szCs w:val="20"/>
              </w:rPr>
            </w:pPr>
          </w:p>
        </w:tc>
      </w:tr>
      <w:tr w:rsidR="0022547F" w:rsidTr="0022547F">
        <w:tc>
          <w:tcPr>
            <w:tcW w:w="3936"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 xml:space="preserve">Sistema operativo </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b/>
                <w:szCs w:val="20"/>
              </w:rPr>
            </w:pPr>
          </w:p>
        </w:tc>
      </w:tr>
      <w:tr w:rsidR="0022547F" w:rsidTr="0022547F">
        <w:tc>
          <w:tcPr>
            <w:tcW w:w="3936"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b/>
                <w:szCs w:val="20"/>
              </w:rPr>
              <w:t>Software específico</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b/>
                <w:szCs w:val="20"/>
              </w:rPr>
            </w:pPr>
          </w:p>
        </w:tc>
      </w:tr>
      <w:tr w:rsidR="0022547F" w:rsidTr="0022547F">
        <w:trPr>
          <w:trHeight w:val="972"/>
        </w:trPr>
        <w:tc>
          <w:tcPr>
            <w:tcW w:w="7054" w:type="dxa"/>
            <w:gridSpan w:val="2"/>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szCs w:val="20"/>
              </w:rPr>
              <w:t>Se detallarán al máximo los requisitos y especificaciones en cuanto a previsión de crecimiento y se entregará un plan de capacidad durante la vigencia del contrato.</w:t>
            </w:r>
          </w:p>
          <w:p w:rsidR="0022547F" w:rsidRDefault="0022547F" w:rsidP="00E84B44">
            <w:pPr>
              <w:pStyle w:val="Vietas"/>
              <w:numPr>
                <w:ilvl w:val="0"/>
                <w:numId w:val="0"/>
              </w:numPr>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rPr>
            </w:pPr>
          </w:p>
        </w:tc>
      </w:tr>
      <w:tr w:rsidR="0022547F" w:rsidTr="0022547F">
        <w:tc>
          <w:tcPr>
            <w:tcW w:w="7054" w:type="dxa"/>
            <w:gridSpan w:val="2"/>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szCs w:val="20"/>
              </w:rPr>
              <w:t>Se definirá la necesidad de realizar copias de seguridad de los sistemas de información indicando los parámetros necesarios de tipo de copia, periodicidad y retención. Tendrá en cuenta lo siguiente:</w:t>
            </w:r>
          </w:p>
          <w:p w:rsidR="0022547F" w:rsidRDefault="0022547F" w:rsidP="0022547F">
            <w:pPr>
              <w:pStyle w:val="Vietas"/>
              <w:widowControl/>
              <w:numPr>
                <w:ilvl w:val="0"/>
                <w:numId w:val="20"/>
              </w:numPr>
              <w:suppressAutoHyphens/>
              <w:spacing w:before="0"/>
              <w:jc w:val="left"/>
            </w:pPr>
            <w:r>
              <w:rPr>
                <w:rFonts w:cs="Arial"/>
                <w:szCs w:val="20"/>
              </w:rPr>
              <w:t>Se realizan sobre la infraestructura servidora de Gobierno de Navarra. Las estaciones de los usuarios no se respaldarán (aunque pueden existir excepciones tras un estudio previo entre gestión de copias y el responsable de la información de la estación).</w:t>
            </w:r>
          </w:p>
          <w:p w:rsidR="0022547F" w:rsidRDefault="0022547F" w:rsidP="0022547F">
            <w:pPr>
              <w:pStyle w:val="Vietas"/>
              <w:widowControl/>
              <w:numPr>
                <w:ilvl w:val="0"/>
                <w:numId w:val="20"/>
              </w:numPr>
              <w:suppressAutoHyphens/>
              <w:spacing w:before="0"/>
              <w:jc w:val="left"/>
            </w:pPr>
            <w:r>
              <w:rPr>
                <w:rFonts w:cs="Arial"/>
                <w:szCs w:val="20"/>
              </w:rPr>
              <w:t>Sistemas operativos vigentes en el escenario tecnológico de Gobierno de Navarra.</w:t>
            </w:r>
          </w:p>
          <w:p w:rsidR="0022547F" w:rsidRDefault="0022547F" w:rsidP="0022547F">
            <w:pPr>
              <w:pStyle w:val="Vietas"/>
              <w:widowControl/>
              <w:numPr>
                <w:ilvl w:val="0"/>
                <w:numId w:val="20"/>
              </w:numPr>
              <w:suppressAutoHyphens/>
              <w:spacing w:before="0"/>
              <w:jc w:val="left"/>
            </w:pPr>
            <w:r>
              <w:rPr>
                <w:rFonts w:cs="Arial"/>
                <w:szCs w:val="20"/>
              </w:rPr>
              <w:t>Software base vigente en el escenario tecnológico de Gobierno de Navarra</w:t>
            </w:r>
          </w:p>
          <w:p w:rsidR="0022547F" w:rsidRDefault="0022547F" w:rsidP="00E84B44">
            <w:pPr>
              <w:pStyle w:val="Vietas"/>
              <w:numPr>
                <w:ilvl w:val="0"/>
                <w:numId w:val="0"/>
              </w:numPr>
              <w:ind w:left="284" w:hanging="284"/>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r w:rsidR="0022547F" w:rsidTr="0022547F">
        <w:tc>
          <w:tcPr>
            <w:tcW w:w="7054" w:type="dxa"/>
            <w:gridSpan w:val="2"/>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szCs w:val="20"/>
              </w:rPr>
              <w:t xml:space="preserve">El acceso a Internet de los sistemas de información se verá limitado sólo a aquello estrictamente necesario y justificado (listas blancas). Se deberán definir los accesos necesarios a Internet, especificando las </w:t>
            </w:r>
            <w:proofErr w:type="spellStart"/>
            <w:r>
              <w:rPr>
                <w:rFonts w:cs="Arial"/>
                <w:i/>
                <w:szCs w:val="20"/>
              </w:rPr>
              <w:t>URLs</w:t>
            </w:r>
            <w:proofErr w:type="spellEnd"/>
            <w:r>
              <w:rPr>
                <w:rFonts w:cs="Arial"/>
                <w:szCs w:val="20"/>
              </w:rPr>
              <w:t xml:space="preserve"> de destino y los puertos necesarios. Gobierno de Navarra se reserva el derecho a no aceptar accesos a Internet de los sistemas de información si los considera un riesgo innecesario.</w:t>
            </w:r>
          </w:p>
          <w:p w:rsidR="0022547F" w:rsidRDefault="0022547F" w:rsidP="00E84B44">
            <w:pPr>
              <w:pStyle w:val="Vietas"/>
              <w:numPr>
                <w:ilvl w:val="0"/>
                <w:numId w:val="0"/>
              </w:numPr>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r w:rsidR="0022547F" w:rsidTr="0022547F">
        <w:tc>
          <w:tcPr>
            <w:tcW w:w="7054" w:type="dxa"/>
            <w:gridSpan w:val="2"/>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szCs w:val="20"/>
              </w:rPr>
              <w:t>Los accesos de los sistemas de información a los recursos de la red corporativa de Gobierno de Navarra se verán limitados a sólo a aquello estrictamente necesarios y justificados (listas blancas). Se deberán definir los accesos necesarios a los recursos internos en la propuesta.</w:t>
            </w:r>
          </w:p>
          <w:p w:rsidR="0022547F" w:rsidRDefault="0022547F" w:rsidP="00E84B44">
            <w:pPr>
              <w:pStyle w:val="Vietas"/>
              <w:numPr>
                <w:ilvl w:val="0"/>
                <w:numId w:val="0"/>
              </w:numPr>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r w:rsidR="0022547F" w:rsidTr="0022547F">
        <w:tc>
          <w:tcPr>
            <w:tcW w:w="7054" w:type="dxa"/>
            <w:gridSpan w:val="2"/>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szCs w:val="20"/>
              </w:rPr>
              <w:t>No se permitirá la conexión a Internet de los sistemas de información por métodos distintos a los autorizados por Gobierno de Navarra. Se definen estos métodos de conexión en equipos como encaminadores 3G/4G, encaminadores ADSL, tarjetas SIM, etc. En cada caso se deberá evaluar y autorizar la solución por lo que se deberá especificar en la propuesta si existe alguno de estos dispositivos junto con una evaluación de riesgos para poder ser evaluado y autorizado si corresponde.</w:t>
            </w:r>
          </w:p>
          <w:p w:rsidR="0022547F" w:rsidRDefault="0022547F" w:rsidP="00E84B44">
            <w:pPr>
              <w:pStyle w:val="Vietas"/>
              <w:numPr>
                <w:ilvl w:val="0"/>
                <w:numId w:val="0"/>
              </w:numPr>
            </w:pPr>
            <w:r>
              <w:rPr>
                <w:rFonts w:cs="Arial"/>
                <w:szCs w:val="20"/>
              </w:rPr>
              <w:t>(Especificar documento y página de la oferta donde se especifica, en caso de que existan)</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r w:rsidR="0022547F" w:rsidTr="0022547F">
        <w:tc>
          <w:tcPr>
            <w:tcW w:w="7054" w:type="dxa"/>
            <w:gridSpan w:val="2"/>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szCs w:val="20"/>
              </w:rPr>
              <w:t xml:space="preserve">Por regla general no se permite el </w:t>
            </w:r>
            <w:proofErr w:type="spellStart"/>
            <w:r>
              <w:rPr>
                <w:rFonts w:cs="Arial"/>
                <w:i/>
                <w:szCs w:val="20"/>
              </w:rPr>
              <w:t>autologon</w:t>
            </w:r>
            <w:proofErr w:type="spellEnd"/>
            <w:r>
              <w:rPr>
                <w:rFonts w:cs="Arial"/>
                <w:szCs w:val="20"/>
              </w:rPr>
              <w:t xml:space="preserve"> en los sistemas de información y los servicios de aplicación de los sistemas de información tienen que poder ejecutarse sin haber iniciado sesión. En caso de que el sistema de información requiera </w:t>
            </w:r>
            <w:proofErr w:type="spellStart"/>
            <w:r>
              <w:rPr>
                <w:rFonts w:cs="Arial"/>
                <w:i/>
                <w:szCs w:val="20"/>
              </w:rPr>
              <w:t>autologon</w:t>
            </w:r>
            <w:proofErr w:type="spellEnd"/>
            <w:r>
              <w:rPr>
                <w:rFonts w:cs="Arial"/>
                <w:szCs w:val="20"/>
              </w:rPr>
              <w:t>, se deberá especificar en la oferta y Gobierno de Navarra evaluará si se autoriza según los riesgos que se encuentren.</w:t>
            </w:r>
          </w:p>
          <w:p w:rsidR="0022547F" w:rsidRDefault="0022547F" w:rsidP="00E84B44">
            <w:pPr>
              <w:pStyle w:val="Vietas"/>
              <w:numPr>
                <w:ilvl w:val="0"/>
                <w:numId w:val="0"/>
              </w:numPr>
            </w:pPr>
            <w:r>
              <w:rPr>
                <w:rFonts w:cs="Arial"/>
                <w:szCs w:val="20"/>
              </w:rPr>
              <w:t>(Especificar documento y página de la oferta donde se especifica, en caso de que existan)</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bl>
    <w:p w:rsidR="0022547F" w:rsidRDefault="0022547F" w:rsidP="0022547F">
      <w:pPr>
        <w:pStyle w:val="Vietas"/>
        <w:numPr>
          <w:ilvl w:val="0"/>
          <w:numId w:val="0"/>
        </w:numPr>
        <w:rPr>
          <w:rFonts w:cs="Arial"/>
        </w:rPr>
      </w:pPr>
    </w:p>
    <w:p w:rsidR="0022547F" w:rsidRDefault="0022547F" w:rsidP="0022547F">
      <w:pPr>
        <w:pStyle w:val="Vietas"/>
        <w:numPr>
          <w:ilvl w:val="0"/>
          <w:numId w:val="0"/>
        </w:numPr>
        <w:rPr>
          <w:rFonts w:cs="Arial"/>
        </w:rPr>
      </w:pPr>
    </w:p>
    <w:p w:rsidR="0022547F" w:rsidRDefault="0022547F" w:rsidP="0022547F">
      <w:pPr>
        <w:pStyle w:val="Vietas"/>
        <w:numPr>
          <w:ilvl w:val="0"/>
          <w:numId w:val="0"/>
        </w:numPr>
        <w:rPr>
          <w:rFonts w:cs="Arial"/>
        </w:rPr>
      </w:pPr>
    </w:p>
    <w:p w:rsidR="0022547F" w:rsidRDefault="0022547F" w:rsidP="0022547F">
      <w:pPr>
        <w:pStyle w:val="Vietas"/>
        <w:numPr>
          <w:ilvl w:val="0"/>
          <w:numId w:val="0"/>
        </w:numPr>
        <w:rPr>
          <w:rFonts w:cs="Arial"/>
        </w:rPr>
      </w:pPr>
    </w:p>
    <w:tbl>
      <w:tblPr>
        <w:tblW w:w="0" w:type="auto"/>
        <w:tblInd w:w="-856" w:type="dxa"/>
        <w:tblLayout w:type="fixed"/>
        <w:tblLook w:val="0000" w:firstRow="0" w:lastRow="0" w:firstColumn="0" w:lastColumn="0" w:noHBand="0" w:noVBand="0"/>
      </w:tblPr>
      <w:tblGrid>
        <w:gridCol w:w="7054"/>
        <w:gridCol w:w="2022"/>
      </w:tblGrid>
      <w:tr w:rsidR="0022547F" w:rsidTr="0022547F">
        <w:tc>
          <w:tcPr>
            <w:tcW w:w="9076" w:type="dxa"/>
            <w:gridSpan w:val="2"/>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pPr>
            <w:r>
              <w:rPr>
                <w:rFonts w:cs="Arial"/>
                <w:b/>
              </w:rPr>
              <w:t xml:space="preserve">Requerimientos </w:t>
            </w:r>
          </w:p>
        </w:tc>
      </w:tr>
      <w:tr w:rsidR="0022547F" w:rsidTr="0022547F">
        <w:tc>
          <w:tcPr>
            <w:tcW w:w="7054" w:type="dxa"/>
            <w:tcBorders>
              <w:top w:val="single" w:sz="4" w:space="0" w:color="000000"/>
              <w:left w:val="single" w:sz="4" w:space="0" w:color="000000"/>
              <w:bottom w:val="single" w:sz="4" w:space="0" w:color="000000"/>
            </w:tcBorders>
            <w:shd w:val="clear" w:color="auto" w:fill="auto"/>
          </w:tcPr>
          <w:p w:rsidR="0022547F" w:rsidRDefault="0022547F" w:rsidP="00E84B44">
            <w:pPr>
              <w:pStyle w:val="Vietas"/>
              <w:numPr>
                <w:ilvl w:val="0"/>
                <w:numId w:val="0"/>
              </w:numPr>
            </w:pPr>
            <w:r>
              <w:rPr>
                <w:rFonts w:cs="Arial"/>
                <w:szCs w:val="20"/>
              </w:rPr>
              <w:t xml:space="preserve">Es obligatorio realizar actualizaciones de seguridad y seguir una política al respecto. Como referencia se seguirá la política de Gobierno de Navarra. En caso de justificar no poder seguir esta política se deberá presentar una política alternativa de actualizaciones de seguridad. </w:t>
            </w:r>
            <w:r>
              <w:rPr>
                <w:rFonts w:cs="Arial"/>
                <w:b/>
                <w:szCs w:val="20"/>
              </w:rPr>
              <w:t>La política de actualizaciones de seguridad de Gobierno de Navarra consiste en:</w:t>
            </w:r>
          </w:p>
          <w:p w:rsidR="0022547F" w:rsidRDefault="0022547F" w:rsidP="00E84B44">
            <w:pPr>
              <w:pStyle w:val="Vietas"/>
              <w:numPr>
                <w:ilvl w:val="0"/>
                <w:numId w:val="0"/>
              </w:numPr>
            </w:pPr>
            <w:r>
              <w:rPr>
                <w:rFonts w:cs="Arial"/>
                <w:b/>
                <w:szCs w:val="20"/>
              </w:rPr>
              <w:t xml:space="preserve">Actualizaciones de seguridad en servidores Windows: </w:t>
            </w:r>
          </w:p>
          <w:p w:rsidR="0022547F" w:rsidRDefault="0022547F" w:rsidP="0022547F">
            <w:pPr>
              <w:pStyle w:val="Vietas"/>
              <w:widowControl/>
              <w:numPr>
                <w:ilvl w:val="0"/>
                <w:numId w:val="22"/>
              </w:numPr>
              <w:suppressAutoHyphens/>
              <w:spacing w:before="0"/>
            </w:pPr>
            <w:r>
              <w:rPr>
                <w:rFonts w:cs="Arial"/>
                <w:szCs w:val="20"/>
              </w:rPr>
              <w:t>Las actualizaciones de seguridad incluidas son aquellas designadas por Microsoft como 'críticas' e 'importantes'.</w:t>
            </w:r>
          </w:p>
          <w:p w:rsidR="0022547F" w:rsidRDefault="0022547F" w:rsidP="0022547F">
            <w:pPr>
              <w:pStyle w:val="Vietas"/>
              <w:widowControl/>
              <w:numPr>
                <w:ilvl w:val="0"/>
                <w:numId w:val="22"/>
              </w:numPr>
              <w:suppressAutoHyphens/>
              <w:spacing w:before="0"/>
            </w:pPr>
            <w:r>
              <w:rPr>
                <w:rFonts w:cs="Arial"/>
                <w:szCs w:val="20"/>
              </w:rPr>
              <w:t>Periodicidad mínima: con una cadencia trimestral se realizará una actualización a los servidores Windows de las actualizaciones de seguridad (parches) publicadas por el proveedor desde la última iteración del ciclo de parcheado. Como norma general, dentro del paquete de actualizaciones se excluyen aquellas con una fecha de publicación inferior a un mes para garantizar la estabilidad de los equipos.</w:t>
            </w:r>
          </w:p>
          <w:p w:rsidR="0022547F" w:rsidRDefault="0022547F" w:rsidP="0022547F">
            <w:pPr>
              <w:pStyle w:val="Vietas"/>
              <w:widowControl/>
              <w:numPr>
                <w:ilvl w:val="0"/>
                <w:numId w:val="22"/>
              </w:numPr>
              <w:suppressAutoHyphens/>
              <w:spacing w:before="0"/>
            </w:pPr>
            <w:r>
              <w:rPr>
                <w:rFonts w:cs="Arial"/>
                <w:szCs w:val="20"/>
              </w:rPr>
              <w:t>Adicionalmente se establece la posibilidad de ejecutar actualizaciones extraordinarias sin atender a la cadencia cuatrimestral establecida en el apartado anterior en el caso de la publicación de actualizaciones críticas cuyo impacto real en caso de explotación maliciosa pueda ser alto.</w:t>
            </w:r>
          </w:p>
          <w:p w:rsidR="0022547F" w:rsidRDefault="0022547F" w:rsidP="00E84B44">
            <w:pPr>
              <w:pStyle w:val="Vietas"/>
              <w:numPr>
                <w:ilvl w:val="0"/>
                <w:numId w:val="0"/>
              </w:numPr>
            </w:pPr>
            <w:r>
              <w:rPr>
                <w:rFonts w:cs="Arial"/>
                <w:b/>
                <w:szCs w:val="20"/>
              </w:rPr>
              <w:t>Actualizaciones de seguridad en servidores Linux:</w:t>
            </w:r>
          </w:p>
          <w:p w:rsidR="0022547F" w:rsidRPr="00614396" w:rsidRDefault="0022547F" w:rsidP="0022547F">
            <w:pPr>
              <w:pStyle w:val="Vietas"/>
              <w:widowControl/>
              <w:numPr>
                <w:ilvl w:val="0"/>
                <w:numId w:val="22"/>
              </w:numPr>
              <w:spacing w:before="0"/>
            </w:pPr>
            <w:r w:rsidRPr="00614396">
              <w:rPr>
                <w:rFonts w:cs="Arial"/>
                <w:szCs w:val="20"/>
              </w:rPr>
              <w:t xml:space="preserve">Periodicidad mínima: con una cadencia es trimestral. El parcheo completo de un servidor Linux nuevo es parte obligatoria del despliegue. </w:t>
            </w:r>
          </w:p>
          <w:p w:rsidR="0022547F" w:rsidRPr="00614396" w:rsidRDefault="0022547F" w:rsidP="0022547F">
            <w:pPr>
              <w:pStyle w:val="Vietas"/>
              <w:widowControl/>
              <w:numPr>
                <w:ilvl w:val="0"/>
                <w:numId w:val="22"/>
              </w:numPr>
              <w:spacing w:before="0"/>
            </w:pPr>
            <w:r w:rsidRPr="00614396">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22547F" w:rsidRDefault="0022547F" w:rsidP="00E84B44">
            <w:pPr>
              <w:pStyle w:val="Vietas"/>
              <w:numPr>
                <w:ilvl w:val="0"/>
                <w:numId w:val="0"/>
              </w:numPr>
              <w:rPr>
                <w:rFonts w:cs="Arial"/>
                <w:b/>
                <w:szCs w:val="20"/>
              </w:rPr>
            </w:pPr>
            <w:r>
              <w:rPr>
                <w:rFonts w:cs="Arial"/>
                <w:b/>
                <w:szCs w:val="20"/>
              </w:rPr>
              <w:t>Actualizaciones de seguridad de puesto de trabajo:</w:t>
            </w:r>
          </w:p>
          <w:p w:rsidR="0022547F" w:rsidRDefault="0022547F" w:rsidP="0022547F">
            <w:pPr>
              <w:pStyle w:val="Vietas"/>
              <w:widowControl/>
              <w:numPr>
                <w:ilvl w:val="0"/>
                <w:numId w:val="22"/>
              </w:numPr>
              <w:suppressAutoHyphens/>
              <w:spacing w:before="0"/>
              <w:rPr>
                <w:rFonts w:cs="Arial"/>
                <w:szCs w:val="20"/>
              </w:rPr>
            </w:pPr>
            <w:r>
              <w:rPr>
                <w:rFonts w:cs="Arial"/>
                <w:szCs w:val="20"/>
              </w:rPr>
              <w:t xml:space="preserve">Con una cadencia trimestral, </w:t>
            </w:r>
            <w:r w:rsidRPr="0018499E">
              <w:rPr>
                <w:rFonts w:cs="Arial"/>
                <w:szCs w:val="20"/>
              </w:rPr>
              <w:t xml:space="preserve">se realizará una </w:t>
            </w:r>
            <w:r>
              <w:rPr>
                <w:rFonts w:cs="Arial"/>
                <w:szCs w:val="20"/>
              </w:rPr>
              <w:t xml:space="preserve">distribución de software en los puestos de trabajo de las últimas actualizaciones de seguridad (parches) publicadas por los proveedores, con la particularidad de los productos Microsoft, que se incluirán aquellas publicadas en el mes anterior, para garantizar la estabilidad de las estaciones cliente. </w:t>
            </w:r>
          </w:p>
          <w:p w:rsidR="0022547F" w:rsidRPr="0018499E" w:rsidRDefault="0022547F" w:rsidP="0022547F">
            <w:pPr>
              <w:pStyle w:val="Vietas"/>
              <w:widowControl/>
              <w:numPr>
                <w:ilvl w:val="0"/>
                <w:numId w:val="22"/>
              </w:numPr>
              <w:suppressAutoHyphens/>
              <w:spacing w:before="0"/>
              <w:rPr>
                <w:rFonts w:cs="Arial"/>
                <w:szCs w:val="20"/>
              </w:rPr>
            </w:pPr>
            <w:r>
              <w:rPr>
                <w:rFonts w:cs="Arial"/>
                <w:szCs w:val="20"/>
              </w:rPr>
              <w:t xml:space="preserve">Adicionalmente, </w:t>
            </w:r>
            <w:r w:rsidRPr="0018499E">
              <w:rPr>
                <w:rFonts w:cs="Arial"/>
                <w:szCs w:val="20"/>
              </w:rPr>
              <w:t>se establece la posibilidad de ejecutar actualizaciones extraordinarias</w:t>
            </w:r>
            <w:r>
              <w:rPr>
                <w:rFonts w:cs="Arial"/>
                <w:szCs w:val="20"/>
              </w:rPr>
              <w:t xml:space="preserve">, </w:t>
            </w:r>
            <w:r w:rsidRPr="0018499E">
              <w:rPr>
                <w:rFonts w:cs="Arial"/>
                <w:szCs w:val="20"/>
              </w:rPr>
              <w:t>sin atender a la cadencia trimestral establecida en el apartado anterior</w:t>
            </w:r>
            <w:r>
              <w:rPr>
                <w:rFonts w:cs="Arial"/>
                <w:szCs w:val="20"/>
              </w:rPr>
              <w:t>,</w:t>
            </w:r>
            <w:r w:rsidRPr="0018499E">
              <w:rPr>
                <w:rFonts w:cs="Arial"/>
                <w:szCs w:val="20"/>
              </w:rPr>
              <w:t xml:space="preserve"> en el caso de la publicación de actualizaciones críticas cuyo impacto real en caso de explotación maliciosa pueda ser alto.</w:t>
            </w:r>
          </w:p>
          <w:p w:rsidR="0022547F" w:rsidRDefault="0022547F" w:rsidP="00E84B44">
            <w:pPr>
              <w:pStyle w:val="Vietas"/>
              <w:numPr>
                <w:ilvl w:val="0"/>
                <w:numId w:val="0"/>
              </w:numPr>
            </w:pPr>
            <w:r>
              <w:rPr>
                <w:rFonts w:cs="Arial"/>
                <w:b/>
                <w:szCs w:val="20"/>
              </w:rPr>
              <w:t xml:space="preserve">Actualizaciones de seguridad en </w:t>
            </w:r>
            <w:proofErr w:type="spellStart"/>
            <w:r>
              <w:rPr>
                <w:rFonts w:cs="Arial"/>
                <w:b/>
                <w:i/>
                <w:szCs w:val="20"/>
              </w:rPr>
              <w:t>appliances</w:t>
            </w:r>
            <w:proofErr w:type="spellEnd"/>
            <w:r>
              <w:rPr>
                <w:rFonts w:cs="Arial"/>
                <w:b/>
                <w:szCs w:val="20"/>
              </w:rPr>
              <w:t xml:space="preserve"> o con sistemas embebidos:</w:t>
            </w:r>
          </w:p>
          <w:p w:rsidR="0022547F" w:rsidRDefault="0022547F" w:rsidP="0022547F">
            <w:pPr>
              <w:pStyle w:val="Vietas"/>
              <w:widowControl/>
              <w:numPr>
                <w:ilvl w:val="0"/>
                <w:numId w:val="22"/>
              </w:numPr>
              <w:suppressAutoHyphens/>
              <w:spacing w:before="0"/>
            </w:pPr>
            <w:r>
              <w:rPr>
                <w:rFonts w:cs="Arial"/>
                <w:szCs w:val="20"/>
              </w:rPr>
              <w:t xml:space="preserve">Para </w:t>
            </w:r>
            <w:proofErr w:type="spellStart"/>
            <w:r>
              <w:rPr>
                <w:rFonts w:cs="Arial"/>
                <w:i/>
                <w:szCs w:val="20"/>
              </w:rPr>
              <w:t>appliances</w:t>
            </w:r>
            <w:proofErr w:type="spellEnd"/>
            <w:r>
              <w:rPr>
                <w:rFonts w:cs="Arial"/>
                <w:szCs w:val="20"/>
              </w:rPr>
              <w:t xml:space="preserve"> que se encuentren en redes que ofrecen servicio </w:t>
            </w:r>
            <w:proofErr w:type="spellStart"/>
            <w:r>
              <w:rPr>
                <w:rFonts w:cs="Arial"/>
                <w:i/>
                <w:szCs w:val="20"/>
              </w:rPr>
              <w:t>frontend</w:t>
            </w:r>
            <w:proofErr w:type="spellEnd"/>
            <w:r>
              <w:rPr>
                <w:rFonts w:cs="Arial"/>
                <w:szCs w:val="20"/>
              </w:rPr>
              <w:t xml:space="preserve"> hacia Internet, la cadencia es mensual de la distribución de las actualizaciones de seguridad (erratas) publicadas por el proveedor.</w:t>
            </w:r>
          </w:p>
          <w:p w:rsidR="0022547F" w:rsidRDefault="0022547F" w:rsidP="0022547F">
            <w:pPr>
              <w:pStyle w:val="Vietas"/>
              <w:widowControl/>
              <w:numPr>
                <w:ilvl w:val="0"/>
                <w:numId w:val="22"/>
              </w:numPr>
              <w:suppressAutoHyphens/>
              <w:spacing w:before="0"/>
            </w:pPr>
            <w:r>
              <w:rPr>
                <w:rFonts w:cs="Arial"/>
                <w:szCs w:val="20"/>
              </w:rPr>
              <w:t xml:space="preserve">Para el resto de </w:t>
            </w:r>
            <w:proofErr w:type="spellStart"/>
            <w:r>
              <w:rPr>
                <w:rFonts w:cs="Arial"/>
                <w:i/>
                <w:szCs w:val="20"/>
              </w:rPr>
              <w:t>appliances</w:t>
            </w:r>
            <w:proofErr w:type="spellEnd"/>
            <w:r>
              <w:rPr>
                <w:rFonts w:cs="Arial"/>
                <w:szCs w:val="20"/>
              </w:rPr>
              <w:t xml:space="preserve"> la cadencia es trimestral.</w:t>
            </w:r>
          </w:p>
          <w:p w:rsidR="0022547F" w:rsidRDefault="0022547F" w:rsidP="0022547F">
            <w:pPr>
              <w:pStyle w:val="Vietas"/>
              <w:widowControl/>
              <w:numPr>
                <w:ilvl w:val="0"/>
                <w:numId w:val="22"/>
              </w:numPr>
              <w:suppressAutoHyphens/>
              <w:spacing w:before="0"/>
            </w:pPr>
            <w:r>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22547F" w:rsidRDefault="0022547F" w:rsidP="00E84B44">
            <w:pPr>
              <w:pStyle w:val="Vietas"/>
              <w:numPr>
                <w:ilvl w:val="0"/>
                <w:numId w:val="0"/>
              </w:numPr>
              <w:ind w:left="720"/>
            </w:pPr>
            <w:r>
              <w:rPr>
                <w:rFonts w:cs="Arial"/>
                <w:szCs w:val="20"/>
              </w:rPr>
              <w:t>(Indicar la aceptación de la política de Gobierno de Navarra, o especificar la política de actualización detallando el documento y página de la oferta)</w:t>
            </w:r>
          </w:p>
          <w:p w:rsidR="0022547F" w:rsidRDefault="0022547F" w:rsidP="00E84B44">
            <w:pPr>
              <w:pStyle w:val="Vietas"/>
              <w:numPr>
                <w:ilvl w:val="0"/>
                <w:numId w:val="0"/>
              </w:numPr>
              <w:rPr>
                <w:rFonts w:cs="Arial"/>
                <w:szCs w:val="20"/>
              </w:rPr>
            </w:pP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22547F" w:rsidRDefault="0022547F" w:rsidP="00E84B44">
            <w:pPr>
              <w:pStyle w:val="Vietas"/>
              <w:numPr>
                <w:ilvl w:val="0"/>
                <w:numId w:val="0"/>
              </w:numPr>
              <w:snapToGrid w:val="0"/>
              <w:rPr>
                <w:rFonts w:cs="Arial"/>
                <w:szCs w:val="20"/>
              </w:rPr>
            </w:pPr>
          </w:p>
        </w:tc>
      </w:tr>
    </w:tbl>
    <w:p w:rsidR="0022547F" w:rsidRDefault="0022547F" w:rsidP="0022547F">
      <w:pPr>
        <w:pStyle w:val="Vietas"/>
        <w:numPr>
          <w:ilvl w:val="0"/>
          <w:numId w:val="0"/>
        </w:numPr>
      </w:pPr>
    </w:p>
    <w:p w:rsidR="0022547F" w:rsidRPr="007D25F7" w:rsidRDefault="0022547F" w:rsidP="002D37C0"/>
    <w:sectPr w:rsidR="0022547F" w:rsidRPr="007D25F7" w:rsidSect="002B4C1C">
      <w:headerReference w:type="default" r:id="rId12"/>
      <w:footerReference w:type="default" r:id="rId13"/>
      <w:pgSz w:w="11906" w:h="16838"/>
      <w:pgMar w:top="1134" w:right="1701" w:bottom="719"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9D6" w:rsidRDefault="00A229D6">
      <w:r>
        <w:separator/>
      </w:r>
    </w:p>
  </w:endnote>
  <w:endnote w:type="continuationSeparator" w:id="0">
    <w:p w:rsidR="00A229D6" w:rsidRDefault="00A22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4B04FF" w:rsidTr="00387490">
      <w:trPr>
        <w:trHeight w:val="414"/>
      </w:trPr>
      <w:tc>
        <w:tcPr>
          <w:tcW w:w="6521" w:type="dxa"/>
        </w:tcPr>
        <w:p w:rsidR="004B04FF" w:rsidRPr="00981C36" w:rsidRDefault="004B04FF" w:rsidP="00D16BD2">
          <w:pPr>
            <w:pStyle w:val="Piedepgina"/>
            <w:ind w:right="360"/>
          </w:pPr>
        </w:p>
      </w:tc>
      <w:tc>
        <w:tcPr>
          <w:tcW w:w="1990" w:type="dxa"/>
          <w:vAlign w:val="center"/>
        </w:tcPr>
        <w:p w:rsidR="004B04FF" w:rsidRDefault="004B04FF" w:rsidP="000505D3">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5A66BC">
            <w:rPr>
              <w:rStyle w:val="Nmerodepgina"/>
              <w:noProof/>
            </w:rPr>
            <w:t>2</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5A66BC">
            <w:rPr>
              <w:rStyle w:val="Nmerodepgina"/>
              <w:noProof/>
            </w:rPr>
            <w:t>9</w:t>
          </w:r>
          <w:r w:rsidRPr="005F161D">
            <w:rPr>
              <w:rStyle w:val="Nmerodepgina"/>
            </w:rPr>
            <w:fldChar w:fldCharType="end"/>
          </w:r>
        </w:p>
      </w:tc>
    </w:tr>
  </w:tbl>
  <w:p w:rsidR="004B04FF" w:rsidRDefault="004B04FF" w:rsidP="00BE173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781" w:type="dxa"/>
      <w:tblBorders>
        <w:top w:val="single" w:sz="4" w:space="0" w:color="auto"/>
      </w:tblBorders>
      <w:tblCellMar>
        <w:left w:w="70" w:type="dxa"/>
        <w:right w:w="70" w:type="dxa"/>
      </w:tblCellMar>
      <w:tblLook w:val="0000" w:firstRow="0" w:lastRow="0" w:firstColumn="0" w:lastColumn="0" w:noHBand="0" w:noVBand="0"/>
    </w:tblPr>
    <w:tblGrid>
      <w:gridCol w:w="6521"/>
      <w:gridCol w:w="2835"/>
    </w:tblGrid>
    <w:tr w:rsidR="004B04FF" w:rsidTr="00C03C2E">
      <w:trPr>
        <w:trHeight w:val="414"/>
      </w:trPr>
      <w:tc>
        <w:tcPr>
          <w:tcW w:w="6521" w:type="dxa"/>
        </w:tcPr>
        <w:p w:rsidR="004B04FF" w:rsidRPr="00981C36" w:rsidRDefault="004B04FF" w:rsidP="00336CB6">
          <w:pPr>
            <w:pStyle w:val="Piedepgina"/>
            <w:ind w:right="360"/>
          </w:pPr>
        </w:p>
      </w:tc>
      <w:tc>
        <w:tcPr>
          <w:tcW w:w="2835" w:type="dxa"/>
          <w:vAlign w:val="center"/>
        </w:tcPr>
        <w:p w:rsidR="004B04FF" w:rsidRDefault="004B04FF" w:rsidP="00C03C2E">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5A66BC">
            <w:rPr>
              <w:rStyle w:val="Nmerodepgina"/>
              <w:noProof/>
            </w:rPr>
            <w:t>9</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5A66BC">
            <w:rPr>
              <w:rStyle w:val="Nmerodepgina"/>
              <w:noProof/>
            </w:rPr>
            <w:t>9</w:t>
          </w:r>
          <w:r w:rsidRPr="005F161D">
            <w:rPr>
              <w:rStyle w:val="Nmerodepgina"/>
            </w:rPr>
            <w:fldChar w:fldCharType="end"/>
          </w:r>
        </w:p>
      </w:tc>
    </w:tr>
  </w:tbl>
  <w:p w:rsidR="004B04FF" w:rsidRDefault="004B04FF" w:rsidP="00BE17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9D6" w:rsidRDefault="00A229D6">
      <w:r>
        <w:separator/>
      </w:r>
    </w:p>
  </w:footnote>
  <w:footnote w:type="continuationSeparator" w:id="0">
    <w:p w:rsidR="00A229D6" w:rsidRDefault="00A229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55" w:tblpY="1"/>
      <w:tblOverlap w:val="never"/>
      <w:tblW w:w="8065" w:type="dxa"/>
      <w:tblBorders>
        <w:bottom w:val="single" w:sz="4" w:space="0" w:color="auto"/>
      </w:tblBorders>
      <w:tblCellMar>
        <w:left w:w="70" w:type="dxa"/>
        <w:right w:w="70" w:type="dxa"/>
      </w:tblCellMar>
      <w:tblLook w:val="0000" w:firstRow="0" w:lastRow="0" w:firstColumn="0" w:lastColumn="0" w:noHBand="0" w:noVBand="0"/>
    </w:tblPr>
    <w:tblGrid>
      <w:gridCol w:w="7016"/>
      <w:gridCol w:w="1049"/>
    </w:tblGrid>
    <w:tr w:rsidR="004B04FF" w:rsidTr="00387490">
      <w:trPr>
        <w:trHeight w:val="443"/>
      </w:trPr>
      <w:tc>
        <w:tcPr>
          <w:tcW w:w="7016" w:type="dxa"/>
          <w:vAlign w:val="bottom"/>
        </w:tcPr>
        <w:p w:rsidR="0025216A" w:rsidRDefault="0025216A" w:rsidP="0025216A">
          <w:pPr>
            <w:jc w:val="left"/>
            <w:rPr>
              <w:sz w:val="16"/>
            </w:rPr>
          </w:pPr>
          <w:proofErr w:type="spellStart"/>
          <w:r w:rsidRPr="006950AD">
            <w:rPr>
              <w:sz w:val="16"/>
            </w:rPr>
            <w:t>Informatikaren</w:t>
          </w:r>
          <w:proofErr w:type="spellEnd"/>
          <w:r w:rsidRPr="006950AD">
            <w:rPr>
              <w:sz w:val="16"/>
            </w:rPr>
            <w:t xml:space="preserve">, </w:t>
          </w:r>
          <w:proofErr w:type="spellStart"/>
          <w:r w:rsidRPr="006950AD">
            <w:rPr>
              <w:sz w:val="16"/>
            </w:rPr>
            <w:t>Telekomunikazioen</w:t>
          </w:r>
          <w:proofErr w:type="spellEnd"/>
          <w:r w:rsidRPr="006950AD">
            <w:rPr>
              <w:sz w:val="16"/>
            </w:rPr>
            <w:t xml:space="preserve"> eta </w:t>
          </w:r>
          <w:proofErr w:type="spellStart"/>
          <w:r w:rsidRPr="006950AD">
            <w:rPr>
              <w:sz w:val="16"/>
            </w:rPr>
            <w:t>Berrikuntza</w:t>
          </w:r>
          <w:proofErr w:type="spellEnd"/>
          <w:r w:rsidRPr="006950AD">
            <w:rPr>
              <w:sz w:val="16"/>
            </w:rPr>
            <w:t xml:space="preserve"> </w:t>
          </w:r>
          <w:proofErr w:type="spellStart"/>
          <w:r w:rsidRPr="006950AD">
            <w:rPr>
              <w:sz w:val="16"/>
            </w:rPr>
            <w:t>Publikoaren</w:t>
          </w:r>
          <w:proofErr w:type="spellEnd"/>
          <w:r w:rsidRPr="006950AD">
            <w:rPr>
              <w:sz w:val="16"/>
            </w:rPr>
            <w:t xml:space="preserve"> </w:t>
          </w:r>
          <w:proofErr w:type="spellStart"/>
          <w:r w:rsidRPr="006950AD">
            <w:rPr>
              <w:sz w:val="16"/>
            </w:rPr>
            <w:t>Zuzendaritza</w:t>
          </w:r>
          <w:proofErr w:type="spellEnd"/>
          <w:r w:rsidRPr="006950AD">
            <w:rPr>
              <w:sz w:val="16"/>
            </w:rPr>
            <w:t xml:space="preserve"> </w:t>
          </w:r>
          <w:proofErr w:type="spellStart"/>
          <w:r w:rsidRPr="006950AD">
            <w:rPr>
              <w:sz w:val="16"/>
            </w:rPr>
            <w:t>Nagusia</w:t>
          </w:r>
          <w:proofErr w:type="spellEnd"/>
        </w:p>
        <w:p w:rsidR="004B04FF" w:rsidRPr="00F8646E" w:rsidRDefault="0025216A" w:rsidP="0025216A">
          <w:pPr>
            <w:jc w:val="left"/>
            <w:rPr>
              <w:sz w:val="16"/>
            </w:rPr>
          </w:pPr>
          <w:r w:rsidRPr="00882E17">
            <w:rPr>
              <w:sz w:val="16"/>
            </w:rPr>
            <w:t xml:space="preserve">Dirección </w:t>
          </w:r>
          <w:r>
            <w:rPr>
              <w:sz w:val="16"/>
            </w:rPr>
            <w:t>G</w:t>
          </w:r>
          <w:r w:rsidRPr="00882E17">
            <w:rPr>
              <w:sz w:val="16"/>
            </w:rPr>
            <w:t xml:space="preserve">eneral de </w:t>
          </w:r>
          <w:r>
            <w:rPr>
              <w:sz w:val="16"/>
            </w:rPr>
            <w:t>Informática, Telecomunicaciones e Innovación Pública</w:t>
          </w:r>
        </w:p>
      </w:tc>
      <w:tc>
        <w:tcPr>
          <w:tcW w:w="1049" w:type="dxa"/>
        </w:tcPr>
        <w:p w:rsidR="004B04FF" w:rsidRDefault="004B04FF" w:rsidP="00387490">
          <w:pPr>
            <w:pStyle w:val="Encabezado"/>
            <w:ind w:left="-637" w:firstLine="637"/>
            <w:jc w:val="left"/>
          </w:pPr>
        </w:p>
      </w:tc>
    </w:tr>
  </w:tbl>
  <w:p w:rsidR="004B04FF" w:rsidRDefault="005834BD" w:rsidP="00F8646E">
    <w:pPr>
      <w:pStyle w:val="Encabezado"/>
      <w:spacing w:before="0"/>
      <w:jc w:val="right"/>
    </w:pPr>
    <w:r>
      <w:rPr>
        <w:noProof/>
      </w:rPr>
      <w:drawing>
        <wp:inline distT="0" distB="0" distL="0" distR="0">
          <wp:extent cx="247650" cy="409575"/>
          <wp:effectExtent l="0" t="0" r="0" b="9525"/>
          <wp:docPr id="1" name="Imagen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650" cy="4095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794" w:tblpY="1"/>
      <w:tblOverlap w:val="never"/>
      <w:tblW w:w="8859" w:type="dxa"/>
      <w:tblBorders>
        <w:bottom w:val="single" w:sz="4" w:space="0" w:color="auto"/>
      </w:tblBorders>
      <w:tblCellMar>
        <w:left w:w="70" w:type="dxa"/>
        <w:right w:w="70" w:type="dxa"/>
      </w:tblCellMar>
      <w:tblLook w:val="0000" w:firstRow="0" w:lastRow="0" w:firstColumn="0" w:lastColumn="0" w:noHBand="0" w:noVBand="0"/>
    </w:tblPr>
    <w:tblGrid>
      <w:gridCol w:w="7810"/>
      <w:gridCol w:w="1049"/>
    </w:tblGrid>
    <w:tr w:rsidR="004B04FF" w:rsidTr="00F8646E">
      <w:trPr>
        <w:trHeight w:val="443"/>
      </w:trPr>
      <w:tc>
        <w:tcPr>
          <w:tcW w:w="7810" w:type="dxa"/>
          <w:vAlign w:val="bottom"/>
        </w:tcPr>
        <w:p w:rsidR="0025216A" w:rsidRDefault="0025216A" w:rsidP="0025216A">
          <w:pPr>
            <w:jc w:val="left"/>
            <w:rPr>
              <w:sz w:val="16"/>
            </w:rPr>
          </w:pPr>
          <w:proofErr w:type="spellStart"/>
          <w:r w:rsidRPr="006950AD">
            <w:rPr>
              <w:sz w:val="16"/>
            </w:rPr>
            <w:t>Informatikaren</w:t>
          </w:r>
          <w:proofErr w:type="spellEnd"/>
          <w:r w:rsidRPr="006950AD">
            <w:rPr>
              <w:sz w:val="16"/>
            </w:rPr>
            <w:t xml:space="preserve">, </w:t>
          </w:r>
          <w:proofErr w:type="spellStart"/>
          <w:r w:rsidRPr="006950AD">
            <w:rPr>
              <w:sz w:val="16"/>
            </w:rPr>
            <w:t>Telekomunikazioen</w:t>
          </w:r>
          <w:proofErr w:type="spellEnd"/>
          <w:r w:rsidRPr="006950AD">
            <w:rPr>
              <w:sz w:val="16"/>
            </w:rPr>
            <w:t xml:space="preserve"> eta </w:t>
          </w:r>
          <w:proofErr w:type="spellStart"/>
          <w:r w:rsidRPr="006950AD">
            <w:rPr>
              <w:sz w:val="16"/>
            </w:rPr>
            <w:t>Berrikuntza</w:t>
          </w:r>
          <w:proofErr w:type="spellEnd"/>
          <w:r w:rsidRPr="006950AD">
            <w:rPr>
              <w:sz w:val="16"/>
            </w:rPr>
            <w:t xml:space="preserve"> </w:t>
          </w:r>
          <w:proofErr w:type="spellStart"/>
          <w:r w:rsidRPr="006950AD">
            <w:rPr>
              <w:sz w:val="16"/>
            </w:rPr>
            <w:t>Publikoaren</w:t>
          </w:r>
          <w:proofErr w:type="spellEnd"/>
          <w:r w:rsidRPr="006950AD">
            <w:rPr>
              <w:sz w:val="16"/>
            </w:rPr>
            <w:t xml:space="preserve"> </w:t>
          </w:r>
          <w:proofErr w:type="spellStart"/>
          <w:r w:rsidRPr="006950AD">
            <w:rPr>
              <w:sz w:val="16"/>
            </w:rPr>
            <w:t>Zuzendaritza</w:t>
          </w:r>
          <w:proofErr w:type="spellEnd"/>
          <w:r w:rsidRPr="006950AD">
            <w:rPr>
              <w:sz w:val="16"/>
            </w:rPr>
            <w:t xml:space="preserve"> </w:t>
          </w:r>
          <w:proofErr w:type="spellStart"/>
          <w:r w:rsidRPr="006950AD">
            <w:rPr>
              <w:sz w:val="16"/>
            </w:rPr>
            <w:t>Nagusia</w:t>
          </w:r>
          <w:proofErr w:type="spellEnd"/>
        </w:p>
        <w:p w:rsidR="004B04FF" w:rsidRPr="00F8646E" w:rsidRDefault="0025216A" w:rsidP="0025216A">
          <w:pPr>
            <w:jc w:val="left"/>
            <w:rPr>
              <w:sz w:val="16"/>
            </w:rPr>
          </w:pPr>
          <w:r w:rsidRPr="00882E17">
            <w:rPr>
              <w:sz w:val="16"/>
            </w:rPr>
            <w:t xml:space="preserve">Dirección </w:t>
          </w:r>
          <w:r>
            <w:rPr>
              <w:sz w:val="16"/>
            </w:rPr>
            <w:t>G</w:t>
          </w:r>
          <w:r w:rsidRPr="00882E17">
            <w:rPr>
              <w:sz w:val="16"/>
            </w:rPr>
            <w:t xml:space="preserve">eneral de </w:t>
          </w:r>
          <w:r>
            <w:rPr>
              <w:sz w:val="16"/>
            </w:rPr>
            <w:t>Informática, Telecomunicaciones e Innovación Pública</w:t>
          </w:r>
        </w:p>
      </w:tc>
      <w:tc>
        <w:tcPr>
          <w:tcW w:w="1049" w:type="dxa"/>
        </w:tcPr>
        <w:p w:rsidR="004B04FF" w:rsidRDefault="004B04FF" w:rsidP="00F8646E">
          <w:pPr>
            <w:pStyle w:val="Encabezado"/>
            <w:ind w:left="-637" w:firstLine="637"/>
            <w:jc w:val="left"/>
          </w:pPr>
        </w:p>
      </w:tc>
    </w:tr>
  </w:tbl>
  <w:p w:rsidR="004B04FF" w:rsidRDefault="005834BD" w:rsidP="00F8646E">
    <w:pPr>
      <w:pStyle w:val="Encabezado"/>
      <w:spacing w:before="0"/>
      <w:jc w:val="right"/>
    </w:pPr>
    <w:r>
      <w:rPr>
        <w:noProof/>
      </w:rPr>
      <w:drawing>
        <wp:inline distT="0" distB="0" distL="0" distR="0" wp14:anchorId="4C4C03DF" wp14:editId="1B3D563C">
          <wp:extent cx="247650" cy="409575"/>
          <wp:effectExtent l="0" t="0" r="0" b="9525"/>
          <wp:docPr id="2" name="Imagen 2"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650"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624"/>
        </w:tabs>
        <w:ind w:left="624" w:hanging="284"/>
      </w:pPr>
      <w:rPr>
        <w:rFonts w:ascii="Wingdings" w:hAnsi="Wingdings" w:cs="Wingdings"/>
        <w:color w:val="4D4D4D"/>
      </w:rPr>
    </w:lvl>
    <w:lvl w:ilvl="1">
      <w:start w:val="1"/>
      <w:numFmt w:val="bullet"/>
      <w:lvlText w:val=""/>
      <w:lvlJc w:val="left"/>
      <w:pPr>
        <w:tabs>
          <w:tab w:val="num" w:pos="1247"/>
        </w:tabs>
        <w:ind w:left="1247" w:hanging="283"/>
      </w:pPr>
      <w:rPr>
        <w:rFonts w:ascii="Symbol" w:hAnsi="Symbol" w:cs="Symbol"/>
        <w:color w:val="808080"/>
      </w:rPr>
    </w:lvl>
    <w:lvl w:ilvl="2">
      <w:start w:val="1"/>
      <w:numFmt w:val="bullet"/>
      <w:lvlText w:val=""/>
      <w:lvlJc w:val="left"/>
      <w:pPr>
        <w:tabs>
          <w:tab w:val="num" w:pos="1871"/>
        </w:tabs>
        <w:ind w:left="1871" w:hanging="283"/>
      </w:pPr>
      <w:rPr>
        <w:rFonts w:ascii="Wingdings 2" w:hAnsi="Wingdings 2" w:cs="Wingdings 2"/>
        <w:color w:val="999999"/>
      </w:rPr>
    </w:lvl>
    <w:lvl w:ilvl="3">
      <w:start w:val="1"/>
      <w:numFmt w:val="bullet"/>
      <w:lvlText w:val=""/>
      <w:lvlJc w:val="left"/>
      <w:pPr>
        <w:tabs>
          <w:tab w:val="num" w:pos="2495"/>
        </w:tabs>
        <w:ind w:left="2495" w:hanging="284"/>
      </w:pPr>
      <w:rPr>
        <w:rFonts w:ascii="Wingdings 2" w:hAnsi="Wingdings 2" w:cs="Wingdings 2"/>
        <w:color w:val="C0C0C0"/>
      </w:rPr>
    </w:lvl>
    <w:lvl w:ilvl="4">
      <w:start w:val="1"/>
      <w:numFmt w:val="bullet"/>
      <w:lvlText w:val="o"/>
      <w:lvlJc w:val="left"/>
      <w:pPr>
        <w:tabs>
          <w:tab w:val="num" w:pos="3119"/>
        </w:tabs>
        <w:ind w:left="3119" w:hanging="284"/>
      </w:pPr>
      <w:rPr>
        <w:rFonts w:ascii="Symbol" w:hAnsi="Symbol" w:cs="Symbol"/>
        <w:color w:val="999999"/>
        <w:sz w:val="14"/>
      </w:rPr>
    </w:lvl>
    <w:lvl w:ilvl="5">
      <w:start w:val="1"/>
      <w:numFmt w:val="bullet"/>
      <w:lvlText w:val=""/>
      <w:lvlJc w:val="left"/>
      <w:pPr>
        <w:tabs>
          <w:tab w:val="num" w:pos="3742"/>
        </w:tabs>
        <w:ind w:left="3742" w:hanging="283"/>
      </w:pPr>
      <w:rPr>
        <w:rFonts w:ascii="Wingdings" w:hAnsi="Wingdings" w:cs="Wingdings"/>
      </w:rPr>
    </w:lvl>
    <w:lvl w:ilvl="6">
      <w:start w:val="1"/>
      <w:numFmt w:val="bullet"/>
      <w:lvlText w:val=""/>
      <w:lvlJc w:val="left"/>
      <w:pPr>
        <w:tabs>
          <w:tab w:val="num" w:pos="4366"/>
        </w:tabs>
        <w:ind w:left="4366" w:hanging="284"/>
      </w:pPr>
      <w:rPr>
        <w:rFonts w:ascii="Symbol" w:hAnsi="Symbol" w:cs="Symbol"/>
      </w:rPr>
    </w:lvl>
    <w:lvl w:ilvl="7">
      <w:start w:val="1"/>
      <w:numFmt w:val="bullet"/>
      <w:lvlText w:val="o"/>
      <w:lvlJc w:val="left"/>
      <w:pPr>
        <w:tabs>
          <w:tab w:val="num" w:pos="4990"/>
        </w:tabs>
        <w:ind w:left="4990" w:hanging="284"/>
      </w:pPr>
      <w:rPr>
        <w:rFonts w:ascii="Courier New" w:hAnsi="Courier New" w:cs="Courier New"/>
      </w:rPr>
    </w:lvl>
    <w:lvl w:ilvl="8">
      <w:start w:val="1"/>
      <w:numFmt w:val="bullet"/>
      <w:lvlText w:val=""/>
      <w:lvlJc w:val="left"/>
      <w:pPr>
        <w:tabs>
          <w:tab w:val="num" w:pos="5670"/>
        </w:tabs>
        <w:ind w:left="5670" w:hanging="283"/>
      </w:pPr>
      <w:rPr>
        <w:rFonts w:ascii="Wingdings" w:hAnsi="Wingdings" w:cs="Wingdings"/>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0"/>
        <w:szCs w:val="20"/>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0"/>
        <w:szCs w:val="20"/>
      </w:rPr>
    </w:lvl>
  </w:abstractNum>
  <w:abstractNum w:abstractNumId="4"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0"/>
        <w:szCs w:val="20"/>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0"/>
        <w:szCs w:val="20"/>
      </w:rPr>
    </w:lvl>
  </w:abstractNum>
  <w:abstractNum w:abstractNumId="6"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0"/>
        <w:szCs w:val="20"/>
      </w:rPr>
    </w:lvl>
    <w:lvl w:ilvl="4">
      <w:start w:val="1"/>
      <w:numFmt w:val="bullet"/>
      <w:lvlText w:val="o"/>
      <w:lvlJc w:val="left"/>
      <w:pPr>
        <w:tabs>
          <w:tab w:val="num" w:pos="0"/>
        </w:tabs>
        <w:ind w:left="3600" w:hanging="360"/>
      </w:pPr>
      <w:rPr>
        <w:rFonts w:ascii="Courier New" w:hAnsi="Courier New" w:cs="Courier New" w:hint="default"/>
        <w:sz w:val="20"/>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0"/>
        <w:szCs w:val="20"/>
      </w:rPr>
    </w:lvl>
    <w:lvl w:ilvl="7">
      <w:start w:val="1"/>
      <w:numFmt w:val="bullet"/>
      <w:lvlText w:val="o"/>
      <w:lvlJc w:val="left"/>
      <w:pPr>
        <w:tabs>
          <w:tab w:val="num" w:pos="0"/>
        </w:tabs>
        <w:ind w:left="5760" w:hanging="360"/>
      </w:pPr>
      <w:rPr>
        <w:rFonts w:ascii="Courier New" w:hAnsi="Courier New" w:cs="Courier New" w:hint="default"/>
        <w:sz w:val="20"/>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4A3C5A"/>
    <w:multiLevelType w:val="hybridMultilevel"/>
    <w:tmpl w:val="7CB0D7F8"/>
    <w:lvl w:ilvl="0" w:tplc="938872EE">
      <w:start w:val="1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5651CEB"/>
    <w:multiLevelType w:val="hybridMultilevel"/>
    <w:tmpl w:val="96888CF8"/>
    <w:lvl w:ilvl="0" w:tplc="6186AAA0">
      <w:start w:val="1"/>
      <w:numFmt w:val="bullet"/>
      <w:lvlText w:val=""/>
      <w:lvlJc w:val="left"/>
      <w:pPr>
        <w:tabs>
          <w:tab w:val="num" w:pos="714"/>
        </w:tabs>
        <w:ind w:left="714" w:hanging="357"/>
      </w:pPr>
      <w:rPr>
        <w:rFonts w:ascii="Wingdings" w:hAnsi="Wingdings" w:hint="default"/>
        <w:color w:val="333333"/>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85274FA"/>
    <w:multiLevelType w:val="multilevel"/>
    <w:tmpl w:val="D03C4B64"/>
    <w:numStyleLink w:val="EstiloConvietas"/>
  </w:abstractNum>
  <w:abstractNum w:abstractNumId="11" w15:restartNumberingAfterBreak="0">
    <w:nsid w:val="0A9E05FF"/>
    <w:multiLevelType w:val="hybridMultilevel"/>
    <w:tmpl w:val="65E227F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110B0126"/>
    <w:multiLevelType w:val="hybridMultilevel"/>
    <w:tmpl w:val="7730CE78"/>
    <w:lvl w:ilvl="0" w:tplc="5074FE42">
      <w:start w:val="1"/>
      <w:numFmt w:val="bullet"/>
      <w:lvlText w:val=""/>
      <w:lvlJc w:val="left"/>
      <w:pPr>
        <w:tabs>
          <w:tab w:val="num" w:pos="-74"/>
        </w:tabs>
        <w:ind w:left="-74" w:hanging="360"/>
      </w:pPr>
      <w:rPr>
        <w:rFonts w:ascii="Wingdings" w:hAnsi="Wingdings" w:hint="default"/>
        <w:color w:val="4D4D4D"/>
      </w:rPr>
    </w:lvl>
    <w:lvl w:ilvl="1" w:tplc="0C0A0003" w:tentative="1">
      <w:start w:val="1"/>
      <w:numFmt w:val="bullet"/>
      <w:lvlText w:val="o"/>
      <w:lvlJc w:val="left"/>
      <w:pPr>
        <w:tabs>
          <w:tab w:val="num" w:pos="646"/>
        </w:tabs>
        <w:ind w:left="646" w:hanging="360"/>
      </w:pPr>
      <w:rPr>
        <w:rFonts w:ascii="Courier New" w:hAnsi="Courier New" w:cs="Courier New" w:hint="default"/>
      </w:rPr>
    </w:lvl>
    <w:lvl w:ilvl="2" w:tplc="0C0A0005" w:tentative="1">
      <w:start w:val="1"/>
      <w:numFmt w:val="bullet"/>
      <w:lvlText w:val=""/>
      <w:lvlJc w:val="left"/>
      <w:pPr>
        <w:tabs>
          <w:tab w:val="num" w:pos="1366"/>
        </w:tabs>
        <w:ind w:left="1366" w:hanging="360"/>
      </w:pPr>
      <w:rPr>
        <w:rFonts w:ascii="Wingdings" w:hAnsi="Wingdings" w:hint="default"/>
      </w:rPr>
    </w:lvl>
    <w:lvl w:ilvl="3" w:tplc="0C0A0001" w:tentative="1">
      <w:start w:val="1"/>
      <w:numFmt w:val="bullet"/>
      <w:lvlText w:val=""/>
      <w:lvlJc w:val="left"/>
      <w:pPr>
        <w:tabs>
          <w:tab w:val="num" w:pos="2086"/>
        </w:tabs>
        <w:ind w:left="2086" w:hanging="360"/>
      </w:pPr>
      <w:rPr>
        <w:rFonts w:ascii="Symbol" w:hAnsi="Symbol" w:hint="default"/>
      </w:rPr>
    </w:lvl>
    <w:lvl w:ilvl="4" w:tplc="0C0A0003" w:tentative="1">
      <w:start w:val="1"/>
      <w:numFmt w:val="bullet"/>
      <w:lvlText w:val="o"/>
      <w:lvlJc w:val="left"/>
      <w:pPr>
        <w:tabs>
          <w:tab w:val="num" w:pos="2806"/>
        </w:tabs>
        <w:ind w:left="2806" w:hanging="360"/>
      </w:pPr>
      <w:rPr>
        <w:rFonts w:ascii="Courier New" w:hAnsi="Courier New" w:cs="Courier New" w:hint="default"/>
      </w:rPr>
    </w:lvl>
    <w:lvl w:ilvl="5" w:tplc="0C0A0005" w:tentative="1">
      <w:start w:val="1"/>
      <w:numFmt w:val="bullet"/>
      <w:lvlText w:val=""/>
      <w:lvlJc w:val="left"/>
      <w:pPr>
        <w:tabs>
          <w:tab w:val="num" w:pos="3526"/>
        </w:tabs>
        <w:ind w:left="3526" w:hanging="360"/>
      </w:pPr>
      <w:rPr>
        <w:rFonts w:ascii="Wingdings" w:hAnsi="Wingdings" w:hint="default"/>
      </w:rPr>
    </w:lvl>
    <w:lvl w:ilvl="6" w:tplc="0C0A0001" w:tentative="1">
      <w:start w:val="1"/>
      <w:numFmt w:val="bullet"/>
      <w:lvlText w:val=""/>
      <w:lvlJc w:val="left"/>
      <w:pPr>
        <w:tabs>
          <w:tab w:val="num" w:pos="4246"/>
        </w:tabs>
        <w:ind w:left="4246" w:hanging="360"/>
      </w:pPr>
      <w:rPr>
        <w:rFonts w:ascii="Symbol" w:hAnsi="Symbol" w:hint="default"/>
      </w:rPr>
    </w:lvl>
    <w:lvl w:ilvl="7" w:tplc="0C0A0003" w:tentative="1">
      <w:start w:val="1"/>
      <w:numFmt w:val="bullet"/>
      <w:lvlText w:val="o"/>
      <w:lvlJc w:val="left"/>
      <w:pPr>
        <w:tabs>
          <w:tab w:val="num" w:pos="4966"/>
        </w:tabs>
        <w:ind w:left="4966" w:hanging="360"/>
      </w:pPr>
      <w:rPr>
        <w:rFonts w:ascii="Courier New" w:hAnsi="Courier New" w:cs="Courier New" w:hint="default"/>
      </w:rPr>
    </w:lvl>
    <w:lvl w:ilvl="8" w:tplc="0C0A0005" w:tentative="1">
      <w:start w:val="1"/>
      <w:numFmt w:val="bullet"/>
      <w:lvlText w:val=""/>
      <w:lvlJc w:val="left"/>
      <w:pPr>
        <w:tabs>
          <w:tab w:val="num" w:pos="5686"/>
        </w:tabs>
        <w:ind w:left="5686" w:hanging="360"/>
      </w:pPr>
      <w:rPr>
        <w:rFonts w:ascii="Wingdings" w:hAnsi="Wingdings" w:hint="default"/>
      </w:rPr>
    </w:lvl>
  </w:abstractNum>
  <w:abstractNum w:abstractNumId="13" w15:restartNumberingAfterBreak="0">
    <w:nsid w:val="182F713B"/>
    <w:multiLevelType w:val="multilevel"/>
    <w:tmpl w:val="D03C4B64"/>
    <w:numStyleLink w:val="EstiloConvietas"/>
  </w:abstractNum>
  <w:abstractNum w:abstractNumId="14" w15:restartNumberingAfterBreak="0">
    <w:nsid w:val="1A877362"/>
    <w:multiLevelType w:val="multilevel"/>
    <w:tmpl w:val="C75EE232"/>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22AF4171"/>
    <w:multiLevelType w:val="multilevel"/>
    <w:tmpl w:val="D03C4B64"/>
    <w:numStyleLink w:val="EstiloConvietas"/>
  </w:abstractNum>
  <w:abstractNum w:abstractNumId="16" w15:restartNumberingAfterBreak="0">
    <w:nsid w:val="25990C86"/>
    <w:multiLevelType w:val="hybridMultilevel"/>
    <w:tmpl w:val="53F0A7D4"/>
    <w:lvl w:ilvl="0" w:tplc="5074FE42">
      <w:start w:val="1"/>
      <w:numFmt w:val="bullet"/>
      <w:lvlText w:val=""/>
      <w:lvlJc w:val="left"/>
      <w:pPr>
        <w:tabs>
          <w:tab w:val="num" w:pos="-74"/>
        </w:tabs>
        <w:ind w:left="-74" w:hanging="360"/>
      </w:pPr>
      <w:rPr>
        <w:rFonts w:ascii="Wingdings" w:hAnsi="Wingdings" w:hint="default"/>
        <w:color w:val="4D4D4D"/>
      </w:rPr>
    </w:lvl>
    <w:lvl w:ilvl="1" w:tplc="0C0A0003" w:tentative="1">
      <w:start w:val="1"/>
      <w:numFmt w:val="bullet"/>
      <w:lvlText w:val="o"/>
      <w:lvlJc w:val="left"/>
      <w:pPr>
        <w:tabs>
          <w:tab w:val="num" w:pos="646"/>
        </w:tabs>
        <w:ind w:left="646" w:hanging="360"/>
      </w:pPr>
      <w:rPr>
        <w:rFonts w:ascii="Courier New" w:hAnsi="Courier New" w:cs="Courier New" w:hint="default"/>
      </w:rPr>
    </w:lvl>
    <w:lvl w:ilvl="2" w:tplc="0C0A0005" w:tentative="1">
      <w:start w:val="1"/>
      <w:numFmt w:val="bullet"/>
      <w:lvlText w:val=""/>
      <w:lvlJc w:val="left"/>
      <w:pPr>
        <w:tabs>
          <w:tab w:val="num" w:pos="1366"/>
        </w:tabs>
        <w:ind w:left="1366" w:hanging="360"/>
      </w:pPr>
      <w:rPr>
        <w:rFonts w:ascii="Wingdings" w:hAnsi="Wingdings" w:hint="default"/>
      </w:rPr>
    </w:lvl>
    <w:lvl w:ilvl="3" w:tplc="0C0A0001" w:tentative="1">
      <w:start w:val="1"/>
      <w:numFmt w:val="bullet"/>
      <w:lvlText w:val=""/>
      <w:lvlJc w:val="left"/>
      <w:pPr>
        <w:tabs>
          <w:tab w:val="num" w:pos="2086"/>
        </w:tabs>
        <w:ind w:left="2086" w:hanging="360"/>
      </w:pPr>
      <w:rPr>
        <w:rFonts w:ascii="Symbol" w:hAnsi="Symbol" w:hint="default"/>
      </w:rPr>
    </w:lvl>
    <w:lvl w:ilvl="4" w:tplc="0C0A0003" w:tentative="1">
      <w:start w:val="1"/>
      <w:numFmt w:val="bullet"/>
      <w:lvlText w:val="o"/>
      <w:lvlJc w:val="left"/>
      <w:pPr>
        <w:tabs>
          <w:tab w:val="num" w:pos="2806"/>
        </w:tabs>
        <w:ind w:left="2806" w:hanging="360"/>
      </w:pPr>
      <w:rPr>
        <w:rFonts w:ascii="Courier New" w:hAnsi="Courier New" w:cs="Courier New" w:hint="default"/>
      </w:rPr>
    </w:lvl>
    <w:lvl w:ilvl="5" w:tplc="0C0A0005" w:tentative="1">
      <w:start w:val="1"/>
      <w:numFmt w:val="bullet"/>
      <w:lvlText w:val=""/>
      <w:lvlJc w:val="left"/>
      <w:pPr>
        <w:tabs>
          <w:tab w:val="num" w:pos="3526"/>
        </w:tabs>
        <w:ind w:left="3526" w:hanging="360"/>
      </w:pPr>
      <w:rPr>
        <w:rFonts w:ascii="Wingdings" w:hAnsi="Wingdings" w:hint="default"/>
      </w:rPr>
    </w:lvl>
    <w:lvl w:ilvl="6" w:tplc="0C0A0001" w:tentative="1">
      <w:start w:val="1"/>
      <w:numFmt w:val="bullet"/>
      <w:lvlText w:val=""/>
      <w:lvlJc w:val="left"/>
      <w:pPr>
        <w:tabs>
          <w:tab w:val="num" w:pos="4246"/>
        </w:tabs>
        <w:ind w:left="4246" w:hanging="360"/>
      </w:pPr>
      <w:rPr>
        <w:rFonts w:ascii="Symbol" w:hAnsi="Symbol" w:hint="default"/>
      </w:rPr>
    </w:lvl>
    <w:lvl w:ilvl="7" w:tplc="0C0A0003" w:tentative="1">
      <w:start w:val="1"/>
      <w:numFmt w:val="bullet"/>
      <w:lvlText w:val="o"/>
      <w:lvlJc w:val="left"/>
      <w:pPr>
        <w:tabs>
          <w:tab w:val="num" w:pos="4966"/>
        </w:tabs>
        <w:ind w:left="4966" w:hanging="360"/>
      </w:pPr>
      <w:rPr>
        <w:rFonts w:ascii="Courier New" w:hAnsi="Courier New" w:cs="Courier New" w:hint="default"/>
      </w:rPr>
    </w:lvl>
    <w:lvl w:ilvl="8" w:tplc="0C0A0005" w:tentative="1">
      <w:start w:val="1"/>
      <w:numFmt w:val="bullet"/>
      <w:lvlText w:val=""/>
      <w:lvlJc w:val="left"/>
      <w:pPr>
        <w:tabs>
          <w:tab w:val="num" w:pos="5686"/>
        </w:tabs>
        <w:ind w:left="5686" w:hanging="360"/>
      </w:pPr>
      <w:rPr>
        <w:rFonts w:ascii="Wingdings" w:hAnsi="Wingdings" w:hint="default"/>
      </w:rPr>
    </w:lvl>
  </w:abstractNum>
  <w:abstractNum w:abstractNumId="17" w15:restartNumberingAfterBreak="0">
    <w:nsid w:val="2EE12815"/>
    <w:multiLevelType w:val="hybridMultilevel"/>
    <w:tmpl w:val="CFEC1D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17E36D5"/>
    <w:multiLevelType w:val="multilevel"/>
    <w:tmpl w:val="D03C4B64"/>
    <w:numStyleLink w:val="EstiloConvietas"/>
  </w:abstractNum>
  <w:abstractNum w:abstractNumId="19" w15:restartNumberingAfterBreak="0">
    <w:nsid w:val="478A3859"/>
    <w:multiLevelType w:val="multilevel"/>
    <w:tmpl w:val="D03C4B64"/>
    <w:numStyleLink w:val="EstiloConvietas"/>
  </w:abstractNum>
  <w:abstractNum w:abstractNumId="20" w15:restartNumberingAfterBreak="0">
    <w:nsid w:val="4836042E"/>
    <w:multiLevelType w:val="multilevel"/>
    <w:tmpl w:val="D03C4B64"/>
    <w:numStyleLink w:val="EstiloConvietas"/>
  </w:abstractNum>
  <w:abstractNum w:abstractNumId="21" w15:restartNumberingAfterBreak="0">
    <w:nsid w:val="54FD31CC"/>
    <w:multiLevelType w:val="multilevel"/>
    <w:tmpl w:val="D03C4B64"/>
    <w:styleLink w:val="EstiloConvietas"/>
    <w:lvl w:ilvl="0">
      <w:start w:val="1"/>
      <w:numFmt w:val="bullet"/>
      <w:pStyle w:val="Vietas"/>
      <w:lvlText w:val=""/>
      <w:lvlJc w:val="left"/>
      <w:pPr>
        <w:tabs>
          <w:tab w:val="num" w:pos="2836"/>
        </w:tabs>
        <w:ind w:left="2836"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22" w15:restartNumberingAfterBreak="0">
    <w:nsid w:val="5819793C"/>
    <w:multiLevelType w:val="multilevel"/>
    <w:tmpl w:val="D03C4B64"/>
    <w:numStyleLink w:val="EstiloConvietas"/>
  </w:abstractNum>
  <w:abstractNum w:abstractNumId="23" w15:restartNumberingAfterBreak="0">
    <w:nsid w:val="5DF82DB5"/>
    <w:multiLevelType w:val="multilevel"/>
    <w:tmpl w:val="D03C4B64"/>
    <w:numStyleLink w:val="EstiloConvietas"/>
  </w:abstractNum>
  <w:abstractNum w:abstractNumId="24" w15:restartNumberingAfterBreak="0">
    <w:nsid w:val="6150130F"/>
    <w:multiLevelType w:val="multilevel"/>
    <w:tmpl w:val="D03C4B64"/>
    <w:numStyleLink w:val="EstiloConvietas"/>
  </w:abstractNum>
  <w:abstractNum w:abstractNumId="25" w15:restartNumberingAfterBreak="0">
    <w:nsid w:val="7F7B56FA"/>
    <w:multiLevelType w:val="hybridMultilevel"/>
    <w:tmpl w:val="0BF2B3C0"/>
    <w:lvl w:ilvl="0" w:tplc="8AF8EAB6">
      <w:start w:val="1"/>
      <w:numFmt w:val="decimal"/>
      <w:pStyle w:val="Anexo1"/>
      <w:lvlText w:val="Anexo %1."/>
      <w:lvlJc w:val="left"/>
      <w:pPr>
        <w:ind w:left="-74" w:hanging="360"/>
      </w:pPr>
      <w:rPr>
        <w:rFonts w:hint="default"/>
      </w:rPr>
    </w:lvl>
    <w:lvl w:ilvl="1" w:tplc="0C0A0019" w:tentative="1">
      <w:start w:val="1"/>
      <w:numFmt w:val="lowerLetter"/>
      <w:lvlText w:val="%2."/>
      <w:lvlJc w:val="left"/>
      <w:pPr>
        <w:ind w:left="646" w:hanging="360"/>
      </w:pPr>
    </w:lvl>
    <w:lvl w:ilvl="2" w:tplc="0C0A001B" w:tentative="1">
      <w:start w:val="1"/>
      <w:numFmt w:val="lowerRoman"/>
      <w:lvlText w:val="%3."/>
      <w:lvlJc w:val="right"/>
      <w:pPr>
        <w:ind w:left="1366" w:hanging="180"/>
      </w:pPr>
    </w:lvl>
    <w:lvl w:ilvl="3" w:tplc="0C0A000F" w:tentative="1">
      <w:start w:val="1"/>
      <w:numFmt w:val="decimal"/>
      <w:lvlText w:val="%4."/>
      <w:lvlJc w:val="left"/>
      <w:pPr>
        <w:ind w:left="2086" w:hanging="360"/>
      </w:pPr>
    </w:lvl>
    <w:lvl w:ilvl="4" w:tplc="0C0A0019" w:tentative="1">
      <w:start w:val="1"/>
      <w:numFmt w:val="lowerLetter"/>
      <w:lvlText w:val="%5."/>
      <w:lvlJc w:val="left"/>
      <w:pPr>
        <w:ind w:left="2806" w:hanging="360"/>
      </w:pPr>
    </w:lvl>
    <w:lvl w:ilvl="5" w:tplc="0C0A001B" w:tentative="1">
      <w:start w:val="1"/>
      <w:numFmt w:val="lowerRoman"/>
      <w:lvlText w:val="%6."/>
      <w:lvlJc w:val="right"/>
      <w:pPr>
        <w:ind w:left="3526" w:hanging="180"/>
      </w:pPr>
    </w:lvl>
    <w:lvl w:ilvl="6" w:tplc="0C0A000F" w:tentative="1">
      <w:start w:val="1"/>
      <w:numFmt w:val="decimal"/>
      <w:lvlText w:val="%7."/>
      <w:lvlJc w:val="left"/>
      <w:pPr>
        <w:ind w:left="4246" w:hanging="360"/>
      </w:pPr>
    </w:lvl>
    <w:lvl w:ilvl="7" w:tplc="0C0A0019" w:tentative="1">
      <w:start w:val="1"/>
      <w:numFmt w:val="lowerLetter"/>
      <w:lvlText w:val="%8."/>
      <w:lvlJc w:val="left"/>
      <w:pPr>
        <w:ind w:left="4966" w:hanging="360"/>
      </w:pPr>
    </w:lvl>
    <w:lvl w:ilvl="8" w:tplc="0C0A001B" w:tentative="1">
      <w:start w:val="1"/>
      <w:numFmt w:val="lowerRoman"/>
      <w:lvlText w:val="%9."/>
      <w:lvlJc w:val="right"/>
      <w:pPr>
        <w:ind w:left="5686" w:hanging="180"/>
      </w:pPr>
    </w:lvl>
  </w:abstractNum>
  <w:num w:numId="1">
    <w:abstractNumId w:val="14"/>
  </w:num>
  <w:num w:numId="2">
    <w:abstractNumId w:val="21"/>
  </w:num>
  <w:num w:numId="3">
    <w:abstractNumId w:val="13"/>
  </w:num>
  <w:num w:numId="4">
    <w:abstractNumId w:val="18"/>
  </w:num>
  <w:num w:numId="5">
    <w:abstractNumId w:val="12"/>
  </w:num>
  <w:num w:numId="6">
    <w:abstractNumId w:val="16"/>
  </w:num>
  <w:num w:numId="7">
    <w:abstractNumId w:val="19"/>
  </w:num>
  <w:num w:numId="8">
    <w:abstractNumId w:val="9"/>
  </w:num>
  <w:num w:numId="9">
    <w:abstractNumId w:val="15"/>
  </w:num>
  <w:num w:numId="10">
    <w:abstractNumId w:val="10"/>
  </w:num>
  <w:num w:numId="11">
    <w:abstractNumId w:val="22"/>
  </w:num>
  <w:num w:numId="12">
    <w:abstractNumId w:val="23"/>
  </w:num>
  <w:num w:numId="13">
    <w:abstractNumId w:val="20"/>
  </w:num>
  <w:num w:numId="14">
    <w:abstractNumId w:val="24"/>
  </w:num>
  <w:num w:numId="15">
    <w:abstractNumId w:val="17"/>
  </w:num>
  <w:num w:numId="16">
    <w:abstractNumId w:val="8"/>
  </w:num>
  <w:num w:numId="17">
    <w:abstractNumId w:val="25"/>
  </w:num>
  <w:num w:numId="18">
    <w:abstractNumId w:val="0"/>
  </w:num>
  <w:num w:numId="19">
    <w:abstractNumId w:val="1"/>
  </w:num>
  <w:num w:numId="20">
    <w:abstractNumId w:val="2"/>
  </w:num>
  <w:num w:numId="21">
    <w:abstractNumId w:val="3"/>
  </w:num>
  <w:num w:numId="22">
    <w:abstractNumId w:val="4"/>
  </w:num>
  <w:num w:numId="23">
    <w:abstractNumId w:val="5"/>
  </w:num>
  <w:num w:numId="24">
    <w:abstractNumId w:val="6"/>
  </w:num>
  <w:num w:numId="25">
    <w:abstractNumId w:val="7"/>
  </w:num>
  <w:num w:numId="26">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4BD"/>
    <w:rsid w:val="0000721F"/>
    <w:rsid w:val="00010A55"/>
    <w:rsid w:val="00015F89"/>
    <w:rsid w:val="0002305E"/>
    <w:rsid w:val="000233F3"/>
    <w:rsid w:val="00024636"/>
    <w:rsid w:val="00035412"/>
    <w:rsid w:val="00035C0B"/>
    <w:rsid w:val="00047976"/>
    <w:rsid w:val="000505D3"/>
    <w:rsid w:val="0005257E"/>
    <w:rsid w:val="00084223"/>
    <w:rsid w:val="00087F2A"/>
    <w:rsid w:val="00096D47"/>
    <w:rsid w:val="000A57DC"/>
    <w:rsid w:val="000A7ACA"/>
    <w:rsid w:val="000D0ACC"/>
    <w:rsid w:val="000D1DD5"/>
    <w:rsid w:val="000E0159"/>
    <w:rsid w:val="000F51AA"/>
    <w:rsid w:val="000F5F91"/>
    <w:rsid w:val="00102BD2"/>
    <w:rsid w:val="00115384"/>
    <w:rsid w:val="001336C3"/>
    <w:rsid w:val="00136410"/>
    <w:rsid w:val="00137D79"/>
    <w:rsid w:val="00156E09"/>
    <w:rsid w:val="00161C45"/>
    <w:rsid w:val="00164F4D"/>
    <w:rsid w:val="00166E7C"/>
    <w:rsid w:val="0018156E"/>
    <w:rsid w:val="00182535"/>
    <w:rsid w:val="00193BFE"/>
    <w:rsid w:val="001A5171"/>
    <w:rsid w:val="001A6D1D"/>
    <w:rsid w:val="001B43E6"/>
    <w:rsid w:val="001D62B9"/>
    <w:rsid w:val="001E3B03"/>
    <w:rsid w:val="001F5C50"/>
    <w:rsid w:val="0022547F"/>
    <w:rsid w:val="0023151C"/>
    <w:rsid w:val="002328F0"/>
    <w:rsid w:val="00237F83"/>
    <w:rsid w:val="00244D00"/>
    <w:rsid w:val="0025216A"/>
    <w:rsid w:val="00252F7A"/>
    <w:rsid w:val="00263E2C"/>
    <w:rsid w:val="00281673"/>
    <w:rsid w:val="002828F6"/>
    <w:rsid w:val="0029175F"/>
    <w:rsid w:val="00292265"/>
    <w:rsid w:val="0029606C"/>
    <w:rsid w:val="0029675D"/>
    <w:rsid w:val="002A69E1"/>
    <w:rsid w:val="002B4C1C"/>
    <w:rsid w:val="002D29A2"/>
    <w:rsid w:val="002D37C0"/>
    <w:rsid w:val="002D3841"/>
    <w:rsid w:val="002E013D"/>
    <w:rsid w:val="002E4A52"/>
    <w:rsid w:val="002F3623"/>
    <w:rsid w:val="00311BE9"/>
    <w:rsid w:val="00336CB6"/>
    <w:rsid w:val="00346825"/>
    <w:rsid w:val="00355B4E"/>
    <w:rsid w:val="00356224"/>
    <w:rsid w:val="00361719"/>
    <w:rsid w:val="003667A8"/>
    <w:rsid w:val="00376E80"/>
    <w:rsid w:val="00387490"/>
    <w:rsid w:val="00391315"/>
    <w:rsid w:val="003939E5"/>
    <w:rsid w:val="003A5C7F"/>
    <w:rsid w:val="003A7DF9"/>
    <w:rsid w:val="003D0DCE"/>
    <w:rsid w:val="003D10A8"/>
    <w:rsid w:val="003E1A08"/>
    <w:rsid w:val="003E2A0F"/>
    <w:rsid w:val="003F0717"/>
    <w:rsid w:val="00406B4F"/>
    <w:rsid w:val="00463559"/>
    <w:rsid w:val="004652E2"/>
    <w:rsid w:val="00483F8F"/>
    <w:rsid w:val="004A1D3E"/>
    <w:rsid w:val="004A3462"/>
    <w:rsid w:val="004B04FF"/>
    <w:rsid w:val="004B2A78"/>
    <w:rsid w:val="004C0C35"/>
    <w:rsid w:val="004C205F"/>
    <w:rsid w:val="004C502D"/>
    <w:rsid w:val="004D7919"/>
    <w:rsid w:val="0050623B"/>
    <w:rsid w:val="0050783C"/>
    <w:rsid w:val="00542299"/>
    <w:rsid w:val="00543DE0"/>
    <w:rsid w:val="0054517C"/>
    <w:rsid w:val="00556451"/>
    <w:rsid w:val="0056043E"/>
    <w:rsid w:val="0056171F"/>
    <w:rsid w:val="00566374"/>
    <w:rsid w:val="00567483"/>
    <w:rsid w:val="00574332"/>
    <w:rsid w:val="005834BD"/>
    <w:rsid w:val="00596B37"/>
    <w:rsid w:val="00597CA0"/>
    <w:rsid w:val="005A3F26"/>
    <w:rsid w:val="005A66BC"/>
    <w:rsid w:val="005B55C5"/>
    <w:rsid w:val="005B6F1B"/>
    <w:rsid w:val="005C5AC7"/>
    <w:rsid w:val="005E34D9"/>
    <w:rsid w:val="005F161D"/>
    <w:rsid w:val="005F317A"/>
    <w:rsid w:val="0060067C"/>
    <w:rsid w:val="006327D6"/>
    <w:rsid w:val="00641902"/>
    <w:rsid w:val="006451D4"/>
    <w:rsid w:val="006506E1"/>
    <w:rsid w:val="00656B79"/>
    <w:rsid w:val="00661E67"/>
    <w:rsid w:val="00663E3F"/>
    <w:rsid w:val="006A3AF8"/>
    <w:rsid w:val="006C43AB"/>
    <w:rsid w:val="006E4C99"/>
    <w:rsid w:val="006F360D"/>
    <w:rsid w:val="006F454C"/>
    <w:rsid w:val="00702C5F"/>
    <w:rsid w:val="00724C15"/>
    <w:rsid w:val="00734957"/>
    <w:rsid w:val="00743024"/>
    <w:rsid w:val="00750746"/>
    <w:rsid w:val="00756483"/>
    <w:rsid w:val="00756B20"/>
    <w:rsid w:val="00765BA1"/>
    <w:rsid w:val="007665C8"/>
    <w:rsid w:val="007672D4"/>
    <w:rsid w:val="00783E3A"/>
    <w:rsid w:val="0078571B"/>
    <w:rsid w:val="00796C95"/>
    <w:rsid w:val="007A22EB"/>
    <w:rsid w:val="007A581A"/>
    <w:rsid w:val="007B2C87"/>
    <w:rsid w:val="007B57D8"/>
    <w:rsid w:val="007C2171"/>
    <w:rsid w:val="007C5A52"/>
    <w:rsid w:val="007C7AF3"/>
    <w:rsid w:val="007E520B"/>
    <w:rsid w:val="007F0A5E"/>
    <w:rsid w:val="00801834"/>
    <w:rsid w:val="00817680"/>
    <w:rsid w:val="00875778"/>
    <w:rsid w:val="00882E17"/>
    <w:rsid w:val="008849DC"/>
    <w:rsid w:val="00894DFA"/>
    <w:rsid w:val="00896130"/>
    <w:rsid w:val="008A2801"/>
    <w:rsid w:val="008A4A5E"/>
    <w:rsid w:val="008A6C7B"/>
    <w:rsid w:val="008B398E"/>
    <w:rsid w:val="008D77AC"/>
    <w:rsid w:val="008D78CB"/>
    <w:rsid w:val="008E2A14"/>
    <w:rsid w:val="008E442F"/>
    <w:rsid w:val="008F1756"/>
    <w:rsid w:val="00905F4F"/>
    <w:rsid w:val="00906F14"/>
    <w:rsid w:val="00907DB4"/>
    <w:rsid w:val="00921192"/>
    <w:rsid w:val="00925A49"/>
    <w:rsid w:val="0093757E"/>
    <w:rsid w:val="00947CEA"/>
    <w:rsid w:val="00951289"/>
    <w:rsid w:val="00953003"/>
    <w:rsid w:val="009618FD"/>
    <w:rsid w:val="00963122"/>
    <w:rsid w:val="009666C6"/>
    <w:rsid w:val="00981C36"/>
    <w:rsid w:val="0098330C"/>
    <w:rsid w:val="00991175"/>
    <w:rsid w:val="009966D6"/>
    <w:rsid w:val="009B6406"/>
    <w:rsid w:val="009B6A29"/>
    <w:rsid w:val="009C059E"/>
    <w:rsid w:val="009C3130"/>
    <w:rsid w:val="009D6697"/>
    <w:rsid w:val="009E465F"/>
    <w:rsid w:val="009E56AA"/>
    <w:rsid w:val="00A03522"/>
    <w:rsid w:val="00A2001B"/>
    <w:rsid w:val="00A211D8"/>
    <w:rsid w:val="00A2276D"/>
    <w:rsid w:val="00A229D6"/>
    <w:rsid w:val="00A24FAE"/>
    <w:rsid w:val="00A37859"/>
    <w:rsid w:val="00A459C6"/>
    <w:rsid w:val="00A478ED"/>
    <w:rsid w:val="00A47BED"/>
    <w:rsid w:val="00A5776A"/>
    <w:rsid w:val="00A707C2"/>
    <w:rsid w:val="00A72AE6"/>
    <w:rsid w:val="00A74260"/>
    <w:rsid w:val="00A85FE6"/>
    <w:rsid w:val="00A87ED2"/>
    <w:rsid w:val="00A94ACB"/>
    <w:rsid w:val="00AB2823"/>
    <w:rsid w:val="00AB5DF9"/>
    <w:rsid w:val="00AD16EB"/>
    <w:rsid w:val="00AE61DD"/>
    <w:rsid w:val="00AF51EE"/>
    <w:rsid w:val="00B00E4B"/>
    <w:rsid w:val="00B04979"/>
    <w:rsid w:val="00B21646"/>
    <w:rsid w:val="00B356B4"/>
    <w:rsid w:val="00B57D4C"/>
    <w:rsid w:val="00B64B1B"/>
    <w:rsid w:val="00B768B0"/>
    <w:rsid w:val="00B7711B"/>
    <w:rsid w:val="00B839CD"/>
    <w:rsid w:val="00B85654"/>
    <w:rsid w:val="00B86F49"/>
    <w:rsid w:val="00B96D8D"/>
    <w:rsid w:val="00BA2102"/>
    <w:rsid w:val="00BC0C1F"/>
    <w:rsid w:val="00BC131A"/>
    <w:rsid w:val="00BC2E34"/>
    <w:rsid w:val="00BC7787"/>
    <w:rsid w:val="00BE173A"/>
    <w:rsid w:val="00BF14D5"/>
    <w:rsid w:val="00BF35AB"/>
    <w:rsid w:val="00BF65AF"/>
    <w:rsid w:val="00C027C4"/>
    <w:rsid w:val="00C03C2E"/>
    <w:rsid w:val="00C23570"/>
    <w:rsid w:val="00C32012"/>
    <w:rsid w:val="00C37103"/>
    <w:rsid w:val="00C40885"/>
    <w:rsid w:val="00C4570D"/>
    <w:rsid w:val="00C5268E"/>
    <w:rsid w:val="00C53DF8"/>
    <w:rsid w:val="00C5423A"/>
    <w:rsid w:val="00C713FF"/>
    <w:rsid w:val="00CB30F2"/>
    <w:rsid w:val="00CB4D2E"/>
    <w:rsid w:val="00CC1FD7"/>
    <w:rsid w:val="00CD4493"/>
    <w:rsid w:val="00CD45E6"/>
    <w:rsid w:val="00CE5A47"/>
    <w:rsid w:val="00CF0A31"/>
    <w:rsid w:val="00CF2EA0"/>
    <w:rsid w:val="00CF4D3B"/>
    <w:rsid w:val="00D103E3"/>
    <w:rsid w:val="00D141D2"/>
    <w:rsid w:val="00D16BD2"/>
    <w:rsid w:val="00D2192B"/>
    <w:rsid w:val="00D35624"/>
    <w:rsid w:val="00D410DB"/>
    <w:rsid w:val="00D61AAB"/>
    <w:rsid w:val="00D674AE"/>
    <w:rsid w:val="00D729A7"/>
    <w:rsid w:val="00D74C63"/>
    <w:rsid w:val="00D907E5"/>
    <w:rsid w:val="00D91E29"/>
    <w:rsid w:val="00DA0184"/>
    <w:rsid w:val="00DA060F"/>
    <w:rsid w:val="00DA0E14"/>
    <w:rsid w:val="00DA4977"/>
    <w:rsid w:val="00DB0339"/>
    <w:rsid w:val="00DC14DA"/>
    <w:rsid w:val="00DC6746"/>
    <w:rsid w:val="00DE014E"/>
    <w:rsid w:val="00DE5BE7"/>
    <w:rsid w:val="00DE6632"/>
    <w:rsid w:val="00E0323E"/>
    <w:rsid w:val="00E2040A"/>
    <w:rsid w:val="00E25649"/>
    <w:rsid w:val="00E2639C"/>
    <w:rsid w:val="00E40ABE"/>
    <w:rsid w:val="00E42664"/>
    <w:rsid w:val="00E446E3"/>
    <w:rsid w:val="00E81F2F"/>
    <w:rsid w:val="00E867E0"/>
    <w:rsid w:val="00EC01F8"/>
    <w:rsid w:val="00EC0F7F"/>
    <w:rsid w:val="00EC2102"/>
    <w:rsid w:val="00ED0E49"/>
    <w:rsid w:val="00ED3B41"/>
    <w:rsid w:val="00EF182E"/>
    <w:rsid w:val="00EF3276"/>
    <w:rsid w:val="00F20C10"/>
    <w:rsid w:val="00F21E0B"/>
    <w:rsid w:val="00F22C93"/>
    <w:rsid w:val="00F37290"/>
    <w:rsid w:val="00F54F77"/>
    <w:rsid w:val="00F60E32"/>
    <w:rsid w:val="00F71468"/>
    <w:rsid w:val="00F8646E"/>
    <w:rsid w:val="00F93636"/>
    <w:rsid w:val="00F95ABE"/>
    <w:rsid w:val="00FB02DB"/>
    <w:rsid w:val="00FB1BBF"/>
    <w:rsid w:val="00FC164E"/>
    <w:rsid w:val="00FD0D0B"/>
    <w:rsid w:val="00FD31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F5AEA4F"/>
  <w15:docId w15:val="{E30020D1-275F-47D2-BCC3-C18D408FF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E67"/>
    <w:pPr>
      <w:widowControl w:val="0"/>
      <w:spacing w:before="120"/>
      <w:jc w:val="both"/>
    </w:pPr>
    <w:rPr>
      <w:rFonts w:ascii="Arial" w:hAnsi="Arial"/>
      <w:szCs w:val="22"/>
    </w:rPr>
  </w:style>
  <w:style w:type="paragraph" w:styleId="Ttulo1">
    <w:name w:val="heading 1"/>
    <w:basedOn w:val="Normal"/>
    <w:next w:val="Normal"/>
    <w:qFormat/>
    <w:rsid w:val="000E0159"/>
    <w:pPr>
      <w:keepNext/>
      <w:pageBreakBefore/>
      <w:numPr>
        <w:numId w:val="1"/>
      </w:numPr>
      <w:tabs>
        <w:tab w:val="clear" w:pos="432"/>
        <w:tab w:val="left" w:pos="0"/>
      </w:tabs>
      <w:spacing w:before="0" w:after="60"/>
      <w:ind w:left="0" w:hanging="794"/>
      <w:jc w:val="left"/>
      <w:outlineLvl w:val="0"/>
    </w:pPr>
    <w:rPr>
      <w:rFonts w:ascii="Arial Black" w:hAnsi="Arial Black" w:cs="Arial"/>
      <w:b/>
      <w:bCs/>
      <w:smallCaps/>
      <w:kern w:val="32"/>
      <w:sz w:val="40"/>
      <w:szCs w:val="32"/>
    </w:rPr>
  </w:style>
  <w:style w:type="paragraph" w:styleId="Ttulo2">
    <w:name w:val="heading 2"/>
    <w:basedOn w:val="Normal"/>
    <w:next w:val="Normal"/>
    <w:qFormat/>
    <w:rsid w:val="0060067C"/>
    <w:pPr>
      <w:keepNext/>
      <w:numPr>
        <w:ilvl w:val="1"/>
        <w:numId w:val="1"/>
      </w:numPr>
      <w:tabs>
        <w:tab w:val="clear" w:pos="576"/>
        <w:tab w:val="left" w:pos="0"/>
      </w:tabs>
      <w:spacing w:before="240" w:after="60"/>
      <w:ind w:left="0" w:hanging="794"/>
      <w:jc w:val="left"/>
      <w:outlineLvl w:val="1"/>
    </w:pPr>
    <w:rPr>
      <w:rFonts w:cs="Arial"/>
      <w:b/>
      <w:bCs/>
      <w:iCs/>
      <w:sz w:val="36"/>
      <w:szCs w:val="28"/>
    </w:rPr>
  </w:style>
  <w:style w:type="paragraph" w:styleId="Ttulo3">
    <w:name w:val="heading 3"/>
    <w:basedOn w:val="Normal"/>
    <w:next w:val="Normal"/>
    <w:qFormat/>
    <w:rsid w:val="0060067C"/>
    <w:pPr>
      <w:keepNext/>
      <w:numPr>
        <w:ilvl w:val="2"/>
        <w:numId w:val="1"/>
      </w:numPr>
      <w:tabs>
        <w:tab w:val="clear" w:pos="720"/>
        <w:tab w:val="left" w:pos="0"/>
      </w:tabs>
      <w:spacing w:before="240" w:after="60"/>
      <w:ind w:left="0" w:hanging="794"/>
      <w:jc w:val="left"/>
      <w:outlineLvl w:val="2"/>
    </w:pPr>
    <w:rPr>
      <w:rFonts w:cs="Arial"/>
      <w:b/>
      <w:bCs/>
      <w:sz w:val="28"/>
      <w:szCs w:val="26"/>
    </w:rPr>
  </w:style>
  <w:style w:type="paragraph" w:styleId="Ttulo4">
    <w:name w:val="heading 4"/>
    <w:basedOn w:val="Normal"/>
    <w:next w:val="Normal"/>
    <w:qFormat/>
    <w:rsid w:val="00C713FF"/>
    <w:pPr>
      <w:keepNext/>
      <w:widowControl/>
      <w:numPr>
        <w:ilvl w:val="3"/>
        <w:numId w:val="1"/>
      </w:numPr>
      <w:tabs>
        <w:tab w:val="clear" w:pos="864"/>
        <w:tab w:val="left" w:pos="0"/>
      </w:tabs>
      <w:spacing w:before="240" w:after="60"/>
      <w:ind w:left="0" w:hanging="794"/>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rsid w:val="00724C15"/>
    <w:pPr>
      <w:tabs>
        <w:tab w:val="center" w:pos="4252"/>
        <w:tab w:val="right" w:pos="8504"/>
      </w:tabs>
    </w:pPr>
    <w:rPr>
      <w:sz w:val="14"/>
    </w:rPr>
  </w:style>
  <w:style w:type="paragraph" w:styleId="Textonotapie">
    <w:name w:val="footnote text"/>
    <w:basedOn w:val="Normal"/>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uiPriority w:val="99"/>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character" w:styleId="Hipervnculovisitado">
    <w:name w:val="FollowedHyperlink"/>
    <w:rsid w:val="00CB4D2E"/>
    <w:rPr>
      <w:color w:val="800080"/>
      <w:u w:val="single"/>
    </w:rPr>
  </w:style>
  <w:style w:type="paragraph" w:customStyle="1" w:styleId="Vietas">
    <w:name w:val="·Viñetas·"/>
    <w:basedOn w:val="Normal"/>
    <w:link w:val="VietasCar"/>
    <w:qFormat/>
    <w:rsid w:val="00C23570"/>
    <w:pPr>
      <w:numPr>
        <w:numId w:val="14"/>
      </w:numPr>
      <w:tabs>
        <w:tab w:val="clear" w:pos="2836"/>
        <w:tab w:val="num" w:pos="624"/>
      </w:tabs>
      <w:ind w:left="624"/>
    </w:pPr>
  </w:style>
  <w:style w:type="paragraph" w:styleId="Prrafodelista">
    <w:name w:val="List Paragraph"/>
    <w:basedOn w:val="Normal"/>
    <w:uiPriority w:val="34"/>
    <w:qFormat/>
    <w:rsid w:val="00817680"/>
    <w:pPr>
      <w:ind w:left="720"/>
      <w:contextualSpacing/>
    </w:pPr>
  </w:style>
  <w:style w:type="character" w:customStyle="1" w:styleId="VietasCar">
    <w:name w:val="·Viñetas· Car"/>
    <w:link w:val="Vietas"/>
    <w:rsid w:val="00C23570"/>
    <w:rPr>
      <w:rFonts w:ascii="Arial" w:hAnsi="Arial"/>
      <w:szCs w:val="22"/>
    </w:rPr>
  </w:style>
  <w:style w:type="character" w:styleId="Refdecomentario">
    <w:name w:val="annotation reference"/>
    <w:basedOn w:val="Fuentedeprrafopredeter"/>
    <w:rsid w:val="007672D4"/>
    <w:rPr>
      <w:sz w:val="16"/>
      <w:szCs w:val="16"/>
    </w:rPr>
  </w:style>
  <w:style w:type="paragraph" w:styleId="Textocomentario">
    <w:name w:val="annotation text"/>
    <w:basedOn w:val="Normal"/>
    <w:link w:val="TextocomentarioCar"/>
    <w:rsid w:val="007672D4"/>
    <w:rPr>
      <w:szCs w:val="20"/>
    </w:rPr>
  </w:style>
  <w:style w:type="character" w:customStyle="1" w:styleId="TextocomentarioCar">
    <w:name w:val="Texto comentario Car"/>
    <w:basedOn w:val="Fuentedeprrafopredeter"/>
    <w:link w:val="Textocomentario"/>
    <w:rsid w:val="007672D4"/>
    <w:rPr>
      <w:rFonts w:ascii="Arial" w:hAnsi="Arial"/>
    </w:rPr>
  </w:style>
  <w:style w:type="paragraph" w:styleId="Asuntodelcomentario">
    <w:name w:val="annotation subject"/>
    <w:basedOn w:val="Textocomentario"/>
    <w:next w:val="Textocomentario"/>
    <w:link w:val="AsuntodelcomentarioCar"/>
    <w:rsid w:val="007672D4"/>
    <w:rPr>
      <w:b/>
      <w:bCs/>
    </w:rPr>
  </w:style>
  <w:style w:type="character" w:customStyle="1" w:styleId="AsuntodelcomentarioCar">
    <w:name w:val="Asunto del comentario Car"/>
    <w:basedOn w:val="TextocomentarioCar"/>
    <w:link w:val="Asuntodelcomentario"/>
    <w:rsid w:val="007672D4"/>
    <w:rPr>
      <w:rFonts w:ascii="Arial" w:hAnsi="Arial"/>
      <w:b/>
      <w:bCs/>
    </w:rPr>
  </w:style>
  <w:style w:type="paragraph" w:styleId="Revisin">
    <w:name w:val="Revision"/>
    <w:hidden/>
    <w:uiPriority w:val="99"/>
    <w:semiHidden/>
    <w:rsid w:val="005F317A"/>
    <w:rPr>
      <w:rFonts w:ascii="Arial" w:hAnsi="Arial"/>
      <w:szCs w:val="22"/>
    </w:rPr>
  </w:style>
  <w:style w:type="paragraph" w:customStyle="1" w:styleId="Anexo1">
    <w:name w:val="Anexo 1"/>
    <w:basedOn w:val="Ttulo1"/>
    <w:next w:val="Normal"/>
    <w:qFormat/>
    <w:rsid w:val="0029675D"/>
    <w:pPr>
      <w:numPr>
        <w:numId w:val="17"/>
      </w:numPr>
      <w:tabs>
        <w:tab w:val="clear" w:pos="0"/>
        <w:tab w:val="left" w:pos="1843"/>
      </w:tabs>
      <w:ind w:left="-437"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 w:id="33241911">
      <w:bodyDiv w:val="1"/>
      <w:marLeft w:val="0"/>
      <w:marRight w:val="0"/>
      <w:marTop w:val="0"/>
      <w:marBottom w:val="0"/>
      <w:divBdr>
        <w:top w:val="none" w:sz="0" w:space="0" w:color="auto"/>
        <w:left w:val="none" w:sz="0" w:space="0" w:color="auto"/>
        <w:bottom w:val="none" w:sz="0" w:space="0" w:color="auto"/>
        <w:right w:val="none" w:sz="0" w:space="0" w:color="auto"/>
      </w:divBdr>
    </w:div>
    <w:div w:id="15346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espublica.navarra.es/SistemasInformacionG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espublica.navarra.es/SistemasInformacionGN/Documentacion/EscenarioTecnologicoGobiernodeNavarraMarzo2025v1.0.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Corporativas\xxxxx%20EV%20Nombre%20de%20trabajo%20vx.xx%20yyyy_mm_d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E2867-AE4E-4761-8F9B-3E20919DC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xxxxx EV Nombre de trabajo vx.xx yyyy_mm_dd.dot</Template>
  <TotalTime>7</TotalTime>
  <Pages>9</Pages>
  <Words>2398</Words>
  <Characters>14523</Characters>
  <Application>Microsoft Office Word</Application>
  <DocSecurity>0</DocSecurity>
  <Lines>121</Lines>
  <Paragraphs>33</Paragraphs>
  <ScaleCrop>false</ScaleCrop>
  <HeadingPairs>
    <vt:vector size="2" baseType="variant">
      <vt:variant>
        <vt:lpstr>Título</vt:lpstr>
      </vt:variant>
      <vt:variant>
        <vt:i4>1</vt:i4>
      </vt:variant>
    </vt:vector>
  </HeadingPairs>
  <TitlesOfParts>
    <vt:vector size="1" baseType="lpstr">
      <vt:lpstr>19707_PliegoClausulasTecnicas_v1.0_20170704</vt:lpstr>
    </vt:vector>
  </TitlesOfParts>
  <Company>Gobierno de Navarra</Company>
  <LinksUpToDate>false</LinksUpToDate>
  <CharactersWithSpaces>16888</CharactersWithSpaces>
  <SharedDoc>false</SharedDoc>
  <HLinks>
    <vt:vector size="276" baseType="variant">
      <vt:variant>
        <vt:i4>7799038</vt:i4>
      </vt:variant>
      <vt:variant>
        <vt:i4>243</vt:i4>
      </vt:variant>
      <vt:variant>
        <vt:i4>0</vt:i4>
      </vt:variant>
      <vt:variant>
        <vt:i4>5</vt:i4>
      </vt:variant>
      <vt:variant>
        <vt:lpwstr>\\centcs01srv01\PortalTICgn\Generales\GestionProyectos\Plantillas\Otros documentos\UbicaciónAplicaciones v1.0.doc</vt:lpwstr>
      </vt:variant>
      <vt:variant>
        <vt:lpwstr/>
      </vt:variant>
      <vt:variant>
        <vt:i4>3211325</vt:i4>
      </vt:variant>
      <vt:variant>
        <vt:i4>240</vt:i4>
      </vt:variant>
      <vt:variant>
        <vt:i4>0</vt:i4>
      </vt:variant>
      <vt:variant>
        <vt:i4>5</vt:i4>
      </vt:variant>
      <vt:variant>
        <vt:lpwstr>https://centapp18.admon-cfnavarra.es/Enslopd/Pantallas/Inicio.aspx</vt:lpwstr>
      </vt:variant>
      <vt:variant>
        <vt:lpwstr/>
      </vt:variant>
      <vt:variant>
        <vt:i4>2621491</vt:i4>
      </vt:variant>
      <vt:variant>
        <vt:i4>237</vt:i4>
      </vt:variant>
      <vt:variant>
        <vt:i4>0</vt:i4>
      </vt:variant>
      <vt:variant>
        <vt:i4>5</vt:i4>
      </vt:variant>
      <vt:variant>
        <vt:lpwstr>http://espacioseguridad.admon-cfnavarra.es/Inicio0/Document Library/ayudaCIDAT.pdf</vt:lpwstr>
      </vt:variant>
      <vt:variant>
        <vt:lpwstr/>
      </vt:variant>
      <vt:variant>
        <vt:i4>327739</vt:i4>
      </vt:variant>
      <vt:variant>
        <vt:i4>234</vt:i4>
      </vt:variant>
      <vt:variant>
        <vt:i4>0</vt:i4>
      </vt:variant>
      <vt:variant>
        <vt:i4>5</vt:i4>
      </vt:variant>
      <vt:variant>
        <vt:lpwstr>mailto:segurinf@navarra.es</vt:lpwstr>
      </vt:variant>
      <vt:variant>
        <vt:lpwstr/>
      </vt:variant>
      <vt:variant>
        <vt:i4>6750262</vt:i4>
      </vt:variant>
      <vt:variant>
        <vt:i4>231</vt:i4>
      </vt:variant>
      <vt:variant>
        <vt:i4>0</vt:i4>
      </vt:variant>
      <vt:variant>
        <vt:i4>5</vt:i4>
      </vt:variant>
      <vt:variant>
        <vt:lpwstr>http://www.agpd.es/</vt:lpwstr>
      </vt:variant>
      <vt:variant>
        <vt:lpwstr/>
      </vt:variant>
      <vt:variant>
        <vt:i4>3211325</vt:i4>
      </vt:variant>
      <vt:variant>
        <vt:i4>228</vt:i4>
      </vt:variant>
      <vt:variant>
        <vt:i4>0</vt:i4>
      </vt:variant>
      <vt:variant>
        <vt:i4>5</vt:i4>
      </vt:variant>
      <vt:variant>
        <vt:lpwstr>https://centapp18.admon-cfnavarra.es/Enslopd/Pantallas/Inicio.aspx</vt:lpwstr>
      </vt:variant>
      <vt:variant>
        <vt:lpwstr/>
      </vt:variant>
      <vt:variant>
        <vt:i4>8323170</vt:i4>
      </vt:variant>
      <vt:variant>
        <vt:i4>225</vt:i4>
      </vt:variant>
      <vt:variant>
        <vt:i4>0</vt:i4>
      </vt:variant>
      <vt:variant>
        <vt:i4>5</vt:i4>
      </vt:variant>
      <vt:variant>
        <vt:lpwstr>http://espacioseguridad.admon-cfnavarra.es/Inicio0/Document Library/AyudaValoracionLOPD.pdf</vt:lpwstr>
      </vt:variant>
      <vt:variant>
        <vt:lpwstr/>
      </vt:variant>
      <vt:variant>
        <vt:i4>3211325</vt:i4>
      </vt:variant>
      <vt:variant>
        <vt:i4>222</vt:i4>
      </vt:variant>
      <vt:variant>
        <vt:i4>0</vt:i4>
      </vt:variant>
      <vt:variant>
        <vt:i4>5</vt:i4>
      </vt:variant>
      <vt:variant>
        <vt:lpwstr>https://centapp18.admon-cfnavarra.es/Enslopd/Pantallas/Inicio.aspx</vt:lpwstr>
      </vt:variant>
      <vt:variant>
        <vt:lpwstr/>
      </vt:variant>
      <vt:variant>
        <vt:i4>2097196</vt:i4>
      </vt:variant>
      <vt:variant>
        <vt:i4>219</vt:i4>
      </vt:variant>
      <vt:variant>
        <vt:i4>0</vt:i4>
      </vt:variant>
      <vt:variant>
        <vt:i4>5</vt:i4>
      </vt:variant>
      <vt:variant>
        <vt:lpwstr>http://espacioseguridad.admon-cfnavarra.es/inicio0/default.aspx</vt:lpwstr>
      </vt:variant>
      <vt:variant>
        <vt:lpwstr/>
      </vt:variant>
      <vt:variant>
        <vt:i4>4653147</vt:i4>
      </vt:variant>
      <vt:variant>
        <vt:i4>216</vt:i4>
      </vt:variant>
      <vt:variant>
        <vt:i4>0</vt:i4>
      </vt:variant>
      <vt:variant>
        <vt:i4>5</vt:i4>
      </vt:variant>
      <vt:variant>
        <vt:lpwstr>http://internet.gccpublica.navarra.es/DGIT/SistemasInformacionGN/default.aspx</vt:lpwstr>
      </vt:variant>
      <vt:variant>
        <vt:lpwstr/>
      </vt:variant>
      <vt:variant>
        <vt:i4>1703960</vt:i4>
      </vt:variant>
      <vt:variant>
        <vt:i4>213</vt:i4>
      </vt:variant>
      <vt:variant>
        <vt:i4>0</vt:i4>
      </vt:variant>
      <vt:variant>
        <vt:i4>5</vt:i4>
      </vt:variant>
      <vt:variant>
        <vt:lpwstr>http://centapp20.admon-cfnavarra.es/PortalTICgn/html/Gestion_de_Proyectos/Plantillas/modelo_soporte_referencia.aspx</vt:lpwstr>
      </vt:variant>
      <vt:variant>
        <vt:lpwstr/>
      </vt:variant>
      <vt:variant>
        <vt:i4>1966136</vt:i4>
      </vt:variant>
      <vt:variant>
        <vt:i4>206</vt:i4>
      </vt:variant>
      <vt:variant>
        <vt:i4>0</vt:i4>
      </vt:variant>
      <vt:variant>
        <vt:i4>5</vt:i4>
      </vt:variant>
      <vt:variant>
        <vt:lpwstr/>
      </vt:variant>
      <vt:variant>
        <vt:lpwstr>_Toc379538133</vt:lpwstr>
      </vt:variant>
      <vt:variant>
        <vt:i4>1966136</vt:i4>
      </vt:variant>
      <vt:variant>
        <vt:i4>200</vt:i4>
      </vt:variant>
      <vt:variant>
        <vt:i4>0</vt:i4>
      </vt:variant>
      <vt:variant>
        <vt:i4>5</vt:i4>
      </vt:variant>
      <vt:variant>
        <vt:lpwstr/>
      </vt:variant>
      <vt:variant>
        <vt:lpwstr>_Toc379538132</vt:lpwstr>
      </vt:variant>
      <vt:variant>
        <vt:i4>1966136</vt:i4>
      </vt:variant>
      <vt:variant>
        <vt:i4>194</vt:i4>
      </vt:variant>
      <vt:variant>
        <vt:i4>0</vt:i4>
      </vt:variant>
      <vt:variant>
        <vt:i4>5</vt:i4>
      </vt:variant>
      <vt:variant>
        <vt:lpwstr/>
      </vt:variant>
      <vt:variant>
        <vt:lpwstr>_Toc379538131</vt:lpwstr>
      </vt:variant>
      <vt:variant>
        <vt:i4>1966136</vt:i4>
      </vt:variant>
      <vt:variant>
        <vt:i4>188</vt:i4>
      </vt:variant>
      <vt:variant>
        <vt:i4>0</vt:i4>
      </vt:variant>
      <vt:variant>
        <vt:i4>5</vt:i4>
      </vt:variant>
      <vt:variant>
        <vt:lpwstr/>
      </vt:variant>
      <vt:variant>
        <vt:lpwstr>_Toc379538130</vt:lpwstr>
      </vt:variant>
      <vt:variant>
        <vt:i4>2031672</vt:i4>
      </vt:variant>
      <vt:variant>
        <vt:i4>182</vt:i4>
      </vt:variant>
      <vt:variant>
        <vt:i4>0</vt:i4>
      </vt:variant>
      <vt:variant>
        <vt:i4>5</vt:i4>
      </vt:variant>
      <vt:variant>
        <vt:lpwstr/>
      </vt:variant>
      <vt:variant>
        <vt:lpwstr>_Toc379538129</vt:lpwstr>
      </vt:variant>
      <vt:variant>
        <vt:i4>2031672</vt:i4>
      </vt:variant>
      <vt:variant>
        <vt:i4>176</vt:i4>
      </vt:variant>
      <vt:variant>
        <vt:i4>0</vt:i4>
      </vt:variant>
      <vt:variant>
        <vt:i4>5</vt:i4>
      </vt:variant>
      <vt:variant>
        <vt:lpwstr/>
      </vt:variant>
      <vt:variant>
        <vt:lpwstr>_Toc379538128</vt:lpwstr>
      </vt:variant>
      <vt:variant>
        <vt:i4>2031672</vt:i4>
      </vt:variant>
      <vt:variant>
        <vt:i4>170</vt:i4>
      </vt:variant>
      <vt:variant>
        <vt:i4>0</vt:i4>
      </vt:variant>
      <vt:variant>
        <vt:i4>5</vt:i4>
      </vt:variant>
      <vt:variant>
        <vt:lpwstr/>
      </vt:variant>
      <vt:variant>
        <vt:lpwstr>_Toc379538127</vt:lpwstr>
      </vt:variant>
      <vt:variant>
        <vt:i4>2031672</vt:i4>
      </vt:variant>
      <vt:variant>
        <vt:i4>164</vt:i4>
      </vt:variant>
      <vt:variant>
        <vt:i4>0</vt:i4>
      </vt:variant>
      <vt:variant>
        <vt:i4>5</vt:i4>
      </vt:variant>
      <vt:variant>
        <vt:lpwstr/>
      </vt:variant>
      <vt:variant>
        <vt:lpwstr>_Toc379538126</vt:lpwstr>
      </vt:variant>
      <vt:variant>
        <vt:i4>2031672</vt:i4>
      </vt:variant>
      <vt:variant>
        <vt:i4>158</vt:i4>
      </vt:variant>
      <vt:variant>
        <vt:i4>0</vt:i4>
      </vt:variant>
      <vt:variant>
        <vt:i4>5</vt:i4>
      </vt:variant>
      <vt:variant>
        <vt:lpwstr/>
      </vt:variant>
      <vt:variant>
        <vt:lpwstr>_Toc379538125</vt:lpwstr>
      </vt:variant>
      <vt:variant>
        <vt:i4>2031672</vt:i4>
      </vt:variant>
      <vt:variant>
        <vt:i4>152</vt:i4>
      </vt:variant>
      <vt:variant>
        <vt:i4>0</vt:i4>
      </vt:variant>
      <vt:variant>
        <vt:i4>5</vt:i4>
      </vt:variant>
      <vt:variant>
        <vt:lpwstr/>
      </vt:variant>
      <vt:variant>
        <vt:lpwstr>_Toc379538124</vt:lpwstr>
      </vt:variant>
      <vt:variant>
        <vt:i4>2031672</vt:i4>
      </vt:variant>
      <vt:variant>
        <vt:i4>146</vt:i4>
      </vt:variant>
      <vt:variant>
        <vt:i4>0</vt:i4>
      </vt:variant>
      <vt:variant>
        <vt:i4>5</vt:i4>
      </vt:variant>
      <vt:variant>
        <vt:lpwstr/>
      </vt:variant>
      <vt:variant>
        <vt:lpwstr>_Toc379538123</vt:lpwstr>
      </vt:variant>
      <vt:variant>
        <vt:i4>2031672</vt:i4>
      </vt:variant>
      <vt:variant>
        <vt:i4>140</vt:i4>
      </vt:variant>
      <vt:variant>
        <vt:i4>0</vt:i4>
      </vt:variant>
      <vt:variant>
        <vt:i4>5</vt:i4>
      </vt:variant>
      <vt:variant>
        <vt:lpwstr/>
      </vt:variant>
      <vt:variant>
        <vt:lpwstr>_Toc379538122</vt:lpwstr>
      </vt:variant>
      <vt:variant>
        <vt:i4>2031672</vt:i4>
      </vt:variant>
      <vt:variant>
        <vt:i4>134</vt:i4>
      </vt:variant>
      <vt:variant>
        <vt:i4>0</vt:i4>
      </vt:variant>
      <vt:variant>
        <vt:i4>5</vt:i4>
      </vt:variant>
      <vt:variant>
        <vt:lpwstr/>
      </vt:variant>
      <vt:variant>
        <vt:lpwstr>_Toc379538121</vt:lpwstr>
      </vt:variant>
      <vt:variant>
        <vt:i4>2031672</vt:i4>
      </vt:variant>
      <vt:variant>
        <vt:i4>128</vt:i4>
      </vt:variant>
      <vt:variant>
        <vt:i4>0</vt:i4>
      </vt:variant>
      <vt:variant>
        <vt:i4>5</vt:i4>
      </vt:variant>
      <vt:variant>
        <vt:lpwstr/>
      </vt:variant>
      <vt:variant>
        <vt:lpwstr>_Toc379538120</vt:lpwstr>
      </vt:variant>
      <vt:variant>
        <vt:i4>1835064</vt:i4>
      </vt:variant>
      <vt:variant>
        <vt:i4>122</vt:i4>
      </vt:variant>
      <vt:variant>
        <vt:i4>0</vt:i4>
      </vt:variant>
      <vt:variant>
        <vt:i4>5</vt:i4>
      </vt:variant>
      <vt:variant>
        <vt:lpwstr/>
      </vt:variant>
      <vt:variant>
        <vt:lpwstr>_Toc379538119</vt:lpwstr>
      </vt:variant>
      <vt:variant>
        <vt:i4>1835064</vt:i4>
      </vt:variant>
      <vt:variant>
        <vt:i4>116</vt:i4>
      </vt:variant>
      <vt:variant>
        <vt:i4>0</vt:i4>
      </vt:variant>
      <vt:variant>
        <vt:i4>5</vt:i4>
      </vt:variant>
      <vt:variant>
        <vt:lpwstr/>
      </vt:variant>
      <vt:variant>
        <vt:lpwstr>_Toc379538118</vt:lpwstr>
      </vt:variant>
      <vt:variant>
        <vt:i4>1835064</vt:i4>
      </vt:variant>
      <vt:variant>
        <vt:i4>110</vt:i4>
      </vt:variant>
      <vt:variant>
        <vt:i4>0</vt:i4>
      </vt:variant>
      <vt:variant>
        <vt:i4>5</vt:i4>
      </vt:variant>
      <vt:variant>
        <vt:lpwstr/>
      </vt:variant>
      <vt:variant>
        <vt:lpwstr>_Toc379538117</vt:lpwstr>
      </vt:variant>
      <vt:variant>
        <vt:i4>1835064</vt:i4>
      </vt:variant>
      <vt:variant>
        <vt:i4>104</vt:i4>
      </vt:variant>
      <vt:variant>
        <vt:i4>0</vt:i4>
      </vt:variant>
      <vt:variant>
        <vt:i4>5</vt:i4>
      </vt:variant>
      <vt:variant>
        <vt:lpwstr/>
      </vt:variant>
      <vt:variant>
        <vt:lpwstr>_Toc379538116</vt:lpwstr>
      </vt:variant>
      <vt:variant>
        <vt:i4>1835064</vt:i4>
      </vt:variant>
      <vt:variant>
        <vt:i4>98</vt:i4>
      </vt:variant>
      <vt:variant>
        <vt:i4>0</vt:i4>
      </vt:variant>
      <vt:variant>
        <vt:i4>5</vt:i4>
      </vt:variant>
      <vt:variant>
        <vt:lpwstr/>
      </vt:variant>
      <vt:variant>
        <vt:lpwstr>_Toc379538115</vt:lpwstr>
      </vt:variant>
      <vt:variant>
        <vt:i4>1835064</vt:i4>
      </vt:variant>
      <vt:variant>
        <vt:i4>92</vt:i4>
      </vt:variant>
      <vt:variant>
        <vt:i4>0</vt:i4>
      </vt:variant>
      <vt:variant>
        <vt:i4>5</vt:i4>
      </vt:variant>
      <vt:variant>
        <vt:lpwstr/>
      </vt:variant>
      <vt:variant>
        <vt:lpwstr>_Toc379538114</vt:lpwstr>
      </vt:variant>
      <vt:variant>
        <vt:i4>1835064</vt:i4>
      </vt:variant>
      <vt:variant>
        <vt:i4>86</vt:i4>
      </vt:variant>
      <vt:variant>
        <vt:i4>0</vt:i4>
      </vt:variant>
      <vt:variant>
        <vt:i4>5</vt:i4>
      </vt:variant>
      <vt:variant>
        <vt:lpwstr/>
      </vt:variant>
      <vt:variant>
        <vt:lpwstr>_Toc379538113</vt:lpwstr>
      </vt:variant>
      <vt:variant>
        <vt:i4>1835064</vt:i4>
      </vt:variant>
      <vt:variant>
        <vt:i4>80</vt:i4>
      </vt:variant>
      <vt:variant>
        <vt:i4>0</vt:i4>
      </vt:variant>
      <vt:variant>
        <vt:i4>5</vt:i4>
      </vt:variant>
      <vt:variant>
        <vt:lpwstr/>
      </vt:variant>
      <vt:variant>
        <vt:lpwstr>_Toc379538112</vt:lpwstr>
      </vt:variant>
      <vt:variant>
        <vt:i4>1835064</vt:i4>
      </vt:variant>
      <vt:variant>
        <vt:i4>74</vt:i4>
      </vt:variant>
      <vt:variant>
        <vt:i4>0</vt:i4>
      </vt:variant>
      <vt:variant>
        <vt:i4>5</vt:i4>
      </vt:variant>
      <vt:variant>
        <vt:lpwstr/>
      </vt:variant>
      <vt:variant>
        <vt:lpwstr>_Toc379538111</vt:lpwstr>
      </vt:variant>
      <vt:variant>
        <vt:i4>1835064</vt:i4>
      </vt:variant>
      <vt:variant>
        <vt:i4>68</vt:i4>
      </vt:variant>
      <vt:variant>
        <vt:i4>0</vt:i4>
      </vt:variant>
      <vt:variant>
        <vt:i4>5</vt:i4>
      </vt:variant>
      <vt:variant>
        <vt:lpwstr/>
      </vt:variant>
      <vt:variant>
        <vt:lpwstr>_Toc379538110</vt:lpwstr>
      </vt:variant>
      <vt:variant>
        <vt:i4>1900600</vt:i4>
      </vt:variant>
      <vt:variant>
        <vt:i4>62</vt:i4>
      </vt:variant>
      <vt:variant>
        <vt:i4>0</vt:i4>
      </vt:variant>
      <vt:variant>
        <vt:i4>5</vt:i4>
      </vt:variant>
      <vt:variant>
        <vt:lpwstr/>
      </vt:variant>
      <vt:variant>
        <vt:lpwstr>_Toc379538109</vt:lpwstr>
      </vt:variant>
      <vt:variant>
        <vt:i4>1900600</vt:i4>
      </vt:variant>
      <vt:variant>
        <vt:i4>56</vt:i4>
      </vt:variant>
      <vt:variant>
        <vt:i4>0</vt:i4>
      </vt:variant>
      <vt:variant>
        <vt:i4>5</vt:i4>
      </vt:variant>
      <vt:variant>
        <vt:lpwstr/>
      </vt:variant>
      <vt:variant>
        <vt:lpwstr>_Toc379538108</vt:lpwstr>
      </vt:variant>
      <vt:variant>
        <vt:i4>1900600</vt:i4>
      </vt:variant>
      <vt:variant>
        <vt:i4>50</vt:i4>
      </vt:variant>
      <vt:variant>
        <vt:i4>0</vt:i4>
      </vt:variant>
      <vt:variant>
        <vt:i4>5</vt:i4>
      </vt:variant>
      <vt:variant>
        <vt:lpwstr/>
      </vt:variant>
      <vt:variant>
        <vt:lpwstr>_Toc379538107</vt:lpwstr>
      </vt:variant>
      <vt:variant>
        <vt:i4>1900600</vt:i4>
      </vt:variant>
      <vt:variant>
        <vt:i4>44</vt:i4>
      </vt:variant>
      <vt:variant>
        <vt:i4>0</vt:i4>
      </vt:variant>
      <vt:variant>
        <vt:i4>5</vt:i4>
      </vt:variant>
      <vt:variant>
        <vt:lpwstr/>
      </vt:variant>
      <vt:variant>
        <vt:lpwstr>_Toc379538106</vt:lpwstr>
      </vt:variant>
      <vt:variant>
        <vt:i4>1900600</vt:i4>
      </vt:variant>
      <vt:variant>
        <vt:i4>38</vt:i4>
      </vt:variant>
      <vt:variant>
        <vt:i4>0</vt:i4>
      </vt:variant>
      <vt:variant>
        <vt:i4>5</vt:i4>
      </vt:variant>
      <vt:variant>
        <vt:lpwstr/>
      </vt:variant>
      <vt:variant>
        <vt:lpwstr>_Toc379538105</vt:lpwstr>
      </vt:variant>
      <vt:variant>
        <vt:i4>1900600</vt:i4>
      </vt:variant>
      <vt:variant>
        <vt:i4>32</vt:i4>
      </vt:variant>
      <vt:variant>
        <vt:i4>0</vt:i4>
      </vt:variant>
      <vt:variant>
        <vt:i4>5</vt:i4>
      </vt:variant>
      <vt:variant>
        <vt:lpwstr/>
      </vt:variant>
      <vt:variant>
        <vt:lpwstr>_Toc379538104</vt:lpwstr>
      </vt:variant>
      <vt:variant>
        <vt:i4>1900600</vt:i4>
      </vt:variant>
      <vt:variant>
        <vt:i4>26</vt:i4>
      </vt:variant>
      <vt:variant>
        <vt:i4>0</vt:i4>
      </vt:variant>
      <vt:variant>
        <vt:i4>5</vt:i4>
      </vt:variant>
      <vt:variant>
        <vt:lpwstr/>
      </vt:variant>
      <vt:variant>
        <vt:lpwstr>_Toc379538103</vt:lpwstr>
      </vt:variant>
      <vt:variant>
        <vt:i4>1900600</vt:i4>
      </vt:variant>
      <vt:variant>
        <vt:i4>20</vt:i4>
      </vt:variant>
      <vt:variant>
        <vt:i4>0</vt:i4>
      </vt:variant>
      <vt:variant>
        <vt:i4>5</vt:i4>
      </vt:variant>
      <vt:variant>
        <vt:lpwstr/>
      </vt:variant>
      <vt:variant>
        <vt:lpwstr>_Toc379538102</vt:lpwstr>
      </vt:variant>
      <vt:variant>
        <vt:i4>1900600</vt:i4>
      </vt:variant>
      <vt:variant>
        <vt:i4>14</vt:i4>
      </vt:variant>
      <vt:variant>
        <vt:i4>0</vt:i4>
      </vt:variant>
      <vt:variant>
        <vt:i4>5</vt:i4>
      </vt:variant>
      <vt:variant>
        <vt:lpwstr/>
      </vt:variant>
      <vt:variant>
        <vt:lpwstr>_Toc379538101</vt:lpwstr>
      </vt:variant>
      <vt:variant>
        <vt:i4>1900600</vt:i4>
      </vt:variant>
      <vt:variant>
        <vt:i4>8</vt:i4>
      </vt:variant>
      <vt:variant>
        <vt:i4>0</vt:i4>
      </vt:variant>
      <vt:variant>
        <vt:i4>5</vt:i4>
      </vt:variant>
      <vt:variant>
        <vt:lpwstr/>
      </vt:variant>
      <vt:variant>
        <vt:lpwstr>_Toc379538100</vt:lpwstr>
      </vt:variant>
      <vt:variant>
        <vt:i4>1310777</vt:i4>
      </vt:variant>
      <vt:variant>
        <vt:i4>2</vt:i4>
      </vt:variant>
      <vt:variant>
        <vt:i4>0</vt:i4>
      </vt:variant>
      <vt:variant>
        <vt:i4>5</vt:i4>
      </vt:variant>
      <vt:variant>
        <vt:lpwstr/>
      </vt:variant>
      <vt:variant>
        <vt:lpwstr>_Toc379538099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19707_PliegoClausulasTecnicas_v1.0_20170704</dc:title>
  <dc:creator>Alexandra González</dc:creator>
  <cp:lastModifiedBy>Luengo Díaz, Oscar (SNS-O Hospital Universitario de Navarra)</cp:lastModifiedBy>
  <cp:revision>5</cp:revision>
  <cp:lastPrinted>2013-04-12T07:19:00Z</cp:lastPrinted>
  <dcterms:created xsi:type="dcterms:W3CDTF">2025-05-26T08:58:00Z</dcterms:created>
  <dcterms:modified xsi:type="dcterms:W3CDTF">2025-06-16T12:24:00Z</dcterms:modified>
</cp:coreProperties>
</file>