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AFA" w:rsidRDefault="009B4AFA" w:rsidP="009B4AFA">
      <w:pPr>
        <w:pStyle w:val="Ttulo1"/>
        <w:rPr>
          <w:rFonts w:asciiTheme="minorHAnsi" w:hAnsiTheme="minorHAnsi" w:cs="Arial"/>
          <w:sz w:val="24"/>
          <w:szCs w:val="24"/>
        </w:rPr>
      </w:pPr>
      <w:r w:rsidRPr="004827E6">
        <w:rPr>
          <w:rFonts w:asciiTheme="minorHAnsi" w:hAnsiTheme="minorHAnsi" w:cs="Arial"/>
          <w:sz w:val="24"/>
          <w:szCs w:val="24"/>
        </w:rPr>
        <w:t>ANEXO III. DECLARACIONES EN RELACIÓN CON LA EJECUCIÓN DE ACTUACIONES DEL PLAN DE RECUPERACIÓN, TRANSFORMACIÓN Y RESILIENCIA (PRTR)</w:t>
      </w:r>
    </w:p>
    <w:p w:rsidR="009B4AFA" w:rsidRDefault="009B4AFA" w:rsidP="009B4AFA"/>
    <w:p w:rsidR="009B4AFA" w:rsidRPr="004827E6" w:rsidRDefault="009B4AFA" w:rsidP="009B4AFA"/>
    <w:p w:rsidR="009B4AFA" w:rsidRPr="00416174" w:rsidRDefault="009B4AFA" w:rsidP="009B4AFA">
      <w:pPr>
        <w:rPr>
          <w:rFonts w:asciiTheme="minorHAnsi" w:hAnsiTheme="minorHAnsi" w:cs="Arial"/>
          <w:sz w:val="20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Arial"/>
          <w:sz w:val="20"/>
        </w:rPr>
        <w:t>Contrato para la ejecución de las obras de “</w:t>
      </w:r>
      <w:r w:rsidRPr="00416174">
        <w:rPr>
          <w:rFonts w:asciiTheme="minorHAnsi" w:hAnsiTheme="minorHAnsi"/>
        </w:rPr>
        <w:t>REFORMA DE EDIFICIO SITO EN LA ZONA TURÍSTICA DE JAVIER PARA APARTAMENTOS TURÍSTICOS”</w:t>
      </w:r>
      <w:r w:rsidRPr="00416174">
        <w:rPr>
          <w:rFonts w:asciiTheme="minorHAnsi" w:hAnsiTheme="minorHAnsi" w:cs="Arial"/>
          <w:sz w:val="20"/>
        </w:rPr>
        <w:t xml:space="preserve"> mediante procedimiento abierto, financiado con fondos de la Unión Europea-</w:t>
      </w:r>
      <w:proofErr w:type="spellStart"/>
      <w:r w:rsidRPr="00416174">
        <w:rPr>
          <w:rFonts w:asciiTheme="minorHAnsi" w:hAnsiTheme="minorHAnsi" w:cs="Arial"/>
          <w:sz w:val="20"/>
        </w:rPr>
        <w:t>NextGenerationEU</w:t>
      </w:r>
      <w:proofErr w:type="spellEnd"/>
      <w:r w:rsidRPr="00416174">
        <w:rPr>
          <w:rFonts w:asciiTheme="minorHAnsi" w:hAnsiTheme="minorHAnsi" w:cs="Arial"/>
          <w:sz w:val="20"/>
        </w:rPr>
        <w:t>”.</w:t>
      </w:r>
    </w:p>
    <w:p w:rsidR="009B4AFA" w:rsidRDefault="009B4AFA" w:rsidP="009B4AFA">
      <w:pPr>
        <w:widowControl/>
        <w:shd w:val="clear" w:color="auto" w:fill="FFFFFF"/>
        <w:spacing w:before="360" w:after="180"/>
        <w:rPr>
          <w:rFonts w:asciiTheme="minorHAnsi" w:hAnsiTheme="minorHAnsi" w:cstheme="minorHAnsi"/>
          <w:szCs w:val="22"/>
          <w:lang w:val="es-ES"/>
        </w:rPr>
      </w:pPr>
    </w:p>
    <w:p w:rsidR="009B4AFA" w:rsidRPr="00416174" w:rsidRDefault="009B4AFA" w:rsidP="009B4AFA">
      <w:pPr>
        <w:widowControl/>
        <w:shd w:val="clear" w:color="auto" w:fill="FFFFFF"/>
        <w:spacing w:before="360" w:after="18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 xml:space="preserve">Don/Doña ………………………………………………., con DNI …………………….., como  Consejero/a Delegado/a o Gerente de la entidad ………………………………………………………………………….., con NIF ………………………………………………………………..., y domicilio fiscal en </w:t>
      </w:r>
      <w:r w:rsidRPr="00416174">
        <w:rPr>
          <w:rFonts w:asciiTheme="minorHAnsi" w:hAnsiTheme="minorHAnsi" w:cstheme="minorHAnsi"/>
          <w:i/>
          <w:szCs w:val="22"/>
          <w:lang w:val="es-ES" w:eastAsia="en-US"/>
        </w:rPr>
        <w:t>……………………………………………………………………</w:t>
      </w:r>
      <w:r w:rsidRPr="00416174">
        <w:rPr>
          <w:rFonts w:asciiTheme="minorHAnsi" w:hAnsiTheme="minorHAnsi" w:cstheme="minorHAnsi"/>
          <w:szCs w:val="22"/>
          <w:lang w:val="es-ES"/>
        </w:rPr>
        <w:t>en la condición de contratista de un contrato financiado con recursos provenientes del PRTR, formula las siguientes DECLARACIONES:</w:t>
      </w:r>
    </w:p>
    <w:p w:rsidR="009B4AFA" w:rsidRPr="00416174" w:rsidRDefault="009B4AFA" w:rsidP="009B4AFA">
      <w:pPr>
        <w:widowControl/>
        <w:numPr>
          <w:ilvl w:val="0"/>
          <w:numId w:val="1"/>
        </w:numPr>
        <w:shd w:val="clear" w:color="auto" w:fill="FFFFFF"/>
        <w:spacing w:before="360" w:after="180"/>
        <w:rPr>
          <w:rFonts w:asciiTheme="minorHAnsi" w:hAnsiTheme="minorHAnsi" w:cstheme="minorHAnsi"/>
          <w:b/>
          <w:szCs w:val="22"/>
          <w:lang w:val="es-ES"/>
        </w:rPr>
      </w:pPr>
      <w:r w:rsidRPr="00416174">
        <w:rPr>
          <w:rFonts w:asciiTheme="minorHAnsi" w:hAnsiTheme="minorHAnsi" w:cstheme="minorHAnsi"/>
          <w:b/>
          <w:szCs w:val="22"/>
          <w:lang w:val="es-ES"/>
        </w:rPr>
        <w:t>Declaración de ausencia de conflicto de intereses:</w:t>
      </w: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szCs w:val="22"/>
          <w:lang w:val="es-ES" w:eastAsia="en-US"/>
        </w:rPr>
        <w:t>Al objeto de garantizar la imparcialidad en el procedimiento arriba referenciado, la persona que suscribe declara:</w:t>
      </w: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>Primero</w:t>
      </w:r>
      <w:r w:rsidRPr="00416174">
        <w:rPr>
          <w:rFonts w:asciiTheme="minorHAnsi" w:hAnsiTheme="minorHAnsi" w:cstheme="minorHAnsi"/>
          <w:b/>
          <w:bCs/>
          <w:szCs w:val="22"/>
          <w:lang w:val="es-ES" w:eastAsia="en-US"/>
        </w:rPr>
        <w:t xml:space="preserve">.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Estar informada de lo siguiente: </w:t>
      </w: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Que el </w:t>
      </w: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artículo 61.3 </w:t>
      </w: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>“Conflicto de intereses”</w:t>
      </w:r>
      <w:r w:rsidRPr="00416174">
        <w:rPr>
          <w:rFonts w:asciiTheme="minorHAnsi" w:hAnsiTheme="minorHAnsi" w:cstheme="minorHAnsi"/>
          <w:bCs/>
          <w:i/>
          <w:iCs/>
          <w:szCs w:val="22"/>
          <w:lang w:val="es-ES" w:eastAsia="en-US"/>
        </w:rPr>
        <w:t xml:space="preserve">, </w:t>
      </w: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del Reglamento (UE, </w:t>
      </w:r>
      <w:proofErr w:type="spellStart"/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>Euratom</w:t>
      </w:r>
      <w:proofErr w:type="spellEnd"/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) 2018/1046 del Parlamento Europeo y del Consejo, de 18 de julio (Reglamento financiero de la UE)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>establece que “</w:t>
      </w: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existirá </w:t>
      </w:r>
      <w:r w:rsidRPr="00416174">
        <w:rPr>
          <w:rFonts w:asciiTheme="minorHAnsi" w:hAnsiTheme="minorHAnsi" w:cstheme="minorHAnsi"/>
          <w:bCs/>
          <w:i/>
          <w:iCs/>
          <w:szCs w:val="22"/>
          <w:lang w:val="es-ES" w:eastAsia="en-US"/>
        </w:rPr>
        <w:t xml:space="preserve">conflicto de intereses </w:t>
      </w: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cuando el ejercicio imparcial y objetivo de las funciones se vea comprometido por razones familiares, afectivas, de afinidad política o nacional, de interés económico o por cualquier motivo directo o indirecto de interés personal”. </w:t>
      </w:r>
    </w:p>
    <w:p w:rsidR="009B4AFA" w:rsidRPr="00416174" w:rsidRDefault="009B4AFA" w:rsidP="009B4AFA">
      <w:pPr>
        <w:widowControl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Que el </w:t>
      </w: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artículo 52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>“</w:t>
      </w: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>Resolución de los conflictos de interés</w:t>
      </w: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” de </w:t>
      </w: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la Ley Foral 2/2018, de 13 de abril, de Contratos del Sector Público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tiene el fin de evitar cualquier distorsión de la competencia y garantizar la transparencia en el procedimiento y asegurar la igualdad de trato a todos los candidatos y licitadores. </w:t>
      </w:r>
    </w:p>
    <w:p w:rsidR="009B4AFA" w:rsidRPr="00416174" w:rsidRDefault="009B4AFA" w:rsidP="009B4AFA">
      <w:pPr>
        <w:widowControl/>
        <w:numPr>
          <w:ilvl w:val="0"/>
          <w:numId w:val="4"/>
        </w:numPr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Que el </w:t>
      </w: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artículo 23 </w:t>
      </w: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“Abstención”,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de la </w:t>
      </w: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Ley 40/2015, de 1 octubre, de Régimen Jurídico del Sector Público,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>establece que deberán abstenerse de intervenir en el procedimiento “</w:t>
      </w: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las autoridades y el personal al servicio de las Administraciones en quienes se den algunas de las circunstancias señaladas en el apartado siguiente”,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siendo éstas: </w:t>
      </w:r>
    </w:p>
    <w:p w:rsidR="009B4AFA" w:rsidRPr="00416174" w:rsidRDefault="009B4AFA" w:rsidP="009B4AFA">
      <w:pPr>
        <w:widowControl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2"/>
          <w:lang w:val="es-ES" w:eastAsia="en-US"/>
        </w:rPr>
      </w:pP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Tener interés personal en el asunto de que se trate o en otro en cuya resolución pudiera influir la de aquél; ser administrador de sociedad o entidad interesada, o tener cuestión litigiosa pendiente con algún interesado. </w:t>
      </w:r>
    </w:p>
    <w:p w:rsidR="009B4AFA" w:rsidRPr="00416174" w:rsidRDefault="009B4AFA" w:rsidP="009B4AFA">
      <w:pPr>
        <w:widowControl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2"/>
          <w:lang w:val="es-ES" w:eastAsia="en-US"/>
        </w:rPr>
      </w:pP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:rsidR="009B4AFA" w:rsidRPr="00416174" w:rsidRDefault="009B4AFA" w:rsidP="009B4AFA">
      <w:pPr>
        <w:widowControl/>
        <w:autoSpaceDE w:val="0"/>
        <w:autoSpaceDN w:val="0"/>
        <w:adjustRightInd w:val="0"/>
        <w:ind w:left="720"/>
        <w:rPr>
          <w:rFonts w:asciiTheme="minorHAnsi" w:hAnsiTheme="minorHAnsi" w:cstheme="minorHAnsi"/>
          <w:i/>
          <w:iCs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2"/>
          <w:lang w:val="es-ES" w:eastAsia="en-US"/>
        </w:rPr>
      </w:pP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Tener amistad íntima o enemistad manifiesta con alguna de las personas mencionadas en el apartado anterior. </w:t>
      </w:r>
    </w:p>
    <w:p w:rsidR="009B4AFA" w:rsidRPr="00416174" w:rsidRDefault="009B4AFA" w:rsidP="009B4AFA">
      <w:pPr>
        <w:widowControl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2"/>
          <w:lang w:val="es-ES" w:eastAsia="en-US"/>
        </w:rPr>
      </w:pP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Haber intervenido como perito o como testigo en el procedimiento de que se trate. </w:t>
      </w: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0"/>
          <w:numId w:val="3"/>
        </w:numPr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b/>
          <w:bCs/>
          <w:szCs w:val="22"/>
          <w:lang w:val="es-ES" w:eastAsia="en-US"/>
        </w:rPr>
      </w:pP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Segundo.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Cs w:val="22"/>
          <w:lang w:val="es-ES" w:eastAsia="en-US"/>
        </w:rPr>
      </w:pP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 xml:space="preserve">Tercero. </w:t>
      </w:r>
      <w:r w:rsidRPr="00416174">
        <w:rPr>
          <w:rFonts w:asciiTheme="minorHAnsi" w:hAnsiTheme="minorHAnsi" w:cstheme="minorHAnsi"/>
          <w:szCs w:val="22"/>
          <w:lang w:val="es-ES" w:eastAsia="en-US"/>
        </w:rPr>
        <w:t xml:space="preserve">Que se compromete a poner en conocimiento del órgano correspondiente, sin dilación, cualquier situación de conflicto de intereses o causa de abstención que dé o pudiera dar lugar a dicho escenario. </w:t>
      </w:r>
    </w:p>
    <w:p w:rsidR="009B4AFA" w:rsidRPr="00416174" w:rsidRDefault="009B4AFA" w:rsidP="009B4AFA">
      <w:pPr>
        <w:widowControl/>
        <w:rPr>
          <w:rFonts w:asciiTheme="minorHAnsi" w:hAnsiTheme="minorHAnsi" w:cstheme="minorHAnsi"/>
          <w:bCs/>
          <w:szCs w:val="22"/>
        </w:rPr>
      </w:pPr>
    </w:p>
    <w:p w:rsidR="009B4AFA" w:rsidRPr="00416174" w:rsidRDefault="009B4AFA" w:rsidP="009B4AFA">
      <w:pPr>
        <w:widowControl/>
        <w:autoSpaceDE w:val="0"/>
        <w:autoSpaceDN w:val="0"/>
        <w:adjustRightInd w:val="0"/>
        <w:rPr>
          <w:rFonts w:asciiTheme="minorHAnsi" w:hAnsiTheme="minorHAnsi" w:cstheme="minorHAnsi"/>
          <w:bCs/>
          <w:szCs w:val="22"/>
          <w:lang w:val="es-ES" w:eastAsia="en-US"/>
        </w:rPr>
      </w:pPr>
      <w:r w:rsidRPr="00416174">
        <w:rPr>
          <w:rFonts w:asciiTheme="minorHAnsi" w:hAnsiTheme="minorHAnsi" w:cstheme="minorHAnsi"/>
          <w:bCs/>
          <w:szCs w:val="22"/>
          <w:lang w:val="es-ES" w:eastAsia="en-US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:rsidR="009B4AFA" w:rsidRPr="00416174" w:rsidRDefault="009B4AFA" w:rsidP="009B4AFA">
      <w:pPr>
        <w:widowControl/>
        <w:numPr>
          <w:ilvl w:val="0"/>
          <w:numId w:val="1"/>
        </w:numPr>
        <w:shd w:val="clear" w:color="auto" w:fill="FFFFFF"/>
        <w:spacing w:before="360" w:after="180"/>
        <w:rPr>
          <w:rFonts w:asciiTheme="minorHAnsi" w:hAnsiTheme="minorHAnsi" w:cstheme="minorHAnsi"/>
          <w:b/>
          <w:szCs w:val="22"/>
          <w:lang w:val="es-ES"/>
        </w:rPr>
      </w:pPr>
      <w:r w:rsidRPr="00416174">
        <w:rPr>
          <w:rFonts w:asciiTheme="minorHAnsi" w:hAnsiTheme="minorHAnsi" w:cstheme="minorHAnsi"/>
          <w:b/>
          <w:szCs w:val="22"/>
          <w:lang w:val="es-ES"/>
        </w:rPr>
        <w:t>Declaración de cesión y tratamiento de datos:</w:t>
      </w:r>
    </w:p>
    <w:p w:rsidR="009B4AFA" w:rsidRPr="00416174" w:rsidRDefault="009B4AFA" w:rsidP="009B4AFA">
      <w:pPr>
        <w:widowControl/>
        <w:shd w:val="clear" w:color="auto" w:fill="FFFFFF"/>
        <w:spacing w:before="360" w:after="18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>Quien suscribe declara conocer la normativa que es de aplicación, en particular, los siguientes apartados del artículo 22 del Reglamento (UE) 2021/241 del Parlamento Europeo y del Consejo, de 12 de febrero de 2021, por el que se establece el Mecanismo de Recuperación y Resiliencia (MRR):</w:t>
      </w:r>
    </w:p>
    <w:p w:rsidR="009B4AFA" w:rsidRPr="00416174" w:rsidRDefault="009B4AFA" w:rsidP="009B4AFA">
      <w:pPr>
        <w:widowControl/>
        <w:numPr>
          <w:ilvl w:val="0"/>
          <w:numId w:val="2"/>
        </w:numPr>
        <w:shd w:val="clear" w:color="auto" w:fill="FFFFFF"/>
        <w:spacing w:before="360" w:after="180"/>
        <w:rPr>
          <w:rFonts w:asciiTheme="minorHAnsi" w:hAnsiTheme="minorHAnsi" w:cstheme="minorHAnsi"/>
          <w:i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>La letra d) del apartado 2: «</w:t>
      </w:r>
      <w:r w:rsidRPr="00416174">
        <w:rPr>
          <w:rFonts w:asciiTheme="minorHAnsi" w:hAnsiTheme="minorHAnsi" w:cstheme="minorHAnsi"/>
          <w:i/>
          <w:szCs w:val="22"/>
          <w:lang w:val="es-ES"/>
        </w:rPr>
        <w:t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9B4AFA" w:rsidRPr="00416174" w:rsidRDefault="009B4AFA" w:rsidP="009B4AFA">
      <w:pPr>
        <w:widowControl/>
        <w:shd w:val="clear" w:color="auto" w:fill="FFFFFF"/>
        <w:spacing w:before="360" w:after="180"/>
        <w:ind w:left="349"/>
        <w:rPr>
          <w:rFonts w:asciiTheme="minorHAnsi" w:hAnsiTheme="minorHAnsi" w:cstheme="minorHAnsi"/>
          <w:i/>
          <w:szCs w:val="22"/>
          <w:lang w:val="es-ES"/>
        </w:rPr>
      </w:pPr>
      <w:r w:rsidRPr="00416174">
        <w:rPr>
          <w:rFonts w:asciiTheme="minorHAnsi" w:hAnsiTheme="minorHAnsi" w:cstheme="minorHAnsi"/>
          <w:i/>
          <w:szCs w:val="22"/>
          <w:lang w:val="es-ES"/>
        </w:rPr>
        <w:t>i.</w:t>
      </w:r>
      <w:r w:rsidRPr="00416174">
        <w:rPr>
          <w:rFonts w:asciiTheme="minorHAnsi" w:hAnsiTheme="minorHAnsi" w:cstheme="minorHAnsi"/>
          <w:i/>
          <w:szCs w:val="22"/>
          <w:lang w:val="es-ES"/>
        </w:rPr>
        <w:t> </w:t>
      </w:r>
      <w:r w:rsidRPr="00416174">
        <w:rPr>
          <w:rFonts w:asciiTheme="minorHAnsi" w:hAnsiTheme="minorHAnsi" w:cstheme="minorHAnsi"/>
          <w:i/>
          <w:szCs w:val="22"/>
          <w:lang w:val="es-ES"/>
        </w:rPr>
        <w:t>El nombre del perceptor final de los fondos;</w:t>
      </w:r>
    </w:p>
    <w:p w:rsidR="009B4AFA" w:rsidRPr="00416174" w:rsidRDefault="009B4AFA" w:rsidP="009B4AFA">
      <w:pPr>
        <w:widowControl/>
        <w:shd w:val="clear" w:color="auto" w:fill="FFFFFF"/>
        <w:spacing w:before="180" w:after="180"/>
        <w:ind w:left="349"/>
        <w:rPr>
          <w:rFonts w:asciiTheme="minorHAnsi" w:hAnsiTheme="minorHAnsi" w:cstheme="minorHAnsi"/>
          <w:i/>
          <w:szCs w:val="22"/>
          <w:lang w:val="es-ES"/>
        </w:rPr>
      </w:pPr>
      <w:r w:rsidRPr="00416174">
        <w:rPr>
          <w:rFonts w:asciiTheme="minorHAnsi" w:hAnsiTheme="minorHAnsi" w:cstheme="minorHAnsi"/>
          <w:i/>
          <w:szCs w:val="22"/>
          <w:lang w:val="es-ES"/>
        </w:rPr>
        <w:t>ii.</w:t>
      </w:r>
      <w:r w:rsidRPr="00416174">
        <w:rPr>
          <w:rFonts w:asciiTheme="minorHAnsi" w:hAnsiTheme="minorHAnsi" w:cstheme="minorHAnsi"/>
          <w:i/>
          <w:szCs w:val="22"/>
          <w:lang w:val="es-ES"/>
        </w:rPr>
        <w:t> </w:t>
      </w:r>
      <w:r w:rsidRPr="00416174">
        <w:rPr>
          <w:rFonts w:asciiTheme="minorHAnsi" w:hAnsiTheme="minorHAnsi" w:cstheme="minorHAnsi"/>
          <w:i/>
          <w:szCs w:val="22"/>
          <w:lang w:val="es-ES"/>
        </w:rPr>
        <w:t>El nombre del contratista y del subcontratista, cuando el perceptor final de los fondos sea un poder adjudicador de conformidad con el Derecho de la Unión o nacional en materia de contratación pública;</w:t>
      </w:r>
    </w:p>
    <w:p w:rsidR="009B4AFA" w:rsidRPr="00416174" w:rsidRDefault="009B4AFA" w:rsidP="009B4AFA">
      <w:pPr>
        <w:widowControl/>
        <w:shd w:val="clear" w:color="auto" w:fill="FFFFFF"/>
        <w:spacing w:before="180" w:after="180"/>
        <w:ind w:left="349"/>
        <w:rPr>
          <w:rFonts w:asciiTheme="minorHAnsi" w:hAnsiTheme="minorHAnsi" w:cstheme="minorHAnsi"/>
          <w:i/>
          <w:szCs w:val="22"/>
          <w:lang w:val="es-ES"/>
        </w:rPr>
      </w:pPr>
      <w:r w:rsidRPr="00416174">
        <w:rPr>
          <w:rFonts w:asciiTheme="minorHAnsi" w:hAnsiTheme="minorHAnsi" w:cstheme="minorHAnsi"/>
          <w:i/>
          <w:szCs w:val="22"/>
          <w:lang w:val="es-ES"/>
        </w:rPr>
        <w:t>iii.</w:t>
      </w:r>
      <w:r w:rsidRPr="00416174">
        <w:rPr>
          <w:rFonts w:asciiTheme="minorHAnsi" w:hAnsiTheme="minorHAnsi" w:cstheme="minorHAnsi"/>
          <w:i/>
          <w:szCs w:val="22"/>
          <w:lang w:val="es-ES"/>
        </w:rPr>
        <w:t> </w:t>
      </w:r>
      <w:r w:rsidRPr="00416174">
        <w:rPr>
          <w:rFonts w:asciiTheme="minorHAnsi" w:hAnsiTheme="minorHAnsi" w:cstheme="minorHAnsi"/>
          <w:i/>
          <w:szCs w:val="22"/>
          <w:lang w:val="es-ES"/>
        </w:rPr>
        <w:t>Los nombres, apellidos y fechas de nacimiento de los titulares reales del perceptor de los fondos o del contratista, según se define en el artículo 3, punto 6, de la Directiva (UE) 2015/849 del Parlamento Europeo y del Consejo (26);</w:t>
      </w:r>
    </w:p>
    <w:p w:rsidR="009B4AFA" w:rsidRPr="00416174" w:rsidRDefault="009B4AFA" w:rsidP="009B4AFA">
      <w:pPr>
        <w:widowControl/>
        <w:shd w:val="clear" w:color="auto" w:fill="FFFFFF"/>
        <w:spacing w:before="180" w:after="180"/>
        <w:ind w:left="349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i/>
          <w:szCs w:val="22"/>
          <w:lang w:val="es-ES"/>
        </w:rPr>
        <w:t>iv.</w:t>
      </w:r>
      <w:r w:rsidRPr="00416174">
        <w:rPr>
          <w:rFonts w:asciiTheme="minorHAnsi" w:hAnsiTheme="minorHAnsi" w:cstheme="minorHAnsi"/>
          <w:i/>
          <w:szCs w:val="22"/>
          <w:lang w:val="es-ES"/>
        </w:rPr>
        <w:t> </w:t>
      </w:r>
      <w:r w:rsidRPr="00416174">
        <w:rPr>
          <w:rFonts w:asciiTheme="minorHAnsi" w:hAnsiTheme="minorHAnsi" w:cstheme="minorHAnsi"/>
          <w:i/>
          <w:szCs w:val="22"/>
          <w:lang w:val="es-ES"/>
        </w:rPr>
        <w:t xml:space="preserve">Una lista de medidas para la ejecución de reformas y proyectos de inversión en el marco del plan de recuperación y resiliencia, junto con el importe total de la financiación pública de </w:t>
      </w:r>
      <w:r w:rsidRPr="00416174">
        <w:rPr>
          <w:rFonts w:asciiTheme="minorHAnsi" w:hAnsiTheme="minorHAnsi" w:cstheme="minorHAnsi"/>
          <w:i/>
          <w:szCs w:val="22"/>
          <w:lang w:val="es-ES"/>
        </w:rPr>
        <w:lastRenderedPageBreak/>
        <w:t>dichas medidas y que indique la cuantía de los fondos desembolsados en el marco del Mecanismo y de otros fondos de la Unión</w:t>
      </w:r>
      <w:r w:rsidRPr="00416174">
        <w:rPr>
          <w:rFonts w:asciiTheme="minorHAnsi" w:hAnsiTheme="minorHAnsi" w:cstheme="minorHAnsi"/>
          <w:szCs w:val="22"/>
          <w:lang w:val="es-ES"/>
        </w:rPr>
        <w:t>».</w:t>
      </w:r>
    </w:p>
    <w:p w:rsidR="009B4AFA" w:rsidRPr="00416174" w:rsidRDefault="009B4AFA" w:rsidP="009B4AFA">
      <w:pPr>
        <w:widowControl/>
        <w:numPr>
          <w:ilvl w:val="0"/>
          <w:numId w:val="2"/>
        </w:numPr>
        <w:shd w:val="clear" w:color="auto" w:fill="FFFFFF"/>
        <w:spacing w:before="36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>Apartado 3: «</w:t>
      </w:r>
      <w:r w:rsidRPr="00416174">
        <w:rPr>
          <w:rFonts w:asciiTheme="minorHAnsi" w:hAnsiTheme="minorHAnsi" w:cstheme="minorHAnsi"/>
          <w:i/>
          <w:szCs w:val="22"/>
          <w:lang w:val="es-ES"/>
        </w:rPr>
        <w:t>Los datos personales mencionados en el apartado 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 15, apartado 2, y 23, apartado 1. En el marco del procedimiento de aprobación de la gestión de la Comisión, de conformidad con el artículo 319 del TFUE, el Mecanismo estará sujeto a la presentación de informes en el marco de la información financiera y de rendición de cuentas integrada a que se refiere el artículo 247 del Reglamento Financiero y, en particular, por separado, en el informe anual de gestión y rendimiento</w:t>
      </w:r>
      <w:r w:rsidRPr="00416174">
        <w:rPr>
          <w:rFonts w:asciiTheme="minorHAnsi" w:hAnsiTheme="minorHAnsi" w:cstheme="minorHAnsi"/>
          <w:szCs w:val="22"/>
          <w:lang w:val="es-ES"/>
        </w:rPr>
        <w:t>».</w:t>
      </w:r>
    </w:p>
    <w:p w:rsidR="009B4AFA" w:rsidRPr="00416174" w:rsidRDefault="009B4AFA" w:rsidP="009B4AFA">
      <w:pPr>
        <w:widowControl/>
        <w:shd w:val="clear" w:color="auto" w:fill="FFFFFF"/>
        <w:spacing w:before="360" w:after="180"/>
        <w:ind w:left="36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>Conforme al marco jurídico expuesto, manifiesta acceder a la cesión y tratamiento de los datos con los fines expresamente relacionados en los artículos citados.</w:t>
      </w:r>
    </w:p>
    <w:p w:rsidR="009B4AFA" w:rsidRPr="00416174" w:rsidRDefault="009B4AFA" w:rsidP="009B4AFA">
      <w:pPr>
        <w:widowControl/>
        <w:numPr>
          <w:ilvl w:val="0"/>
          <w:numId w:val="1"/>
        </w:numPr>
        <w:shd w:val="clear" w:color="auto" w:fill="FFFFFF"/>
        <w:spacing w:before="360" w:after="18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b/>
          <w:szCs w:val="22"/>
          <w:lang w:val="es-ES"/>
        </w:rPr>
        <w:t>Declaración de compromiso de cumplimiento de principios transversales:</w:t>
      </w:r>
    </w:p>
    <w:p w:rsidR="009B4AFA" w:rsidRPr="00416174" w:rsidRDefault="009B4AFA" w:rsidP="009B4AFA">
      <w:pPr>
        <w:widowControl/>
        <w:shd w:val="clear" w:color="auto" w:fill="FFFFFF"/>
        <w:spacing w:before="360" w:after="18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:rsidR="009B4AFA" w:rsidRPr="00416174" w:rsidRDefault="009B4AFA" w:rsidP="009B4AFA">
      <w:pPr>
        <w:widowControl/>
        <w:shd w:val="clear" w:color="auto" w:fill="FFFFFF"/>
        <w:spacing w:before="180" w:after="18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416174">
        <w:rPr>
          <w:rFonts w:asciiTheme="minorHAnsi" w:hAnsiTheme="minorHAnsi" w:cstheme="minorHAnsi"/>
          <w:i/>
          <w:iCs/>
          <w:szCs w:val="22"/>
          <w:lang w:val="es-ES"/>
        </w:rPr>
        <w:t xml:space="preserve">do no </w:t>
      </w:r>
      <w:proofErr w:type="spellStart"/>
      <w:r w:rsidRPr="00416174">
        <w:rPr>
          <w:rFonts w:asciiTheme="minorHAnsi" w:hAnsiTheme="minorHAnsi" w:cstheme="minorHAnsi"/>
          <w:i/>
          <w:iCs/>
          <w:szCs w:val="22"/>
          <w:lang w:val="es-ES"/>
        </w:rPr>
        <w:t>significant</w:t>
      </w:r>
      <w:proofErr w:type="spellEnd"/>
      <w:r w:rsidRPr="00416174">
        <w:rPr>
          <w:rFonts w:asciiTheme="minorHAnsi" w:hAnsiTheme="minorHAnsi" w:cstheme="minorHAnsi"/>
          <w:i/>
          <w:iCs/>
          <w:szCs w:val="22"/>
          <w:lang w:val="es-ES"/>
        </w:rPr>
        <w:t xml:space="preserve"> </w:t>
      </w:r>
      <w:proofErr w:type="spellStart"/>
      <w:r w:rsidRPr="00416174">
        <w:rPr>
          <w:rFonts w:asciiTheme="minorHAnsi" w:hAnsiTheme="minorHAnsi" w:cstheme="minorHAnsi"/>
          <w:i/>
          <w:iCs/>
          <w:szCs w:val="22"/>
          <w:lang w:val="es-ES"/>
        </w:rPr>
        <w:t>harm</w:t>
      </w:r>
      <w:proofErr w:type="spellEnd"/>
      <w:r w:rsidRPr="00416174">
        <w:rPr>
          <w:rFonts w:asciiTheme="minorHAnsi" w:hAnsiTheme="minorHAnsi" w:cstheme="minorHAnsi"/>
          <w:szCs w:val="22"/>
          <w:lang w:val="es-ES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9B4AFA" w:rsidRPr="00416174" w:rsidRDefault="009B4AFA" w:rsidP="009B4AFA">
      <w:pPr>
        <w:widowControl/>
        <w:numPr>
          <w:ilvl w:val="0"/>
          <w:numId w:val="1"/>
        </w:numPr>
        <w:shd w:val="clear" w:color="auto" w:fill="FFFFFF"/>
        <w:spacing w:before="360" w:after="180"/>
        <w:rPr>
          <w:rFonts w:asciiTheme="minorHAnsi" w:hAnsiTheme="minorHAnsi" w:cstheme="minorHAnsi"/>
          <w:b/>
          <w:szCs w:val="22"/>
          <w:lang w:val="es-ES"/>
        </w:rPr>
      </w:pPr>
      <w:r w:rsidRPr="00416174">
        <w:rPr>
          <w:rFonts w:asciiTheme="minorHAnsi" w:hAnsiTheme="minorHAnsi" w:cstheme="minorHAnsi"/>
          <w:b/>
          <w:szCs w:val="22"/>
          <w:lang w:val="es-ES"/>
        </w:rPr>
        <w:t>Declaración sobre el cumplimiento del principio de no perjuicio significativo a los seis objetivos medioambientales (DNSH)</w:t>
      </w:r>
    </w:p>
    <w:p w:rsidR="009B4AFA" w:rsidRPr="00416174" w:rsidRDefault="009B4AFA" w:rsidP="009B4AFA">
      <w:pPr>
        <w:autoSpaceDE w:val="0"/>
        <w:autoSpaceDN w:val="0"/>
        <w:spacing w:before="159" w:line="276" w:lineRule="auto"/>
        <w:ind w:left="102" w:right="120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</w:t>
      </w:r>
    </w:p>
    <w:p w:rsidR="009B4AFA" w:rsidRPr="00416174" w:rsidRDefault="009B4AFA" w:rsidP="009B4AFA">
      <w:pPr>
        <w:autoSpaceDE w:val="0"/>
        <w:autoSpaceDN w:val="0"/>
        <w:spacing w:before="159" w:line="276" w:lineRule="auto"/>
        <w:ind w:left="102" w:right="120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0"/>
          <w:numId w:val="5"/>
        </w:numPr>
        <w:tabs>
          <w:tab w:val="left" w:pos="462"/>
        </w:tabs>
        <w:autoSpaceDE w:val="0"/>
        <w:autoSpaceDN w:val="0"/>
        <w:spacing w:line="276" w:lineRule="auto"/>
        <w:ind w:right="11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NO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CAUSA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UN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PERJUICIO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SIGNIFICATIVO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SEIS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OBJETIVOS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MEDIOAMBIENTALES</w:t>
      </w:r>
      <w:r w:rsidRPr="00416174">
        <w:rPr>
          <w:rFonts w:asciiTheme="minorHAnsi" w:eastAsia="Arial MT" w:hAnsiTheme="minorHAnsi" w:cstheme="minorHAnsi"/>
          <w:b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del artículo 17 del Reglamento (UE) 2020/852, que se enumeran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416174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continuación:</w:t>
      </w:r>
    </w:p>
    <w:p w:rsidR="009B4AFA" w:rsidRPr="00416174" w:rsidRDefault="009B4AFA" w:rsidP="009B4AFA">
      <w:pPr>
        <w:autoSpaceDE w:val="0"/>
        <w:autoSpaceDN w:val="0"/>
        <w:spacing w:before="10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1"/>
          <w:numId w:val="5"/>
        </w:numPr>
        <w:tabs>
          <w:tab w:val="left" w:pos="669"/>
        </w:tabs>
        <w:autoSpaceDE w:val="0"/>
        <w:autoSpaceDN w:val="0"/>
        <w:spacing w:line="278" w:lineRule="auto"/>
        <w:ind w:right="12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hAnsiTheme="minorHAnsi" w:cstheme="minorHAnsi"/>
          <w:i/>
          <w:iCs/>
          <w:szCs w:val="22"/>
          <w:lang w:val="es-ES" w:eastAsia="en-US"/>
        </w:rPr>
        <w:t>Mitigación del cambio climático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- se considera que una actividad causa un perjuicio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significativo a la mitigación del cambio climático si da lugar a considerables emisiones de</w:t>
      </w:r>
      <w:r w:rsidRPr="00416174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gases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efecto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invernadero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(GEI).</w:t>
      </w:r>
    </w:p>
    <w:p w:rsidR="009B4AFA" w:rsidRPr="00416174" w:rsidRDefault="009B4AFA" w:rsidP="009B4AFA">
      <w:pPr>
        <w:widowControl/>
        <w:numPr>
          <w:ilvl w:val="0"/>
          <w:numId w:val="8"/>
        </w:numPr>
        <w:tabs>
          <w:tab w:val="left" w:pos="1473"/>
        </w:tabs>
        <w:autoSpaceDE w:val="0"/>
        <w:autoSpaceDN w:val="0"/>
        <w:spacing w:before="158" w:line="269" w:lineRule="exact"/>
        <w:ind w:left="1418" w:hanging="284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 edificios de nueva construcción deben ser edificios de consumo casi nulo (ZEB).</w:t>
      </w:r>
    </w:p>
    <w:p w:rsidR="009B4AFA" w:rsidRPr="00416174" w:rsidRDefault="009B4AFA" w:rsidP="009B4AFA">
      <w:pPr>
        <w:widowControl/>
        <w:numPr>
          <w:ilvl w:val="0"/>
          <w:numId w:val="8"/>
        </w:numPr>
        <w:tabs>
          <w:tab w:val="left" w:pos="1473"/>
        </w:tabs>
        <w:autoSpaceDE w:val="0"/>
        <w:autoSpaceDN w:val="0"/>
        <w:spacing w:before="159" w:line="235" w:lineRule="auto"/>
        <w:ind w:left="1418" w:right="183" w:hanging="284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 xml:space="preserve">Las renovaciones de edificios deben cumplir con la </w:t>
      </w:r>
      <w:hyperlink r:id="rId7">
        <w:r w:rsidRPr="00416174">
          <w:rPr>
            <w:rFonts w:asciiTheme="minorHAnsi" w:eastAsia="Arial MT" w:hAnsiTheme="minorHAnsi" w:cstheme="minorHAnsi"/>
            <w:szCs w:val="22"/>
            <w:lang w:val="es-ES" w:eastAsia="en-US"/>
          </w:rPr>
          <w:t>Directiva de Eficiencia</w:t>
        </w:r>
      </w:hyperlink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 xml:space="preserve"> </w:t>
      </w:r>
      <w:hyperlink r:id="rId8">
        <w:r w:rsidRPr="00416174">
          <w:rPr>
            <w:rFonts w:asciiTheme="minorHAnsi" w:eastAsia="Arial MT" w:hAnsiTheme="minorHAnsi" w:cstheme="minorHAnsi"/>
            <w:szCs w:val="22"/>
            <w:lang w:val="es-ES" w:eastAsia="en-US"/>
          </w:rPr>
          <w:t>Energética en Edificios (EPBD)</w:t>
        </w:r>
      </w:hyperlink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.</w:t>
      </w:r>
    </w:p>
    <w:p w:rsidR="009B4AFA" w:rsidRPr="00416174" w:rsidRDefault="009B4AFA" w:rsidP="009B4AFA">
      <w:pPr>
        <w:tabs>
          <w:tab w:val="left" w:pos="669"/>
        </w:tabs>
        <w:autoSpaceDE w:val="0"/>
        <w:autoSpaceDN w:val="0"/>
        <w:spacing w:line="278" w:lineRule="auto"/>
        <w:ind w:left="668" w:right="126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1"/>
          <w:numId w:val="5"/>
        </w:numPr>
        <w:tabs>
          <w:tab w:val="left" w:pos="669"/>
        </w:tabs>
        <w:autoSpaceDE w:val="0"/>
        <w:autoSpaceDN w:val="0"/>
        <w:spacing w:before="54" w:line="276" w:lineRule="auto"/>
        <w:ind w:right="118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Adaptación al cambio climático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- se considera que una actividad causa un perjuicio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significativo a la adaptación al cambio climático si provoca un aumento de los efectos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adversos de las condiciones climáticas actuales y de las previstas en el futuro, sobre sí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misma</w:t>
      </w:r>
      <w:r w:rsidRPr="00416174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en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las personas,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naturaleza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 activos.</w:t>
      </w:r>
    </w:p>
    <w:p w:rsidR="009B4AFA" w:rsidRPr="00416174" w:rsidRDefault="009B4AFA" w:rsidP="009B4AFA">
      <w:pPr>
        <w:autoSpaceDE w:val="0"/>
        <w:autoSpaceDN w:val="0"/>
        <w:spacing w:before="155"/>
        <w:ind w:left="764" w:firstLine="709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 actuación debe contener: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4"/>
        </w:tabs>
        <w:autoSpaceDE w:val="0"/>
        <w:autoSpaceDN w:val="0"/>
        <w:spacing w:before="154"/>
        <w:ind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Una evaluación de riesgos climáticos.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4"/>
        </w:tabs>
        <w:autoSpaceDE w:val="0"/>
        <w:autoSpaceDN w:val="0"/>
        <w:spacing w:before="156" w:line="237" w:lineRule="auto"/>
        <w:ind w:left="1472" w:right="184" w:hanging="22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Las «soluciones de adaptación» que se implementarán en las construcciones/renovaciones (tanto físicas como no físicas) para reducir los riesgos climáticos más importantes.</w:t>
      </w:r>
    </w:p>
    <w:p w:rsidR="009B4AFA" w:rsidRPr="00416174" w:rsidRDefault="009B4AFA" w:rsidP="009B4AFA">
      <w:pPr>
        <w:tabs>
          <w:tab w:val="left" w:pos="669"/>
        </w:tabs>
        <w:autoSpaceDE w:val="0"/>
        <w:autoSpaceDN w:val="0"/>
        <w:spacing w:before="54" w:line="276" w:lineRule="auto"/>
        <w:ind w:left="668" w:right="118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1"/>
          <w:numId w:val="5"/>
        </w:numPr>
        <w:tabs>
          <w:tab w:val="left" w:pos="669"/>
        </w:tabs>
        <w:autoSpaceDE w:val="0"/>
        <w:autoSpaceDN w:val="0"/>
        <w:spacing w:before="62" w:line="276" w:lineRule="auto"/>
        <w:ind w:right="11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Uso sostenible y protección de los recursos hídricos y marinos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- se considera que una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actividad causa un perjuicio significativo a la utilización y protección sostenibles de los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recursos hídricos y marinos si va en detrimento del buen estado o del buen potencial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ecológico de las masas de agua, incluidas las superficiales y subterráneas, y del buen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estado ecológico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las</w:t>
      </w:r>
      <w:r w:rsidRPr="00416174">
        <w:rPr>
          <w:rFonts w:asciiTheme="minorHAnsi" w:eastAsia="Arial MT" w:hAnsiTheme="minorHAnsi" w:cstheme="minorHAnsi"/>
          <w:spacing w:val="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aguas marinas.</w:t>
      </w:r>
    </w:p>
    <w:p w:rsidR="009B4AFA" w:rsidRPr="00416174" w:rsidRDefault="009B4AFA" w:rsidP="009B4AFA">
      <w:pPr>
        <w:widowControl/>
        <w:tabs>
          <w:tab w:val="left" w:pos="1474"/>
        </w:tabs>
        <w:spacing w:before="154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ab/>
        <w:t>La actuación debe cumplir al menos las siguientes condiciones: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2"/>
        </w:tabs>
        <w:autoSpaceDE w:val="0"/>
        <w:autoSpaceDN w:val="0"/>
        <w:spacing w:before="154"/>
        <w:ind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 aparatos de agua que se instalen deben estar certificados por hojas de datos del producto, una certificación de construcción o una etiqueta de producto existente en la Unión Europea.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2"/>
        </w:tabs>
        <w:autoSpaceDE w:val="0"/>
        <w:autoSpaceDN w:val="0"/>
        <w:spacing w:before="154"/>
        <w:ind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Disponer de un Plan de Manejo de Uso y Protección del Agua en el que se identifiquen y aborden los riesgos de degradación ambiental relacionados con la preservación de la calidad del agua y la prevención del estrés hídrico.</w:t>
      </w:r>
    </w:p>
    <w:p w:rsidR="009B4AFA" w:rsidRPr="00416174" w:rsidRDefault="009B4AFA" w:rsidP="009B4AFA">
      <w:pPr>
        <w:tabs>
          <w:tab w:val="left" w:pos="669"/>
        </w:tabs>
        <w:autoSpaceDE w:val="0"/>
        <w:autoSpaceDN w:val="0"/>
        <w:spacing w:before="62" w:line="276" w:lineRule="auto"/>
        <w:ind w:left="668" w:right="116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1"/>
          <w:numId w:val="5"/>
        </w:numPr>
        <w:tabs>
          <w:tab w:val="left" w:pos="669"/>
        </w:tabs>
        <w:autoSpaceDE w:val="0"/>
        <w:autoSpaceDN w:val="0"/>
        <w:spacing w:before="60" w:line="276" w:lineRule="auto"/>
        <w:ind w:right="11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 xml:space="preserve">Economía circular, incluidos la prevención y el reciclado de residuos -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lastRenderedPageBreak/>
        <w:t>residuos a largo plazo puede causar un perjuicio significativo y a largo plazo para el medio ambiente.</w:t>
      </w:r>
    </w:p>
    <w:p w:rsidR="009B4AFA" w:rsidRPr="00416174" w:rsidRDefault="009B4AFA" w:rsidP="009B4AFA">
      <w:pPr>
        <w:widowControl/>
        <w:tabs>
          <w:tab w:val="left" w:pos="669"/>
        </w:tabs>
        <w:spacing w:before="60" w:line="276" w:lineRule="auto"/>
        <w:ind w:left="312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Para cualquier obra realizada y con respecto a este objetivo se han de tener en cuenta las siguientes consideraciones: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0"/>
        </w:tabs>
        <w:autoSpaceDE w:val="0"/>
        <w:autoSpaceDN w:val="0"/>
        <w:spacing w:before="159" w:line="235" w:lineRule="auto"/>
        <w:ind w:left="1468" w:right="187" w:hanging="226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 xml:space="preserve">La actuación apoyará el objetivo europeo de garantizar que al menos el 70% (en peso) de los residuos de construcción y demolición no peligrosos (excluyendo el material natural mencionado en la categoría 17 05 04 en la Lista europea de residuos establecida por la </w:t>
      </w:r>
      <w:hyperlink r:id="rId9">
        <w:r w:rsidRPr="00416174">
          <w:rPr>
            <w:rFonts w:asciiTheme="minorHAnsi" w:eastAsia="Arial MT" w:hAnsiTheme="minorHAnsi" w:cstheme="minorHAnsi"/>
            <w:szCs w:val="22"/>
            <w:lang w:val="es-ES" w:eastAsia="en-US"/>
          </w:rPr>
          <w:t>Decisión 2000/532/EC</w:t>
        </w:r>
      </w:hyperlink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) generados en el sitio de construcción está preparado para su reutilización, reciclaje y recuperación de otros materiales, incluidas las operaciones de</w:t>
      </w:r>
      <w:r>
        <w:rPr>
          <w:rFonts w:asciiTheme="minorHAnsi" w:eastAsia="Arial MT" w:hAnsiTheme="minorHAnsi" w:cstheme="minorHAnsi"/>
          <w:szCs w:val="22"/>
          <w:lang w:val="es-ES" w:eastAsia="en-US"/>
        </w:rPr>
        <w:t xml:space="preserve"> relleno utili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zando residuos para sustituir otros materiales, de acuerdo con la jerarquía de residuos y el Protocolo de gestión de residuos de construcción y demolición de la UE.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69"/>
        </w:tabs>
        <w:autoSpaceDE w:val="0"/>
        <w:autoSpaceDN w:val="0"/>
        <w:spacing w:before="164" w:line="235" w:lineRule="auto"/>
        <w:ind w:left="1468" w:right="187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 operadores limitan la generación de residuos en procesos relacionados con la construcción y demolición, de conformidad con el Protocolo de gestión de residuos de construcción y demolición de la UE; teniendo en cuenta las mejores prácticas disponibles, y utilizando la demolición selectiva para permitir la eliminación y manipulación segura de sustancias peligrosas y facilitar la reutilización y el reciclaje de alta calidad mediante la eliminación selectiva de materiales, utilizando la clasificación disponible sistemas para residuos de construcción y demolición.</w:t>
      </w:r>
    </w:p>
    <w:p w:rsidR="009B4AFA" w:rsidRDefault="009B4AFA" w:rsidP="009B4AFA">
      <w:pPr>
        <w:widowControl/>
        <w:numPr>
          <w:ilvl w:val="2"/>
          <w:numId w:val="7"/>
        </w:numPr>
        <w:tabs>
          <w:tab w:val="left" w:pos="1469"/>
        </w:tabs>
        <w:autoSpaceDE w:val="0"/>
        <w:autoSpaceDN w:val="0"/>
        <w:spacing w:before="161" w:line="235" w:lineRule="auto"/>
        <w:ind w:left="1469" w:right="184" w:hanging="228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 diseños de edificios y las técnicas de construcción apoyan la circularidad y, en particular, demuestran, con referencia a la norma ISO</w:t>
      </w:r>
      <w:r w:rsidRPr="00416174">
        <w:rPr>
          <w:rFonts w:asciiTheme="minorHAnsi" w:eastAsia="Arial MT" w:hAnsiTheme="minorHAnsi" w:cstheme="minorHAnsi"/>
          <w:spacing w:val="2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20887 u otras normas para evaluar la capacidad de desmontaje o adaptabilidad de los</w:t>
      </w:r>
      <w:r w:rsidRPr="00416174">
        <w:rPr>
          <w:rFonts w:asciiTheme="minorHAnsi" w:eastAsia="Arial MT" w:hAnsiTheme="minorHAnsi" w:cstheme="minorHAnsi"/>
          <w:spacing w:val="34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edificios, cómo están diseñados para ser más eficientes en el uso de recursos, adaptables, flexibles y desmontables para permitir la reutilización y reciclaje utilizando los sistemas de clasificación disponibles para residuos de construcción y demolición.</w:t>
      </w:r>
    </w:p>
    <w:p w:rsidR="009B4AFA" w:rsidRPr="00416174" w:rsidRDefault="009B4AFA" w:rsidP="009B4AFA">
      <w:pPr>
        <w:widowControl/>
        <w:tabs>
          <w:tab w:val="left" w:pos="1469"/>
        </w:tabs>
        <w:autoSpaceDE w:val="0"/>
        <w:autoSpaceDN w:val="0"/>
        <w:spacing w:before="161" w:line="235" w:lineRule="auto"/>
        <w:ind w:left="1469" w:right="184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1"/>
          <w:numId w:val="5"/>
        </w:numPr>
        <w:tabs>
          <w:tab w:val="left" w:pos="669"/>
        </w:tabs>
        <w:autoSpaceDE w:val="0"/>
        <w:autoSpaceDN w:val="0"/>
        <w:spacing w:before="59" w:line="276" w:lineRule="auto"/>
        <w:ind w:right="118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Prevención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y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control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contaminación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a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atmósfera,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el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agua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o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el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suelo</w:t>
      </w:r>
      <w:r w:rsidRPr="00416174">
        <w:rPr>
          <w:rFonts w:asciiTheme="minorHAnsi" w:eastAsia="Arial MT" w:hAnsiTheme="minorHAnsi" w:cstheme="minorHAnsi"/>
          <w:i/>
          <w:spacing w:val="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-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se</w:t>
      </w:r>
      <w:r w:rsidRPr="00416174">
        <w:rPr>
          <w:rFonts w:asciiTheme="minorHAnsi" w:eastAsia="Arial MT" w:hAnsiTheme="minorHAnsi" w:cstheme="minorHAnsi"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considera</w:t>
      </w:r>
      <w:r w:rsidRPr="00416174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que una actividad causa un perjuicio significativo a la prevención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y el control de la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contaminación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cuando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lugar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un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aumento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significativo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emisiones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contaminantes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atmósfera,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el agua</w:t>
      </w:r>
      <w:r w:rsidRPr="00416174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el suelo.</w:t>
      </w:r>
    </w:p>
    <w:p w:rsidR="009B4AFA" w:rsidRPr="00416174" w:rsidRDefault="009B4AFA" w:rsidP="009B4AFA">
      <w:pPr>
        <w:autoSpaceDE w:val="0"/>
        <w:autoSpaceDN w:val="0"/>
        <w:spacing w:before="155"/>
        <w:ind w:left="959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 actuación debe cumplir al menos las siguientes condiciones: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0"/>
        </w:tabs>
        <w:autoSpaceDE w:val="0"/>
        <w:autoSpaceDN w:val="0"/>
        <w:spacing w:before="159" w:line="235" w:lineRule="auto"/>
        <w:ind w:left="1469" w:right="185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 componentes y materiales utilizados no se</w:t>
      </w:r>
      <w:r>
        <w:rPr>
          <w:rFonts w:asciiTheme="minorHAnsi" w:eastAsia="Arial MT" w:hAnsiTheme="minorHAnsi" w:cstheme="minorHAnsi"/>
          <w:szCs w:val="22"/>
          <w:lang w:val="es-ES" w:eastAsia="en-US"/>
        </w:rPr>
        <w:t xml:space="preserve"> encuentran en la lista de sus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 xml:space="preserve">tancias sujetas a autorización que figura en el anexo XIV del </w:t>
      </w:r>
      <w:hyperlink r:id="rId10">
        <w:r w:rsidRPr="00416174">
          <w:rPr>
            <w:rFonts w:asciiTheme="minorHAnsi" w:eastAsia="Arial MT" w:hAnsiTheme="minorHAnsi" w:cstheme="minorHAnsi"/>
            <w:szCs w:val="22"/>
            <w:lang w:val="es-ES" w:eastAsia="en-US"/>
          </w:rPr>
          <w:t>Reglamento</w:t>
        </w:r>
      </w:hyperlink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 xml:space="preserve"> </w:t>
      </w:r>
      <w:hyperlink r:id="rId11">
        <w:r w:rsidRPr="00416174">
          <w:rPr>
            <w:rFonts w:asciiTheme="minorHAnsi" w:eastAsia="Arial MT" w:hAnsiTheme="minorHAnsi" w:cstheme="minorHAnsi"/>
            <w:szCs w:val="22"/>
            <w:lang w:val="es-ES" w:eastAsia="en-US"/>
          </w:rPr>
          <w:t xml:space="preserve">(CE) no 1907/2006 </w:t>
        </w:r>
      </w:hyperlink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del Parlamento Europeo y del Consejo.</w:t>
      </w:r>
    </w:p>
    <w:p w:rsidR="009B4AFA" w:rsidRDefault="009B4AFA" w:rsidP="009B4AFA">
      <w:pPr>
        <w:widowControl/>
        <w:numPr>
          <w:ilvl w:val="2"/>
          <w:numId w:val="7"/>
        </w:numPr>
        <w:tabs>
          <w:tab w:val="left" w:pos="1470"/>
        </w:tabs>
        <w:autoSpaceDE w:val="0"/>
        <w:autoSpaceDN w:val="0"/>
        <w:spacing w:before="159" w:line="235" w:lineRule="auto"/>
        <w:ind w:left="1469" w:right="185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 componentes y materiales utilizados que pueden entrar en contacto con los ocupantes estarán a lo dispuesto en CEN/TS 16516 e ISO 16000-3 u otras condiciones de prueba estandarizadas y métodos de determinación comparables</w:t>
      </w:r>
    </w:p>
    <w:p w:rsidR="009B4AFA" w:rsidRPr="00416174" w:rsidRDefault="009B4AFA" w:rsidP="009B4AFA">
      <w:pPr>
        <w:widowControl/>
        <w:tabs>
          <w:tab w:val="left" w:pos="1470"/>
        </w:tabs>
        <w:autoSpaceDE w:val="0"/>
        <w:autoSpaceDN w:val="0"/>
        <w:spacing w:before="159" w:line="235" w:lineRule="auto"/>
        <w:ind w:left="1469" w:right="185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1"/>
          <w:numId w:val="5"/>
        </w:numPr>
        <w:tabs>
          <w:tab w:val="left" w:pos="669"/>
        </w:tabs>
        <w:autoSpaceDE w:val="0"/>
        <w:autoSpaceDN w:val="0"/>
        <w:spacing w:before="61" w:line="276" w:lineRule="auto"/>
        <w:ind w:right="120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lastRenderedPageBreak/>
        <w:t xml:space="preserve">Protección y restauración de la biodiversidad y los ecosistemas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- se considera que una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actividad</w:t>
      </w:r>
      <w:r w:rsidRPr="00416174">
        <w:rPr>
          <w:rFonts w:asciiTheme="minorHAnsi" w:eastAsia="Arial MT" w:hAnsiTheme="minorHAnsi" w:cstheme="minorHAnsi"/>
          <w:spacing w:val="-4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causa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un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perjuicio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significativo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protección y</w:t>
      </w:r>
      <w:r w:rsidRPr="00416174">
        <w:rPr>
          <w:rFonts w:asciiTheme="minorHAnsi" w:eastAsia="Arial MT" w:hAnsiTheme="minorHAnsi" w:cstheme="minorHAnsi"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restauración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biodiversidad</w:t>
      </w:r>
      <w:r w:rsidRPr="00416174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y los ecosistemas cuando va en gran medida en detrimento de las buenas condiciones y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 resiliencia de los ecosistemas, o va en detrimento del estado de conservación de los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hábitats</w:t>
      </w:r>
      <w:r w:rsidRPr="00416174">
        <w:rPr>
          <w:rFonts w:asciiTheme="minorHAnsi" w:eastAsia="Arial MT" w:hAnsiTheme="minorHAnsi" w:cstheme="minorHAnsi"/>
          <w:spacing w:val="4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y</w:t>
      </w:r>
      <w:r w:rsidRPr="00416174">
        <w:rPr>
          <w:rFonts w:asciiTheme="minorHAnsi" w:eastAsia="Arial MT" w:hAnsiTheme="minorHAnsi" w:cstheme="minorHAnsi"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las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especies,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en</w:t>
      </w:r>
      <w:r w:rsidRPr="00416174">
        <w:rPr>
          <w:rFonts w:asciiTheme="minorHAnsi" w:eastAsia="Arial MT" w:hAnsiTheme="minorHAnsi" w:cstheme="minorHAnsi"/>
          <w:spacing w:val="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particular</w:t>
      </w:r>
      <w:r w:rsidRPr="00416174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aquellos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 interés para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Unión.</w:t>
      </w:r>
    </w:p>
    <w:p w:rsidR="009B4AFA" w:rsidRPr="00416174" w:rsidRDefault="009B4AFA" w:rsidP="009B4AFA">
      <w:pPr>
        <w:widowControl/>
        <w:tabs>
          <w:tab w:val="left" w:pos="669"/>
        </w:tabs>
        <w:spacing w:before="60" w:line="276" w:lineRule="auto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Para cualquier obra realizada y con respecto a este objetivo se han de tener en cuenta las siguientes consideraciones: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4"/>
        </w:tabs>
        <w:autoSpaceDE w:val="0"/>
        <w:autoSpaceDN w:val="0"/>
        <w:spacing w:before="157" w:line="237" w:lineRule="auto"/>
        <w:ind w:right="182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 xml:space="preserve">Señalar si las nuevas actividades de construcción se llevarán a cabo en o cerca de áreas sensibles para la biodiversidad. Señalar si las actividades pueden suponer un deterioro para el estado de conservación de hábitats y especies. En caso afirmativo, se requerirá el cumplimiento de los artículos 6 y 12 de la </w:t>
      </w:r>
      <w:hyperlink r:id="rId12">
        <w:r w:rsidRPr="00416174">
          <w:rPr>
            <w:rFonts w:asciiTheme="minorHAnsi" w:eastAsia="Arial MT" w:hAnsiTheme="minorHAnsi" w:cstheme="minorHAnsi"/>
            <w:szCs w:val="22"/>
            <w:lang w:val="es-ES" w:eastAsia="en-US"/>
          </w:rPr>
          <w:t xml:space="preserve">Directiva de hábitats </w:t>
        </w:r>
      </w:hyperlink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 xml:space="preserve">y el artículo 5 de la </w:t>
      </w:r>
      <w:hyperlink r:id="rId13">
        <w:r w:rsidRPr="00416174">
          <w:rPr>
            <w:rFonts w:asciiTheme="minorHAnsi" w:eastAsia="Arial MT" w:hAnsiTheme="minorHAnsi" w:cstheme="minorHAnsi"/>
            <w:szCs w:val="22"/>
            <w:lang w:val="es-ES" w:eastAsia="en-US"/>
          </w:rPr>
          <w:t>Directiva de aves</w:t>
        </w:r>
      </w:hyperlink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.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3"/>
        </w:tabs>
        <w:autoSpaceDE w:val="0"/>
        <w:autoSpaceDN w:val="0"/>
        <w:spacing w:before="154" w:line="275" w:lineRule="exact"/>
        <w:ind w:left="1472"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Señalar si las actividades pueden suponer un deterioro para el estado de conservación de hábitats y especies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4"/>
        </w:tabs>
        <w:autoSpaceDE w:val="0"/>
        <w:autoSpaceDN w:val="0"/>
        <w:spacing w:before="154" w:line="235" w:lineRule="auto"/>
        <w:ind w:right="184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Señalar si se llevará a cabo una Evaluación de Impacto Ambiental (EIA) o un cribado, de acuerdo con la Directiva EIA.</w:t>
      </w:r>
    </w:p>
    <w:p w:rsidR="009B4AFA" w:rsidRPr="00416174" w:rsidRDefault="009B4AFA" w:rsidP="009B4AFA">
      <w:pPr>
        <w:widowControl/>
        <w:numPr>
          <w:ilvl w:val="2"/>
          <w:numId w:val="7"/>
        </w:numPr>
        <w:tabs>
          <w:tab w:val="left" w:pos="1473"/>
        </w:tabs>
        <w:autoSpaceDE w:val="0"/>
        <w:autoSpaceDN w:val="0"/>
        <w:spacing w:before="155"/>
        <w:ind w:left="1472" w:hanging="228"/>
        <w:jc w:val="left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Incluir el cumplimiento de la legislación nacional aplicable.</w:t>
      </w:r>
    </w:p>
    <w:p w:rsidR="009B4AFA" w:rsidRPr="00416174" w:rsidRDefault="009B4AFA" w:rsidP="009B4AFA">
      <w:pPr>
        <w:autoSpaceDE w:val="0"/>
        <w:autoSpaceDN w:val="0"/>
        <w:spacing w:before="10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0"/>
          <w:numId w:val="5"/>
        </w:numPr>
        <w:tabs>
          <w:tab w:val="left" w:pos="460"/>
        </w:tabs>
        <w:autoSpaceDE w:val="0"/>
        <w:autoSpaceDN w:val="0"/>
        <w:spacing w:before="1" w:line="276" w:lineRule="auto"/>
        <w:ind w:right="115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 ENTIDAD SOLICITANTE NO DESARROLLA ACTIVIDADES EXCLUIDAS</w:t>
      </w:r>
      <w:r w:rsidRPr="00416174">
        <w:rPr>
          <w:rFonts w:asciiTheme="minorHAnsi" w:eastAsia="Arial MT" w:hAnsiTheme="minorHAnsi" w:cstheme="minorHAnsi"/>
          <w:b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según lo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indicado por la Guía técnica sobre la aplicación del principio de «no causar un perjuicio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significativo»</w:t>
      </w:r>
      <w:r w:rsidRPr="00416174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en</w:t>
      </w:r>
      <w:r w:rsidRPr="00416174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virtud</w:t>
      </w:r>
      <w:r w:rsidRPr="00416174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del</w:t>
      </w:r>
      <w:r w:rsidRPr="00416174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Reglamento</w:t>
      </w:r>
      <w:r w:rsidRPr="00416174">
        <w:rPr>
          <w:rFonts w:asciiTheme="minorHAnsi" w:eastAsia="Arial MT" w:hAnsiTheme="minorHAnsi" w:cstheme="minorHAnsi"/>
          <w:spacing w:val="-1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relativo</w:t>
      </w:r>
      <w:r w:rsidRPr="00416174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al</w:t>
      </w:r>
      <w:r w:rsidRPr="00416174">
        <w:rPr>
          <w:rFonts w:asciiTheme="minorHAnsi" w:eastAsia="Arial MT" w:hAnsiTheme="minorHAnsi" w:cstheme="minorHAnsi"/>
          <w:spacing w:val="-1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Mecanismo</w:t>
      </w:r>
      <w:r w:rsidRPr="00416174">
        <w:rPr>
          <w:rFonts w:asciiTheme="minorHAnsi" w:eastAsia="Arial MT" w:hAnsiTheme="minorHAnsi" w:cstheme="minorHAnsi"/>
          <w:spacing w:val="-10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-10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Recuperación</w:t>
      </w:r>
      <w:r w:rsidRPr="00416174">
        <w:rPr>
          <w:rFonts w:asciiTheme="minorHAnsi" w:eastAsia="Arial MT" w:hAnsiTheme="minorHAnsi" w:cstheme="minorHAnsi"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y</w:t>
      </w:r>
      <w:r w:rsidRPr="00416174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Resiliencia.</w:t>
      </w:r>
    </w:p>
    <w:p w:rsidR="009B4AFA" w:rsidRPr="00416174" w:rsidRDefault="009B4AFA" w:rsidP="009B4AFA">
      <w:pPr>
        <w:autoSpaceDE w:val="0"/>
        <w:autoSpaceDN w:val="0"/>
        <w:spacing w:before="3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autoSpaceDE w:val="0"/>
        <w:autoSpaceDN w:val="0"/>
        <w:ind w:left="102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Las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actividades</w:t>
      </w:r>
      <w:r w:rsidRPr="00416174">
        <w:rPr>
          <w:rFonts w:asciiTheme="minorHAnsi" w:eastAsia="Arial MT" w:hAnsiTheme="minorHAnsi" w:cstheme="minorHAnsi"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excluidas</w:t>
      </w:r>
      <w:r w:rsidRPr="00416174">
        <w:rPr>
          <w:rFonts w:asciiTheme="minorHAnsi" w:eastAsia="Arial MT" w:hAnsiTheme="minorHAnsi" w:cstheme="minorHAnsi"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son:</w:t>
      </w:r>
    </w:p>
    <w:p w:rsidR="009B4AFA" w:rsidRPr="00416174" w:rsidRDefault="009B4AFA" w:rsidP="009B4AFA">
      <w:pPr>
        <w:widowControl/>
        <w:numPr>
          <w:ilvl w:val="0"/>
          <w:numId w:val="6"/>
        </w:numPr>
        <w:tabs>
          <w:tab w:val="left" w:pos="669"/>
        </w:tabs>
        <w:autoSpaceDE w:val="0"/>
        <w:autoSpaceDN w:val="0"/>
        <w:spacing w:before="153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Refinerías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petróleo</w:t>
      </w:r>
    </w:p>
    <w:p w:rsidR="009B4AFA" w:rsidRPr="00416174" w:rsidRDefault="009B4AFA" w:rsidP="009B4AFA">
      <w:pPr>
        <w:widowControl/>
        <w:numPr>
          <w:ilvl w:val="0"/>
          <w:numId w:val="6"/>
        </w:numPr>
        <w:tabs>
          <w:tab w:val="left" w:pos="669"/>
        </w:tabs>
        <w:autoSpaceDE w:val="0"/>
        <w:autoSpaceDN w:val="0"/>
        <w:spacing w:before="93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Centrales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térmicas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4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carbón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y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extracción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combustibles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fósiles</w:t>
      </w:r>
    </w:p>
    <w:p w:rsidR="009B4AFA" w:rsidRPr="00416174" w:rsidRDefault="009B4AFA" w:rsidP="009B4AFA">
      <w:pPr>
        <w:widowControl/>
        <w:numPr>
          <w:ilvl w:val="0"/>
          <w:numId w:val="6"/>
        </w:numPr>
        <w:tabs>
          <w:tab w:val="left" w:pos="669"/>
        </w:tabs>
        <w:autoSpaceDE w:val="0"/>
        <w:autoSpaceDN w:val="0"/>
        <w:spacing w:before="91" w:line="271" w:lineRule="auto"/>
        <w:ind w:right="124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Generación de electricidad y/o calor utilizando combustibles fósiles y relacionados con su</w:t>
      </w:r>
      <w:r w:rsidRPr="00416174">
        <w:rPr>
          <w:rFonts w:asciiTheme="minorHAnsi" w:eastAsia="Arial MT" w:hAnsiTheme="minorHAnsi" w:cstheme="minorHAnsi"/>
          <w:i/>
          <w:spacing w:val="-54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infraestructura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transporte</w:t>
      </w:r>
      <w:r w:rsidRPr="00416174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y distribución</w:t>
      </w:r>
    </w:p>
    <w:p w:rsidR="009B4AFA" w:rsidRPr="00416174" w:rsidRDefault="009B4AFA" w:rsidP="009B4AFA">
      <w:pPr>
        <w:widowControl/>
        <w:numPr>
          <w:ilvl w:val="0"/>
          <w:numId w:val="6"/>
        </w:numPr>
        <w:tabs>
          <w:tab w:val="left" w:pos="669"/>
        </w:tabs>
        <w:autoSpaceDE w:val="0"/>
        <w:autoSpaceDN w:val="0"/>
        <w:spacing w:before="66" w:line="271" w:lineRule="auto"/>
        <w:ind w:right="126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Eliminación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desechos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(por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ejemplo,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nucleares,</w:t>
      </w:r>
      <w:r w:rsidRPr="00416174">
        <w:rPr>
          <w:rFonts w:asciiTheme="minorHAnsi" w:eastAsia="Arial MT" w:hAnsiTheme="minorHAnsi" w:cstheme="minorHAnsi"/>
          <w:i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que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puedan</w:t>
      </w:r>
      <w:r w:rsidRPr="00416174">
        <w:rPr>
          <w:rFonts w:asciiTheme="minorHAnsi" w:eastAsia="Arial MT" w:hAnsiTheme="minorHAnsi" w:cstheme="minorHAnsi"/>
          <w:i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causar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daños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a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largo</w:t>
      </w:r>
      <w:r w:rsidRPr="00416174">
        <w:rPr>
          <w:rFonts w:asciiTheme="minorHAnsi" w:eastAsia="Arial MT" w:hAnsiTheme="minorHAnsi" w:cstheme="minorHAnsi"/>
          <w:i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plazo</w:t>
      </w:r>
      <w:r w:rsidRPr="00416174">
        <w:rPr>
          <w:rFonts w:asciiTheme="minorHAnsi" w:eastAsia="Arial MT" w:hAnsiTheme="minorHAnsi" w:cstheme="minorHAnsi"/>
          <w:i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al</w:t>
      </w:r>
      <w:r w:rsidRPr="00416174">
        <w:rPr>
          <w:rFonts w:asciiTheme="minorHAnsi" w:eastAsia="Arial MT" w:hAnsiTheme="minorHAnsi" w:cstheme="minorHAnsi"/>
          <w:i/>
          <w:spacing w:val="-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medioambiente)</w:t>
      </w:r>
    </w:p>
    <w:p w:rsidR="009B4AFA" w:rsidRPr="00416174" w:rsidRDefault="009B4AFA" w:rsidP="009B4AFA">
      <w:pPr>
        <w:widowControl/>
        <w:numPr>
          <w:ilvl w:val="0"/>
          <w:numId w:val="6"/>
        </w:numPr>
        <w:tabs>
          <w:tab w:val="left" w:pos="669"/>
        </w:tabs>
        <w:autoSpaceDE w:val="0"/>
        <w:autoSpaceDN w:val="0"/>
        <w:spacing w:before="66" w:line="276" w:lineRule="auto"/>
        <w:ind w:right="120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Inversiones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en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instalaciones</w:t>
      </w:r>
      <w:r w:rsidRPr="00416174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para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deposición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residuos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en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vertedero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o</w:t>
      </w:r>
      <w:r w:rsidRPr="00416174">
        <w:rPr>
          <w:rFonts w:asciiTheme="minorHAnsi" w:eastAsia="Arial MT" w:hAnsiTheme="minorHAnsi" w:cstheme="minorHAnsi"/>
          <w:i/>
          <w:spacing w:val="-6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inversiones</w:t>
      </w:r>
      <w:r w:rsidRPr="00416174">
        <w:rPr>
          <w:rFonts w:asciiTheme="minorHAnsi" w:eastAsia="Arial MT" w:hAnsiTheme="minorHAnsi" w:cstheme="minorHAnsi"/>
          <w:i/>
          <w:spacing w:val="-5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en</w:t>
      </w:r>
      <w:r w:rsidRPr="00416174">
        <w:rPr>
          <w:rFonts w:asciiTheme="minorHAnsi" w:eastAsia="Arial MT" w:hAnsiTheme="minorHAnsi" w:cstheme="minorHAnsi"/>
          <w:i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plantas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tratamiento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biológico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mecánico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(MBT)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que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impliquen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un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aumento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su</w:t>
      </w:r>
      <w:r w:rsidRPr="00416174">
        <w:rPr>
          <w:rFonts w:asciiTheme="minorHAnsi" w:eastAsia="Arial MT" w:hAnsiTheme="minorHAnsi" w:cstheme="minorHAnsi"/>
          <w:i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capacidad o de su vida útil (salvo plantas de tratamiento de residuos peligrosos no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reciclables)</w:t>
      </w:r>
    </w:p>
    <w:p w:rsidR="009B4AFA" w:rsidRPr="00416174" w:rsidRDefault="009B4AFA" w:rsidP="009B4AFA">
      <w:pPr>
        <w:widowControl/>
        <w:numPr>
          <w:ilvl w:val="0"/>
          <w:numId w:val="6"/>
        </w:numPr>
        <w:tabs>
          <w:tab w:val="left" w:pos="669"/>
        </w:tabs>
        <w:autoSpaceDE w:val="0"/>
        <w:autoSpaceDN w:val="0"/>
        <w:spacing w:before="58" w:line="273" w:lineRule="auto"/>
        <w:ind w:right="126"/>
        <w:rPr>
          <w:rFonts w:asciiTheme="minorHAnsi" w:eastAsia="Arial MT" w:hAnsiTheme="minorHAnsi" w:cstheme="minorHAnsi"/>
          <w:i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actividades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cubiertas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por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el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régimen</w:t>
      </w:r>
      <w:r w:rsidRPr="00416174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comercio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derechos</w:t>
      </w:r>
      <w:r w:rsidRPr="00416174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emisión</w:t>
      </w:r>
      <w:r w:rsidRPr="00416174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i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UE</w:t>
      </w:r>
      <w:r w:rsidRPr="00416174">
        <w:rPr>
          <w:rFonts w:asciiTheme="minorHAnsi" w:eastAsia="Arial MT" w:hAnsiTheme="minorHAnsi" w:cstheme="minorHAnsi"/>
          <w:i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(según</w:t>
      </w:r>
      <w:r w:rsidRPr="00416174">
        <w:rPr>
          <w:rFonts w:asciiTheme="minorHAnsi" w:eastAsia="Arial MT" w:hAnsiTheme="minorHAnsi" w:cstheme="minorHAnsi"/>
          <w:i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el Anexo I de la Ley 1/2005 de 9 de marzo, por la que se regula el régimen del comercio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-2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derechos de</w:t>
      </w:r>
      <w:r w:rsidRPr="00416174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emisión</w:t>
      </w:r>
      <w:r w:rsidRPr="00416174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gases</w:t>
      </w:r>
      <w:r w:rsidRPr="00416174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i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efecto</w:t>
      </w:r>
      <w:r w:rsidRPr="00416174">
        <w:rPr>
          <w:rFonts w:asciiTheme="minorHAnsi" w:eastAsia="Arial MT" w:hAnsiTheme="minorHAnsi" w:cstheme="minorHAnsi"/>
          <w:i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i/>
          <w:szCs w:val="22"/>
          <w:lang w:val="es-ES" w:eastAsia="en-US"/>
        </w:rPr>
        <w:t>invernadero.</w:t>
      </w:r>
    </w:p>
    <w:p w:rsidR="009B4AFA" w:rsidRPr="00416174" w:rsidRDefault="009B4AFA" w:rsidP="009B4AFA">
      <w:pPr>
        <w:autoSpaceDE w:val="0"/>
        <w:autoSpaceDN w:val="0"/>
        <w:rPr>
          <w:rFonts w:asciiTheme="minorHAnsi" w:eastAsia="Arial MT" w:hAnsiTheme="minorHAnsi" w:cstheme="minorHAnsi"/>
          <w:i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0"/>
          <w:numId w:val="5"/>
        </w:numPr>
        <w:tabs>
          <w:tab w:val="left" w:pos="462"/>
        </w:tabs>
        <w:autoSpaceDE w:val="0"/>
        <w:autoSpaceDN w:val="0"/>
        <w:spacing w:before="133" w:line="278" w:lineRule="auto"/>
        <w:ind w:right="116"/>
        <w:rPr>
          <w:rFonts w:asciiTheme="minorHAnsi" w:eastAsia="Arial MT" w:hAnsiTheme="minorHAnsi" w:cstheme="minorHAnsi"/>
          <w:b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noProof/>
          <w:szCs w:val="22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B8490C8" wp14:editId="27B341F8">
                <wp:simplePos x="0" y="0"/>
                <wp:positionH relativeFrom="page">
                  <wp:posOffset>4829175</wp:posOffset>
                </wp:positionH>
                <wp:positionV relativeFrom="paragraph">
                  <wp:posOffset>556260</wp:posOffset>
                </wp:positionV>
                <wp:extent cx="45720" cy="1397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139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6811A3" id="Rectangle 2" o:spid="_x0000_s1026" style="position:absolute;margin-left:380.25pt;margin-top:43.8pt;width:3.6pt;height:1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" fillcolor="black" stroked="f">
                <w10:wrap anchorx="page"/>
              </v:rect>
            </w:pict>
          </mc:Fallback>
        </mc:AlternateConten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ENTIDAD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SOLICITANTE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NO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PREVÉ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EFECTOS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DIRECTOS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DEL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PROYECTO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416174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ACTIVIDAD SOBRE EL MEDIO AMBIENTE, NI EFECTOS INDIRECTOS PRIMARIOS,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entendiendo como tales aquéllos que pudieran materializarse tras su finalización, una vez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realizado el proyecto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o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actividad.</w:t>
      </w:r>
    </w:p>
    <w:p w:rsidR="009B4AFA" w:rsidRPr="00416174" w:rsidRDefault="009B4AFA" w:rsidP="009B4AFA">
      <w:pPr>
        <w:autoSpaceDE w:val="0"/>
        <w:autoSpaceDN w:val="0"/>
        <w:spacing w:before="5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Default="009B4AFA" w:rsidP="009B4AFA">
      <w:pPr>
        <w:autoSpaceDE w:val="0"/>
        <w:autoSpaceDN w:val="0"/>
        <w:spacing w:line="276" w:lineRule="auto"/>
        <w:ind w:left="102" w:right="120"/>
        <w:rPr>
          <w:rFonts w:asciiTheme="minorHAnsi" w:eastAsia="Arial MT" w:hAnsiTheme="minorHAnsi" w:cstheme="minorHAnsi"/>
          <w:szCs w:val="22"/>
          <w:lang w:val="es-ES" w:eastAsia="en-US"/>
        </w:rPr>
      </w:pP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El</w:t>
      </w:r>
      <w:r w:rsidRPr="00416174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incumplimiento</w:t>
      </w:r>
      <w:r w:rsidRPr="00416174">
        <w:rPr>
          <w:rFonts w:asciiTheme="minorHAnsi" w:eastAsia="Arial MT" w:hAnsiTheme="minorHAnsi" w:cstheme="minorHAnsi"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alguno</w:t>
      </w:r>
      <w:r w:rsidRPr="00416174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los</w:t>
      </w:r>
      <w:r w:rsidRPr="00416174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requisitos</w:t>
      </w:r>
      <w:r w:rsidRPr="00416174">
        <w:rPr>
          <w:rFonts w:asciiTheme="minorHAnsi" w:eastAsia="Arial MT" w:hAnsiTheme="minorHAnsi" w:cstheme="minorHAnsi"/>
          <w:spacing w:val="-9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establecido</w:t>
      </w:r>
      <w:r w:rsidRPr="00416174">
        <w:rPr>
          <w:rFonts w:asciiTheme="minorHAnsi" w:eastAsia="Arial MT" w:hAnsiTheme="minorHAnsi" w:cstheme="minorHAnsi"/>
          <w:spacing w:val="-10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en</w:t>
      </w:r>
      <w:r w:rsidRPr="00416174">
        <w:rPr>
          <w:rFonts w:asciiTheme="minorHAnsi" w:eastAsia="Arial MT" w:hAnsiTheme="minorHAnsi" w:cstheme="minorHAnsi"/>
          <w:spacing w:val="-8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la</w:t>
      </w:r>
      <w:r w:rsidRPr="00416174">
        <w:rPr>
          <w:rFonts w:asciiTheme="minorHAnsi" w:eastAsia="Arial MT" w:hAnsiTheme="minorHAnsi" w:cstheme="minorHAnsi"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presente</w:t>
      </w:r>
      <w:r w:rsidRPr="00416174">
        <w:rPr>
          <w:rFonts w:asciiTheme="minorHAnsi" w:eastAsia="Arial MT" w:hAnsiTheme="minorHAnsi" w:cstheme="minorHAnsi"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declaración</w:t>
      </w:r>
      <w:r w:rsidRPr="00416174">
        <w:rPr>
          <w:rFonts w:asciiTheme="minorHAnsi" w:eastAsia="Arial MT" w:hAnsiTheme="minorHAnsi" w:cstheme="minorHAnsi"/>
          <w:spacing w:val="-10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dará,</w:t>
      </w:r>
      <w:r w:rsidRPr="00416174">
        <w:rPr>
          <w:rFonts w:asciiTheme="minorHAnsi" w:eastAsia="Arial MT" w:hAnsiTheme="minorHAnsi" w:cstheme="minorHAnsi"/>
          <w:spacing w:val="-7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previo</w:t>
      </w:r>
      <w:r w:rsidRPr="00416174">
        <w:rPr>
          <w:rFonts w:asciiTheme="minorHAnsi" w:eastAsia="Arial MT" w:hAnsiTheme="minorHAnsi" w:cstheme="minorHAnsi"/>
          <w:spacing w:val="-53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el oportuno procedimiento de reintegro, a la obligación de devolver las ayudas percibidas y los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intereses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</w:t>
      </w:r>
      <w:r w:rsidRPr="00416174">
        <w:rPr>
          <w:rFonts w:asciiTheme="minorHAnsi" w:eastAsia="Arial MT" w:hAnsiTheme="minorHAnsi" w:cstheme="minorHAnsi"/>
          <w:spacing w:val="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demora</w:t>
      </w:r>
      <w:r w:rsidRPr="00416174">
        <w:rPr>
          <w:rFonts w:asciiTheme="minorHAnsi" w:eastAsia="Arial MT" w:hAnsiTheme="minorHAnsi" w:cstheme="minorHAnsi"/>
          <w:spacing w:val="-1"/>
          <w:szCs w:val="22"/>
          <w:lang w:val="es-ES" w:eastAsia="en-US"/>
        </w:rPr>
        <w:t xml:space="preserve"> </w:t>
      </w:r>
      <w:r w:rsidRPr="00416174">
        <w:rPr>
          <w:rFonts w:asciiTheme="minorHAnsi" w:eastAsia="Arial MT" w:hAnsiTheme="minorHAnsi" w:cstheme="minorHAnsi"/>
          <w:szCs w:val="22"/>
          <w:lang w:val="es-ES" w:eastAsia="en-US"/>
        </w:rPr>
        <w:t>correspondientes.</w:t>
      </w:r>
    </w:p>
    <w:p w:rsidR="009B4AFA" w:rsidRPr="00416174" w:rsidRDefault="009B4AFA" w:rsidP="009B4AFA">
      <w:pPr>
        <w:autoSpaceDE w:val="0"/>
        <w:autoSpaceDN w:val="0"/>
        <w:spacing w:line="276" w:lineRule="auto"/>
        <w:ind w:left="102" w:right="120"/>
        <w:rPr>
          <w:rFonts w:asciiTheme="minorHAnsi" w:eastAsia="Arial MT" w:hAnsiTheme="minorHAnsi" w:cstheme="minorHAnsi"/>
          <w:szCs w:val="22"/>
          <w:lang w:val="es-ES" w:eastAsia="en-US"/>
        </w:rPr>
      </w:pPr>
    </w:p>
    <w:p w:rsidR="009B4AFA" w:rsidRPr="00416174" w:rsidRDefault="009B4AFA" w:rsidP="009B4AFA">
      <w:pPr>
        <w:widowControl/>
        <w:numPr>
          <w:ilvl w:val="0"/>
          <w:numId w:val="1"/>
        </w:numPr>
        <w:shd w:val="clear" w:color="auto" w:fill="FFFFFF"/>
        <w:spacing w:before="360" w:after="180"/>
        <w:rPr>
          <w:rFonts w:asciiTheme="minorHAnsi" w:hAnsiTheme="minorHAnsi" w:cstheme="minorHAnsi"/>
          <w:b/>
          <w:szCs w:val="22"/>
          <w:lang w:val="es-ES"/>
        </w:rPr>
      </w:pPr>
      <w:r w:rsidRPr="00416174">
        <w:rPr>
          <w:rFonts w:asciiTheme="minorHAnsi" w:hAnsiTheme="minorHAnsi" w:cstheme="minorHAnsi"/>
          <w:b/>
          <w:szCs w:val="22"/>
          <w:lang w:val="es-ES"/>
        </w:rPr>
        <w:t>Declaración sobre lucha contra el fraude (OLAF)</w:t>
      </w:r>
    </w:p>
    <w:p w:rsidR="009B4AFA" w:rsidRPr="00416174" w:rsidRDefault="009B4AFA" w:rsidP="009B4AFA">
      <w:pPr>
        <w:widowControl/>
        <w:shd w:val="clear" w:color="auto" w:fill="FFFFFF"/>
        <w:spacing w:before="180" w:after="18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</w:t>
      </w:r>
    </w:p>
    <w:p w:rsidR="009B4AFA" w:rsidRPr="00416174" w:rsidRDefault="009B4AFA" w:rsidP="009B4AFA">
      <w:pPr>
        <w:widowControl/>
        <w:shd w:val="clear" w:color="auto" w:fill="FFFFFF"/>
        <w:spacing w:before="180" w:after="180"/>
        <w:rPr>
          <w:rFonts w:asciiTheme="minorHAnsi" w:hAnsiTheme="minorHAnsi" w:cstheme="minorHAnsi"/>
          <w:szCs w:val="22"/>
          <w:lang w:val="es-ES"/>
        </w:rPr>
      </w:pPr>
      <w:r w:rsidRPr="00416174">
        <w:rPr>
          <w:rFonts w:asciiTheme="minorHAnsi" w:hAnsiTheme="minorHAnsi" w:cstheme="minorHAnsi"/>
          <w:szCs w:val="22"/>
          <w:lang w:val="es-ES"/>
        </w:rPr>
        <w:t>Asimismo, concede de manera expresa la autorización prevista en el artículo 22.2.e), del Reglamento (UE) 2021/241, del Parlamento Europeo y del Consejo, de 12 de febrero de 2021).</w:t>
      </w:r>
    </w:p>
    <w:p w:rsidR="009B4AFA" w:rsidRPr="00416174" w:rsidRDefault="009B4AFA" w:rsidP="009B4AFA">
      <w:pPr>
        <w:pStyle w:val="parrafo"/>
        <w:shd w:val="clear" w:color="auto" w:fill="FFFFFF"/>
        <w:spacing w:before="180" w:beforeAutospacing="0" w:after="0" w:afterAutospacing="0"/>
        <w:jc w:val="both"/>
        <w:rPr>
          <w:rFonts w:asciiTheme="minorHAnsi" w:hAnsiTheme="minorHAnsi" w:cs="Arial"/>
          <w:sz w:val="20"/>
          <w:szCs w:val="20"/>
          <w:highlight w:val="yellow"/>
        </w:rPr>
      </w:pPr>
    </w:p>
    <w:p w:rsidR="009B4AFA" w:rsidRPr="00416174" w:rsidRDefault="009B4AFA" w:rsidP="009B4AFA">
      <w:pPr>
        <w:pStyle w:val="parrafo"/>
        <w:shd w:val="clear" w:color="auto" w:fill="FFFFFF"/>
        <w:spacing w:before="180" w:beforeAutospacing="0" w:after="0" w:afterAutospacing="0"/>
        <w:jc w:val="both"/>
        <w:rPr>
          <w:rFonts w:asciiTheme="minorHAnsi" w:hAnsiTheme="minorHAnsi" w:cs="Arial"/>
          <w:sz w:val="20"/>
          <w:szCs w:val="20"/>
          <w:highlight w:val="yellow"/>
        </w:rPr>
      </w:pPr>
    </w:p>
    <w:p w:rsidR="009B4AFA" w:rsidRPr="00416174" w:rsidRDefault="009B4AFA" w:rsidP="009B4AFA">
      <w:pPr>
        <w:rPr>
          <w:rFonts w:asciiTheme="minorHAnsi" w:hAnsiTheme="minorHAnsi" w:cs="Arial"/>
          <w:sz w:val="20"/>
          <w:highlight w:val="yellow"/>
          <w:lang w:val="es-ES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rFonts w:asciiTheme="minorHAnsi" w:hAnsiTheme="minorHAnsi" w:cs="Arial"/>
          <w:sz w:val="20"/>
          <w:highlight w:val="yellow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before="60" w:after="60"/>
        <w:ind w:firstLine="851"/>
        <w:jc w:val="left"/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Arial"/>
          <w:sz w:val="20"/>
        </w:rPr>
        <w:t xml:space="preserve">En               </w:t>
      </w:r>
      <w:proofErr w:type="gramStart"/>
      <w:r w:rsidRPr="00416174">
        <w:rPr>
          <w:rFonts w:asciiTheme="minorHAnsi" w:hAnsiTheme="minorHAnsi" w:cs="Arial"/>
          <w:sz w:val="20"/>
        </w:rPr>
        <w:t xml:space="preserve">  ,</w:t>
      </w:r>
      <w:proofErr w:type="gramEnd"/>
      <w:r w:rsidRPr="00416174">
        <w:rPr>
          <w:rFonts w:asciiTheme="minorHAnsi" w:hAnsiTheme="minorHAnsi" w:cs="Arial"/>
          <w:sz w:val="20"/>
        </w:rPr>
        <w:t xml:space="preserve"> a</w:t>
      </w: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="Arial"/>
          <w:sz w:val="20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="Arial"/>
          <w:sz w:val="20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Arial"/>
          <w:sz w:val="20"/>
        </w:rPr>
        <w:t xml:space="preserve">Firmado: </w:t>
      </w: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="Arial"/>
          <w:sz w:val="20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Arial"/>
          <w:sz w:val="20"/>
        </w:rPr>
        <w:t xml:space="preserve">Cargo: </w:t>
      </w: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="Arial"/>
          <w:sz w:val="20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="Arial"/>
          <w:sz w:val="20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 w:cs="Arial"/>
          <w:sz w:val="20"/>
        </w:rPr>
      </w:pPr>
    </w:p>
    <w:p w:rsidR="009B4AFA" w:rsidRPr="00416174" w:rsidRDefault="009B4AFA" w:rsidP="009B4A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Theme="minorHAnsi" w:hAnsiTheme="minorHAnsi"/>
          <w:lang w:val="es-ES"/>
        </w:rPr>
      </w:pPr>
    </w:p>
    <w:p w:rsidR="009B4AFA" w:rsidRPr="00416174" w:rsidRDefault="009B4AFA" w:rsidP="009B4AFA">
      <w:pPr>
        <w:pStyle w:val="parrafo"/>
        <w:shd w:val="clear" w:color="auto" w:fill="FFFFFF"/>
        <w:spacing w:before="180" w:beforeAutospacing="0" w:after="0" w:afterAutospacing="0"/>
        <w:jc w:val="both"/>
        <w:rPr>
          <w:rFonts w:asciiTheme="minorHAnsi" w:hAnsiTheme="minorHAnsi" w:cs="Arial"/>
          <w:sz w:val="20"/>
          <w:szCs w:val="20"/>
          <w:highlight w:val="yellow"/>
        </w:rPr>
      </w:pPr>
      <w:bookmarkStart w:id="0" w:name="_GoBack"/>
      <w:bookmarkEnd w:id="0"/>
    </w:p>
    <w:p w:rsidR="009B4AFA" w:rsidRPr="00416174" w:rsidRDefault="009B4AFA" w:rsidP="009B4AFA">
      <w:pPr>
        <w:pStyle w:val="parrafo"/>
        <w:shd w:val="clear" w:color="auto" w:fill="FFFFFF"/>
        <w:spacing w:before="180" w:beforeAutospacing="0" w:after="0" w:afterAutospacing="0"/>
        <w:jc w:val="both"/>
        <w:rPr>
          <w:rFonts w:asciiTheme="minorHAnsi" w:hAnsiTheme="minorHAnsi" w:cs="Arial"/>
          <w:sz w:val="20"/>
          <w:szCs w:val="20"/>
          <w:highlight w:val="yellow"/>
        </w:rPr>
      </w:pPr>
    </w:p>
    <w:p w:rsidR="009B4AFA" w:rsidRPr="00416174" w:rsidRDefault="009B4AFA" w:rsidP="009B4AFA">
      <w:pPr>
        <w:pStyle w:val="parrafo"/>
        <w:shd w:val="clear" w:color="auto" w:fill="FFFFFF"/>
        <w:spacing w:before="180" w:beforeAutospacing="0" w:after="0" w:afterAutospacing="0"/>
        <w:jc w:val="both"/>
        <w:rPr>
          <w:rFonts w:asciiTheme="minorHAnsi" w:hAnsiTheme="minorHAnsi" w:cs="Arial"/>
          <w:sz w:val="20"/>
          <w:szCs w:val="20"/>
          <w:highlight w:val="yellow"/>
        </w:rPr>
      </w:pPr>
    </w:p>
    <w:p w:rsidR="009B4AFA" w:rsidRPr="00416174" w:rsidRDefault="009B4AFA" w:rsidP="009B4AFA">
      <w:pPr>
        <w:pStyle w:val="parrafo"/>
        <w:shd w:val="clear" w:color="auto" w:fill="FFFFFF"/>
        <w:spacing w:before="180" w:beforeAutospacing="0" w:after="0" w:afterAutospacing="0"/>
        <w:jc w:val="both"/>
        <w:rPr>
          <w:rFonts w:asciiTheme="minorHAnsi" w:hAnsiTheme="minorHAnsi" w:cs="Arial"/>
          <w:sz w:val="20"/>
          <w:szCs w:val="20"/>
          <w:highlight w:val="yellow"/>
        </w:rPr>
      </w:pPr>
    </w:p>
    <w:p w:rsidR="009B4AFA" w:rsidRPr="00416174" w:rsidRDefault="009B4AFA" w:rsidP="009B4AFA">
      <w:pPr>
        <w:pStyle w:val="parrafo"/>
        <w:shd w:val="clear" w:color="auto" w:fill="FFFFFF"/>
        <w:spacing w:before="180" w:beforeAutospacing="0" w:after="0" w:afterAutospacing="0"/>
        <w:jc w:val="both"/>
        <w:rPr>
          <w:rFonts w:asciiTheme="minorHAnsi" w:hAnsiTheme="minorHAnsi" w:cs="Arial"/>
          <w:sz w:val="20"/>
          <w:szCs w:val="20"/>
          <w:highlight w:val="yellow"/>
        </w:rPr>
      </w:pPr>
    </w:p>
    <w:p w:rsidR="009B4AFA" w:rsidRPr="00416174" w:rsidRDefault="009B4AFA" w:rsidP="009B4AFA">
      <w:pPr>
        <w:pStyle w:val="parrafo"/>
        <w:shd w:val="clear" w:color="auto" w:fill="FFFFFF"/>
        <w:spacing w:before="180" w:beforeAutospacing="0" w:after="0" w:afterAutospacing="0"/>
        <w:jc w:val="both"/>
        <w:rPr>
          <w:rFonts w:asciiTheme="minorHAnsi" w:hAnsiTheme="minorHAnsi" w:cs="Arial"/>
          <w:sz w:val="20"/>
          <w:szCs w:val="20"/>
          <w:highlight w:val="yellow"/>
        </w:rPr>
      </w:pPr>
    </w:p>
    <w:p w:rsidR="00446983" w:rsidRDefault="00446983"/>
    <w:sectPr w:rsidR="00446983" w:rsidSect="009B4AFA">
      <w:headerReference w:type="default" r:id="rId14"/>
      <w:pgSz w:w="11906" w:h="16838"/>
      <w:pgMar w:top="239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AFA" w:rsidRDefault="009B4AFA" w:rsidP="009B4AFA">
      <w:r>
        <w:separator/>
      </w:r>
    </w:p>
  </w:endnote>
  <w:endnote w:type="continuationSeparator" w:id="0">
    <w:p w:rsidR="009B4AFA" w:rsidRDefault="009B4AFA" w:rsidP="009B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AFA" w:rsidRDefault="009B4AFA" w:rsidP="009B4AFA">
      <w:r>
        <w:separator/>
      </w:r>
    </w:p>
  </w:footnote>
  <w:footnote w:type="continuationSeparator" w:id="0">
    <w:p w:rsidR="009B4AFA" w:rsidRDefault="009B4AFA" w:rsidP="009B4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FA" w:rsidRDefault="009B4AFA" w:rsidP="009B4AFA">
    <w:pPr>
      <w:pStyle w:val="Encabezado"/>
      <w:ind w:left="-709"/>
    </w:pPr>
    <w:r w:rsidRPr="00744A1E">
      <w:rPr>
        <w:noProof/>
        <w:lang w:val="es-ES"/>
      </w:rPr>
      <w:drawing>
        <wp:inline distT="0" distB="0" distL="0" distR="0" wp14:anchorId="1255F971" wp14:editId="074F1030">
          <wp:extent cx="6428495" cy="619125"/>
          <wp:effectExtent l="0" t="0" r="0" b="0"/>
          <wp:docPr id="14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2645" cy="6204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2" w15:restartNumberingAfterBreak="0">
    <w:nsid w:val="1DE053C6"/>
    <w:multiLevelType w:val="hybridMultilevel"/>
    <w:tmpl w:val="0D26DFA8"/>
    <w:lvl w:ilvl="0" w:tplc="D494E90A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2350FC"/>
    <w:multiLevelType w:val="hybridMultilevel"/>
    <w:tmpl w:val="2C6EEAAA"/>
    <w:lvl w:ilvl="0" w:tplc="4A421CB2">
      <w:numFmt w:val="bullet"/>
      <w:lvlText w:val="-"/>
      <w:lvlJc w:val="left"/>
      <w:pPr>
        <w:ind w:left="1915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4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98594F"/>
    <w:multiLevelType w:val="hybridMultilevel"/>
    <w:tmpl w:val="D318FC9C"/>
    <w:lvl w:ilvl="0" w:tplc="B5A27E28">
      <w:start w:val="1"/>
      <w:numFmt w:val="decimal"/>
      <w:lvlText w:val="%1."/>
      <w:lvlJc w:val="left"/>
      <w:pPr>
        <w:ind w:left="167" w:hanging="273"/>
      </w:pPr>
      <w:rPr>
        <w:rFonts w:hint="default"/>
        <w:b/>
        <w:bCs/>
        <w:w w:val="74"/>
        <w:lang w:val="es-ES" w:eastAsia="en-US" w:bidi="ar-SA"/>
      </w:rPr>
    </w:lvl>
    <w:lvl w:ilvl="1" w:tplc="53881576">
      <w:numFmt w:val="bullet"/>
      <w:lvlText w:val="•"/>
      <w:lvlJc w:val="left"/>
      <w:pPr>
        <w:ind w:left="961" w:hanging="227"/>
      </w:pPr>
      <w:rPr>
        <w:rFonts w:ascii="Microsoft Sans Serif" w:eastAsia="Microsoft Sans Serif" w:hAnsi="Microsoft Sans Serif" w:cs="Microsoft Sans Serif" w:hint="default"/>
        <w:w w:val="142"/>
        <w:sz w:val="24"/>
        <w:szCs w:val="24"/>
        <w:lang w:val="es-ES" w:eastAsia="en-US" w:bidi="ar-SA"/>
      </w:rPr>
    </w:lvl>
    <w:lvl w:ilvl="2" w:tplc="CD6405D2">
      <w:numFmt w:val="bullet"/>
      <w:lvlText w:val="-"/>
      <w:lvlJc w:val="left"/>
      <w:pPr>
        <w:ind w:left="1473" w:hanging="22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3" w:tplc="B1A8FA40">
      <w:numFmt w:val="bullet"/>
      <w:lvlText w:val="•"/>
      <w:lvlJc w:val="left"/>
      <w:pPr>
        <w:ind w:left="1480" w:hanging="227"/>
      </w:pPr>
      <w:rPr>
        <w:rFonts w:hint="default"/>
        <w:lang w:val="es-ES" w:eastAsia="en-US" w:bidi="ar-SA"/>
      </w:rPr>
    </w:lvl>
    <w:lvl w:ilvl="4" w:tplc="26E0ECA8">
      <w:numFmt w:val="bullet"/>
      <w:lvlText w:val="•"/>
      <w:lvlJc w:val="left"/>
      <w:pPr>
        <w:ind w:left="2663" w:hanging="227"/>
      </w:pPr>
      <w:rPr>
        <w:rFonts w:hint="default"/>
        <w:lang w:val="es-ES" w:eastAsia="en-US" w:bidi="ar-SA"/>
      </w:rPr>
    </w:lvl>
    <w:lvl w:ilvl="5" w:tplc="708AEC70">
      <w:numFmt w:val="bullet"/>
      <w:lvlText w:val="•"/>
      <w:lvlJc w:val="left"/>
      <w:pPr>
        <w:ind w:left="3847" w:hanging="227"/>
      </w:pPr>
      <w:rPr>
        <w:rFonts w:hint="default"/>
        <w:lang w:val="es-ES" w:eastAsia="en-US" w:bidi="ar-SA"/>
      </w:rPr>
    </w:lvl>
    <w:lvl w:ilvl="6" w:tplc="11AA105E">
      <w:numFmt w:val="bullet"/>
      <w:lvlText w:val="•"/>
      <w:lvlJc w:val="left"/>
      <w:pPr>
        <w:ind w:left="5030" w:hanging="227"/>
      </w:pPr>
      <w:rPr>
        <w:rFonts w:hint="default"/>
        <w:lang w:val="es-ES" w:eastAsia="en-US" w:bidi="ar-SA"/>
      </w:rPr>
    </w:lvl>
    <w:lvl w:ilvl="7" w:tplc="438267A6">
      <w:numFmt w:val="bullet"/>
      <w:lvlText w:val="•"/>
      <w:lvlJc w:val="left"/>
      <w:pPr>
        <w:ind w:left="6214" w:hanging="227"/>
      </w:pPr>
      <w:rPr>
        <w:rFonts w:hint="default"/>
        <w:lang w:val="es-ES" w:eastAsia="en-US" w:bidi="ar-SA"/>
      </w:rPr>
    </w:lvl>
    <w:lvl w:ilvl="8" w:tplc="CB98FB9C">
      <w:numFmt w:val="bullet"/>
      <w:lvlText w:val="•"/>
      <w:lvlJc w:val="left"/>
      <w:pPr>
        <w:ind w:left="7398" w:hanging="227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FA"/>
    <w:rsid w:val="00446983"/>
    <w:rsid w:val="00585A1B"/>
    <w:rsid w:val="009B4AFA"/>
    <w:rsid w:val="00F1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A492A46-76F5-4CE9-88E3-47586BB3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AFA"/>
    <w:pPr>
      <w:widowControl w:val="0"/>
      <w:jc w:val="both"/>
    </w:pPr>
    <w:rPr>
      <w:rFonts w:ascii="Arial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9B4AFA"/>
    <w:pPr>
      <w:keepNext/>
      <w:widowControl/>
      <w:jc w:val="center"/>
      <w:outlineLvl w:val="0"/>
    </w:pPr>
    <w:rPr>
      <w:b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B4AFA"/>
    <w:rPr>
      <w:rFonts w:ascii="Arial" w:hAnsi="Arial"/>
      <w:b/>
      <w:sz w:val="28"/>
      <w:lang w:val="es-ES_tradnl"/>
    </w:rPr>
  </w:style>
  <w:style w:type="paragraph" w:customStyle="1" w:styleId="parrafo">
    <w:name w:val="parrafo"/>
    <w:basedOn w:val="Normal"/>
    <w:rsid w:val="009B4AFA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Encabezado">
    <w:name w:val="header"/>
    <w:basedOn w:val="Normal"/>
    <w:link w:val="EncabezadoCar"/>
    <w:unhideWhenUsed/>
    <w:rsid w:val="009B4AF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B4AFA"/>
    <w:rPr>
      <w:rFonts w:ascii="Arial" w:hAnsi="Arial"/>
      <w:sz w:val="22"/>
      <w:lang w:val="es-ES_tradnl"/>
    </w:rPr>
  </w:style>
  <w:style w:type="paragraph" w:styleId="Piedepgina">
    <w:name w:val="footer"/>
    <w:basedOn w:val="Normal"/>
    <w:link w:val="PiedepginaCar"/>
    <w:unhideWhenUsed/>
    <w:rsid w:val="009B4A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AFA"/>
    <w:rPr>
      <w:rFonts w:ascii="Arial" w:hAnsi="Arial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-lex.europa.eu/legal-content/ES/TXT/?uri=CELEX%3A32010L0031" TargetMode="External"/><Relationship Id="rId13" Type="http://schemas.openxmlformats.org/officeDocument/2006/relationships/hyperlink" Target="https://eur-lex.europa.eu/legal-content/ES/TXT/?uri=CELEX%3A32009L014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ur-lex.europa.eu/legal-content/ES/TXT/?uri=CELEX%3A32010L0031" TargetMode="External"/><Relationship Id="rId12" Type="http://schemas.openxmlformats.org/officeDocument/2006/relationships/hyperlink" Target="https://eur-lex.europa.eu/legal-content/ES/ALL/?uri=celex%3A31992L004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e.es/buscar/doc.php?id=DOUE-L-2006-8275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oe.es/buscar/doc.php?id=DOUE-L-2006-827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ur-lex.europa.eu/legal-content/ES/ALL/?uri=CELEX%3A32000D0532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2629</Words>
  <Characters>14463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Mena Garcia, Noelia (Serv. Turismo)</dc:creator>
  <cp:keywords/>
  <dc:description/>
  <cp:lastModifiedBy>Mena Garcia, Noelia (Serv. Turismo)</cp:lastModifiedBy>
  <cp:revision>1</cp:revision>
  <dcterms:created xsi:type="dcterms:W3CDTF">2025-03-11T08:12:00Z</dcterms:created>
  <dcterms:modified xsi:type="dcterms:W3CDTF">2025-03-11T08:15:00Z</dcterms:modified>
</cp:coreProperties>
</file>