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2D8" w:rsidRPr="00A752D8" w:rsidRDefault="00561D25" w:rsidP="00A752D8">
      <w:pPr>
        <w:spacing w:before="100" w:beforeAutospacing="1" w:after="100" w:afterAutospacing="1"/>
        <w:jc w:val="center"/>
        <w:rPr>
          <w:rFonts w:ascii="Calibri" w:eastAsia="Times New Roman" w:hAnsi="Calibri" w:cs="Calibri"/>
          <w:b/>
          <w:bCs/>
          <w:sz w:val="24"/>
          <w:szCs w:val="24"/>
          <w:lang w:eastAsia="es-ES"/>
        </w:rPr>
      </w:pPr>
      <w:r>
        <w:rPr>
          <w:rFonts w:ascii="Calibri" w:eastAsia="Times New Roman" w:hAnsi="Calibri" w:cs="Calibri"/>
          <w:b/>
          <w:bCs/>
          <w:sz w:val="24"/>
          <w:szCs w:val="24"/>
          <w:lang w:eastAsia="es-ES"/>
        </w:rPr>
        <w:t>ANEXO II</w:t>
      </w:r>
    </w:p>
    <w:p w:rsidR="00A752D8" w:rsidRPr="00A752D8" w:rsidRDefault="00A752D8" w:rsidP="00A752D8">
      <w:pPr>
        <w:spacing w:before="100" w:beforeAutospacing="1" w:after="100" w:afterAutospacing="1"/>
        <w:jc w:val="center"/>
        <w:rPr>
          <w:rFonts w:ascii="Calibri" w:eastAsia="Times New Roman" w:hAnsi="Calibri" w:cs="Calibri"/>
          <w:b/>
          <w:bCs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b/>
          <w:bCs/>
          <w:sz w:val="24"/>
          <w:szCs w:val="24"/>
          <w:lang w:eastAsia="es-ES"/>
        </w:rPr>
        <w:t>LOTE I</w:t>
      </w:r>
    </w:p>
    <w:p w:rsidR="00A752D8" w:rsidRPr="00A752D8" w:rsidRDefault="00A752D8" w:rsidP="00A752D8">
      <w:pPr>
        <w:spacing w:before="100" w:beforeAutospacing="1" w:after="100" w:afterAutospacing="1"/>
        <w:ind w:left="-851"/>
        <w:jc w:val="center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b/>
          <w:bCs/>
          <w:sz w:val="24"/>
          <w:szCs w:val="24"/>
          <w:lang w:eastAsia="es-ES"/>
        </w:rPr>
        <w:t>MODELO DE OFERTA CUANTIFICABLE MEDIANTE FÓRMULAS CONTRATACIÓN DEL CONTRATO DE SERVICIOS DE LAS PÓLIZAS DE SEGURO DE RESPONSABILIDAD CIVIL PATRIMONIAL, DAÑOS MATERIALES, AUTOMÓVILES, COLECTIVO DE VIDA Y DE ACCIDENTES DEL AYUNTAMIENTO DE BERRIOZAR</w:t>
      </w:r>
    </w:p>
    <w:p w:rsidR="00A752D8" w:rsidRPr="00A752D8" w:rsidRDefault="00A752D8" w:rsidP="00A752D8">
      <w:pPr>
        <w:spacing w:before="100" w:beforeAutospacing="1" w:after="100" w:afterAutospacing="1"/>
        <w:ind w:left="-851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D. /Dª………………………………………………………………………….., titular del DNI nº (o la referencia al documento procedente en caso de ser extranjero) …………………………, con domicilio en…………………………………………….., C.P………………, localidad........................, teléfono………………………., telefax……………………………, en nombre propio o en representación de…………………………………………………………, DNI/CIF......................., con domicilio en……………………………………………. C.P. ……………….., localidad........................, teléfono………………………., telefax……………………………, se compromete a ejecutar el servicio indicado de acuerdo con las ofertas que se hacen a continuación:</w:t>
      </w:r>
    </w:p>
    <w:p w:rsidR="00A752D8" w:rsidRPr="00A752D8" w:rsidRDefault="00A752D8" w:rsidP="00A752D8">
      <w:pPr>
        <w:spacing w:before="100" w:beforeAutospacing="1" w:after="100" w:afterAutospacing="1"/>
        <w:ind w:left="-426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2"/>
          <w:lang w:eastAsia="es-ES"/>
        </w:rPr>
        <w:t>A.</w:t>
      </w:r>
      <w:r w:rsidRPr="00A752D8">
        <w:rPr>
          <w:rFonts w:ascii="Calibri" w:eastAsia="Times New Roman" w:hAnsi="Calibri" w:cs="Calibri"/>
          <w:sz w:val="24"/>
          <w:szCs w:val="22"/>
          <w:lang w:eastAsia="es-ES"/>
        </w:rPr>
        <w:tab/>
      </w: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Oferta económica: (consignar en número) –sin IVA-.</w:t>
      </w:r>
    </w:p>
    <w:p w:rsidR="00A752D8" w:rsidRPr="00A752D8" w:rsidRDefault="00A752D8" w:rsidP="00A752D8">
      <w:pPr>
        <w:ind w:firstLine="708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1. Seguro de daños materiales</w:t>
      </w:r>
    </w:p>
    <w:p w:rsidR="00A752D8" w:rsidRPr="00A752D8" w:rsidRDefault="00A752D8" w:rsidP="00A752D8">
      <w:pPr>
        <w:numPr>
          <w:ilvl w:val="2"/>
          <w:numId w:val="4"/>
        </w:numPr>
        <w:ind w:left="1593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Prima neta:</w:t>
      </w:r>
    </w:p>
    <w:p w:rsidR="00A752D8" w:rsidRPr="00A752D8" w:rsidRDefault="00A752D8" w:rsidP="00A752D8">
      <w:pPr>
        <w:numPr>
          <w:ilvl w:val="2"/>
          <w:numId w:val="4"/>
        </w:numPr>
        <w:ind w:left="1593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Tributos:</w:t>
      </w:r>
    </w:p>
    <w:p w:rsidR="00A752D8" w:rsidRPr="00A752D8" w:rsidRDefault="00A752D8" w:rsidP="00A752D8">
      <w:pPr>
        <w:numPr>
          <w:ilvl w:val="2"/>
          <w:numId w:val="4"/>
        </w:numPr>
        <w:ind w:left="1593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Consorcio:</w:t>
      </w:r>
    </w:p>
    <w:p w:rsidR="00A752D8" w:rsidRPr="00A752D8" w:rsidRDefault="00A752D8" w:rsidP="00A752D8">
      <w:pPr>
        <w:numPr>
          <w:ilvl w:val="2"/>
          <w:numId w:val="4"/>
        </w:numPr>
        <w:ind w:left="1593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Prima Total:</w:t>
      </w:r>
    </w:p>
    <w:p w:rsidR="00A752D8" w:rsidRPr="00A752D8" w:rsidRDefault="00A752D8" w:rsidP="00A752D8">
      <w:pPr>
        <w:ind w:firstLine="708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2. Seguro de responsabilidad civil/patrimonial</w:t>
      </w:r>
    </w:p>
    <w:p w:rsidR="00A752D8" w:rsidRPr="00A752D8" w:rsidRDefault="00A752D8" w:rsidP="00A752D8">
      <w:pPr>
        <w:numPr>
          <w:ilvl w:val="2"/>
          <w:numId w:val="4"/>
        </w:numPr>
        <w:ind w:left="1593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Prima neta:</w:t>
      </w:r>
    </w:p>
    <w:p w:rsidR="00A752D8" w:rsidRPr="00A752D8" w:rsidRDefault="00A752D8" w:rsidP="00A752D8">
      <w:pPr>
        <w:numPr>
          <w:ilvl w:val="2"/>
          <w:numId w:val="4"/>
        </w:numPr>
        <w:ind w:left="1593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Tributos:</w:t>
      </w:r>
    </w:p>
    <w:p w:rsidR="00A752D8" w:rsidRPr="00A752D8" w:rsidRDefault="00A752D8" w:rsidP="00A752D8">
      <w:pPr>
        <w:numPr>
          <w:ilvl w:val="2"/>
          <w:numId w:val="4"/>
        </w:numPr>
        <w:ind w:left="1593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Consorcio:</w:t>
      </w:r>
    </w:p>
    <w:p w:rsidR="00A752D8" w:rsidRPr="00A752D8" w:rsidRDefault="00A752D8" w:rsidP="00A752D8">
      <w:pPr>
        <w:numPr>
          <w:ilvl w:val="2"/>
          <w:numId w:val="4"/>
        </w:numPr>
        <w:ind w:left="1593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Prima Total:</w:t>
      </w:r>
    </w:p>
    <w:p w:rsidR="00A752D8" w:rsidRPr="00A752D8" w:rsidRDefault="00A752D8" w:rsidP="00A752D8">
      <w:pPr>
        <w:ind w:firstLine="708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3. Seguro de automóviles</w:t>
      </w:r>
    </w:p>
    <w:p w:rsidR="00A752D8" w:rsidRPr="00A752D8" w:rsidRDefault="00A752D8" w:rsidP="00A752D8">
      <w:pPr>
        <w:numPr>
          <w:ilvl w:val="2"/>
          <w:numId w:val="4"/>
        </w:numPr>
        <w:ind w:left="1593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Prima neta:</w:t>
      </w:r>
    </w:p>
    <w:p w:rsidR="00A752D8" w:rsidRPr="00A752D8" w:rsidRDefault="00A752D8" w:rsidP="00A752D8">
      <w:pPr>
        <w:numPr>
          <w:ilvl w:val="2"/>
          <w:numId w:val="4"/>
        </w:numPr>
        <w:ind w:left="1593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Tributos:</w:t>
      </w:r>
    </w:p>
    <w:p w:rsidR="00A752D8" w:rsidRPr="00A752D8" w:rsidRDefault="00A752D8" w:rsidP="00A752D8">
      <w:pPr>
        <w:numPr>
          <w:ilvl w:val="2"/>
          <w:numId w:val="4"/>
        </w:numPr>
        <w:ind w:left="1593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Consorcio:</w:t>
      </w:r>
    </w:p>
    <w:p w:rsidR="00A752D8" w:rsidRPr="00A752D8" w:rsidRDefault="00A752D8" w:rsidP="00A752D8">
      <w:pPr>
        <w:numPr>
          <w:ilvl w:val="2"/>
          <w:numId w:val="4"/>
        </w:numPr>
        <w:ind w:left="1593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Prima Total:</w:t>
      </w:r>
    </w:p>
    <w:p w:rsidR="00A752D8" w:rsidRPr="00A752D8" w:rsidRDefault="00A752D8" w:rsidP="00A752D8">
      <w:pPr>
        <w:ind w:left="1593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:rsidR="00A752D8" w:rsidRPr="00A752D8" w:rsidRDefault="00A752D8" w:rsidP="00A752D8">
      <w:pPr>
        <w:ind w:firstLine="708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4. La prima total para el Lote I incluidos los impuestos que la graven serán de:</w:t>
      </w:r>
    </w:p>
    <w:p w:rsidR="00A752D8" w:rsidRPr="00A752D8" w:rsidRDefault="00A752D8" w:rsidP="00A752D8">
      <w:pPr>
        <w:numPr>
          <w:ilvl w:val="2"/>
          <w:numId w:val="4"/>
        </w:numPr>
        <w:spacing w:after="100" w:afterAutospacing="1"/>
        <w:ind w:left="1593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Prima Total:</w:t>
      </w:r>
    </w:p>
    <w:p w:rsidR="00A752D8" w:rsidRPr="00A752D8" w:rsidRDefault="00A752D8" w:rsidP="00A752D8">
      <w:pPr>
        <w:widowControl w:val="0"/>
        <w:numPr>
          <w:ilvl w:val="0"/>
          <w:numId w:val="7"/>
        </w:numPr>
        <w:autoSpaceDE w:val="0"/>
        <w:autoSpaceDN w:val="0"/>
        <w:spacing w:before="160" w:line="242" w:lineRule="auto"/>
        <w:ind w:left="-426" w:right="202"/>
        <w:rPr>
          <w:rFonts w:ascii="Calibri" w:eastAsia="Times New Roman" w:hAnsi="Calibri" w:cs="Calibri"/>
          <w:sz w:val="24"/>
          <w:szCs w:val="22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2"/>
          <w:lang w:eastAsia="es-ES"/>
        </w:rPr>
        <w:t>Mejoras técnicas introducidas por quien licita en la propuesta de daños materiales</w:t>
      </w:r>
    </w:p>
    <w:p w:rsidR="00A752D8" w:rsidRPr="00A752D8" w:rsidRDefault="00A752D8" w:rsidP="00A752D8">
      <w:pPr>
        <w:numPr>
          <w:ilvl w:val="0"/>
          <w:numId w:val="2"/>
        </w:numPr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 xml:space="preserve">Reducción del importe de la franquicia de la cobertura especifica de Todo Riesgo Daños Materiales: </w:t>
      </w:r>
    </w:p>
    <w:p w:rsidR="00A752D8" w:rsidRPr="00A752D8" w:rsidRDefault="00A752D8" w:rsidP="00A752D8">
      <w:pPr>
        <w:numPr>
          <w:ilvl w:val="0"/>
          <w:numId w:val="2"/>
        </w:numPr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 xml:space="preserve">Inclusión de garantías u otras mejoras: </w:t>
      </w:r>
    </w:p>
    <w:p w:rsidR="00A752D8" w:rsidRPr="00A752D8" w:rsidRDefault="00A752D8" w:rsidP="00A752D8">
      <w:pPr>
        <w:numPr>
          <w:ilvl w:val="1"/>
          <w:numId w:val="2"/>
        </w:numPr>
        <w:ind w:left="1843" w:hanging="425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Inclusión de la cobertura de sustitución de cerradura SI / NO</w:t>
      </w:r>
    </w:p>
    <w:p w:rsidR="00A752D8" w:rsidRPr="00A752D8" w:rsidRDefault="00A752D8" w:rsidP="00A752D8">
      <w:pPr>
        <w:numPr>
          <w:ilvl w:val="1"/>
          <w:numId w:val="2"/>
        </w:numPr>
        <w:ind w:left="1843" w:hanging="425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reconstrucción de jardines  SI / NO</w:t>
      </w:r>
    </w:p>
    <w:p w:rsidR="00A752D8" w:rsidRPr="00A752D8" w:rsidRDefault="00A752D8" w:rsidP="00A752D8">
      <w:pPr>
        <w:numPr>
          <w:ilvl w:val="1"/>
          <w:numId w:val="2"/>
        </w:numPr>
        <w:ind w:left="1843" w:hanging="425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Inclusión del Servicio de Asistencia y Envío de Profesionales para la reparación por cuenta de la compañía   SI / NO</w:t>
      </w:r>
    </w:p>
    <w:p w:rsidR="00A752D8" w:rsidRPr="00A752D8" w:rsidRDefault="00A752D8" w:rsidP="00A752D8">
      <w:pPr>
        <w:numPr>
          <w:ilvl w:val="0"/>
          <w:numId w:val="2"/>
        </w:numPr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 xml:space="preserve">Protocolo de gestión de siniestros: </w:t>
      </w:r>
    </w:p>
    <w:p w:rsidR="00A752D8" w:rsidRPr="00A752D8" w:rsidRDefault="00A752D8" w:rsidP="00A752D8">
      <w:pPr>
        <w:numPr>
          <w:ilvl w:val="1"/>
          <w:numId w:val="2"/>
        </w:numPr>
        <w:ind w:left="1843" w:hanging="425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lastRenderedPageBreak/>
        <w:t>Designación de una única persona de contacto en la compañía para la gestión de los siniestros     SI / NO</w:t>
      </w:r>
    </w:p>
    <w:p w:rsidR="00A752D8" w:rsidRPr="00A752D8" w:rsidRDefault="00A752D8" w:rsidP="00A752D8">
      <w:pPr>
        <w:numPr>
          <w:ilvl w:val="1"/>
          <w:numId w:val="2"/>
        </w:numPr>
        <w:ind w:left="1843" w:hanging="425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Designación de un único perito para dar servicio al Ayuntamiento que acudirá dentro de las 24 horas de la comunicación del siniestro SI / NO</w:t>
      </w:r>
    </w:p>
    <w:p w:rsidR="00A752D8" w:rsidRPr="00A752D8" w:rsidRDefault="00A752D8" w:rsidP="00A752D8">
      <w:pPr>
        <w:numPr>
          <w:ilvl w:val="0"/>
          <w:numId w:val="2"/>
        </w:numPr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Inclusión de la garantía de Participación en Beneficios:</w:t>
      </w:r>
    </w:p>
    <w:p w:rsidR="00A752D8" w:rsidRPr="00A752D8" w:rsidRDefault="00A752D8" w:rsidP="00A752D8">
      <w:pPr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:rsidR="00A752D8" w:rsidRPr="00A752D8" w:rsidRDefault="00A752D8" w:rsidP="00A752D8">
      <w:pPr>
        <w:numPr>
          <w:ilvl w:val="0"/>
          <w:numId w:val="7"/>
        </w:numPr>
        <w:spacing w:before="100" w:beforeAutospacing="1"/>
        <w:ind w:left="-426" w:hanging="11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 xml:space="preserve">Mejoras técnicas introducidas por quien licite en la propuesta de Responsabilidad Civil </w:t>
      </w:r>
    </w:p>
    <w:p w:rsidR="00A752D8" w:rsidRPr="00A752D8" w:rsidRDefault="00A752D8" w:rsidP="00A752D8">
      <w:pPr>
        <w:ind w:left="1440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:rsidR="00A752D8" w:rsidRPr="00A752D8" w:rsidRDefault="00A752D8" w:rsidP="00A752D8">
      <w:pPr>
        <w:numPr>
          <w:ilvl w:val="0"/>
          <w:numId w:val="3"/>
        </w:numPr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 xml:space="preserve">Ampliación del ámbito temporal:      </w:t>
      </w:r>
    </w:p>
    <w:p w:rsidR="00A752D8" w:rsidRPr="00A752D8" w:rsidRDefault="00A752D8" w:rsidP="00A752D8">
      <w:pPr>
        <w:numPr>
          <w:ilvl w:val="2"/>
          <w:numId w:val="1"/>
        </w:numPr>
        <w:ind w:left="2904" w:hanging="1452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Retroactividad ilimitada:</w:t>
      </w:r>
    </w:p>
    <w:p w:rsidR="00A752D8" w:rsidRPr="00A752D8" w:rsidRDefault="00A752D8" w:rsidP="00A752D8">
      <w:pPr>
        <w:numPr>
          <w:ilvl w:val="2"/>
          <w:numId w:val="1"/>
        </w:numPr>
        <w:ind w:left="2904" w:hanging="1452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5 años adici</w:t>
      </w:r>
      <w:r w:rsidR="00561D25">
        <w:rPr>
          <w:rFonts w:ascii="Calibri" w:eastAsia="Times New Roman" w:hAnsi="Calibri" w:cs="Calibri"/>
          <w:sz w:val="24"/>
          <w:szCs w:val="24"/>
          <w:lang w:eastAsia="es-ES"/>
        </w:rPr>
        <w:t>onales (desde 1 de enero de 2020</w:t>
      </w: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)</w:t>
      </w:r>
    </w:p>
    <w:p w:rsidR="00A752D8" w:rsidRPr="00A752D8" w:rsidRDefault="00A752D8" w:rsidP="00A752D8">
      <w:pPr>
        <w:numPr>
          <w:ilvl w:val="2"/>
          <w:numId w:val="1"/>
        </w:numPr>
        <w:ind w:left="2904" w:hanging="1452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3 años adici</w:t>
      </w:r>
      <w:r w:rsidR="00561D25">
        <w:rPr>
          <w:rFonts w:ascii="Calibri" w:eastAsia="Times New Roman" w:hAnsi="Calibri" w:cs="Calibri"/>
          <w:sz w:val="24"/>
          <w:szCs w:val="24"/>
          <w:lang w:eastAsia="es-ES"/>
        </w:rPr>
        <w:t>onales (desde 1 de enero de 2022</w:t>
      </w: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)</w:t>
      </w:r>
    </w:p>
    <w:p w:rsidR="00A752D8" w:rsidRPr="00A752D8" w:rsidRDefault="00A752D8" w:rsidP="00A752D8">
      <w:pPr>
        <w:numPr>
          <w:ilvl w:val="0"/>
          <w:numId w:val="3"/>
        </w:numPr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Ampliación de los límites de indemnización:</w:t>
      </w:r>
    </w:p>
    <w:p w:rsidR="00A752D8" w:rsidRPr="00A752D8" w:rsidRDefault="00A752D8" w:rsidP="00A752D8">
      <w:pPr>
        <w:numPr>
          <w:ilvl w:val="2"/>
          <w:numId w:val="1"/>
        </w:numPr>
        <w:ind w:left="2127" w:hanging="709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 xml:space="preserve">Incremento del límite general por siniestro y por periodo de seguro: </w:t>
      </w:r>
    </w:p>
    <w:p w:rsidR="00A752D8" w:rsidRPr="00A752D8" w:rsidRDefault="00A752D8" w:rsidP="00A752D8">
      <w:pPr>
        <w:numPr>
          <w:ilvl w:val="2"/>
          <w:numId w:val="1"/>
        </w:numPr>
        <w:ind w:left="2127" w:hanging="709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 xml:space="preserve">Incremento del límite por víctima en patronal: </w:t>
      </w:r>
    </w:p>
    <w:p w:rsidR="00A752D8" w:rsidRPr="00A752D8" w:rsidRDefault="00A752D8" w:rsidP="00A752D8">
      <w:pPr>
        <w:numPr>
          <w:ilvl w:val="2"/>
          <w:numId w:val="1"/>
        </w:numPr>
        <w:ind w:left="2127" w:hanging="709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 xml:space="preserve">Incremento del límite para perjuicios patrimoniales puros: </w:t>
      </w:r>
    </w:p>
    <w:p w:rsidR="00A752D8" w:rsidRPr="00A752D8" w:rsidRDefault="00A752D8" w:rsidP="00A752D8">
      <w:pPr>
        <w:numPr>
          <w:ilvl w:val="0"/>
          <w:numId w:val="3"/>
        </w:numPr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4 puntos para la gestión de los siniestros, valorando principalmente:</w:t>
      </w:r>
    </w:p>
    <w:p w:rsidR="00A752D8" w:rsidRPr="00A752D8" w:rsidRDefault="00A752D8" w:rsidP="00A752D8">
      <w:pPr>
        <w:numPr>
          <w:ilvl w:val="2"/>
          <w:numId w:val="1"/>
        </w:numPr>
        <w:ind w:left="2127" w:hanging="709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 xml:space="preserve">Designación de una única persona de contacto en la compañía para la gestión de los siniestros: </w:t>
      </w:r>
    </w:p>
    <w:p w:rsidR="00A752D8" w:rsidRPr="00A752D8" w:rsidRDefault="00A752D8" w:rsidP="00A752D8">
      <w:pPr>
        <w:numPr>
          <w:ilvl w:val="2"/>
          <w:numId w:val="1"/>
        </w:numPr>
        <w:ind w:left="2127" w:hanging="709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 xml:space="preserve">Designación de un único perito y abogado: </w:t>
      </w:r>
    </w:p>
    <w:p w:rsidR="00A752D8" w:rsidRPr="00A752D8" w:rsidRDefault="00A752D8" w:rsidP="00A752D8">
      <w:pPr>
        <w:numPr>
          <w:ilvl w:val="0"/>
          <w:numId w:val="3"/>
        </w:numPr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Inclusión de la garantía de Participación en Beneficios</w:t>
      </w:r>
    </w:p>
    <w:p w:rsidR="00A752D8" w:rsidRPr="00A752D8" w:rsidRDefault="00A752D8" w:rsidP="00A752D8">
      <w:pPr>
        <w:widowControl w:val="0"/>
        <w:autoSpaceDE w:val="0"/>
        <w:autoSpaceDN w:val="0"/>
        <w:rPr>
          <w:rFonts w:ascii="Calibri" w:eastAsia="Times New Roman" w:hAnsi="Calibri" w:cs="Calibri"/>
          <w:sz w:val="24"/>
          <w:szCs w:val="24"/>
          <w:lang w:eastAsia="es-ES"/>
        </w:rPr>
      </w:pPr>
    </w:p>
    <w:p w:rsidR="00A752D8" w:rsidRPr="00A752D8" w:rsidRDefault="00A752D8" w:rsidP="00A752D8">
      <w:pPr>
        <w:numPr>
          <w:ilvl w:val="0"/>
          <w:numId w:val="7"/>
        </w:numPr>
        <w:spacing w:before="100" w:beforeAutospacing="1"/>
        <w:ind w:left="-426" w:hanging="11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Mejoras técnicas introducidas por la entidad licitadora en la propuesta de Automóviles</w:t>
      </w:r>
    </w:p>
    <w:p w:rsidR="00A752D8" w:rsidRPr="00A752D8" w:rsidRDefault="00A752D8" w:rsidP="00A752D8">
      <w:pPr>
        <w:numPr>
          <w:ilvl w:val="0"/>
          <w:numId w:val="5"/>
        </w:numPr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 xml:space="preserve"> Inclusión del reconocimiento como terceros y consiguiente cobertura, de los daños causados por los vehículos municipales al patrimonio municipal.  SI / NO</w:t>
      </w:r>
    </w:p>
    <w:p w:rsidR="00A752D8" w:rsidRPr="00A752D8" w:rsidRDefault="00561D25" w:rsidP="00A752D8">
      <w:pPr>
        <w:numPr>
          <w:ilvl w:val="0"/>
          <w:numId w:val="5"/>
        </w:numPr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>
        <w:rPr>
          <w:rFonts w:ascii="Calibri" w:eastAsia="Times New Roman" w:hAnsi="Calibri" w:cs="Calibri"/>
          <w:sz w:val="24"/>
          <w:szCs w:val="24"/>
          <w:lang w:eastAsia="es-ES"/>
        </w:rPr>
        <w:t>I</w:t>
      </w:r>
      <w:bookmarkStart w:id="0" w:name="_GoBack"/>
      <w:bookmarkEnd w:id="0"/>
      <w:r w:rsidR="00A752D8" w:rsidRPr="00A752D8">
        <w:rPr>
          <w:rFonts w:ascii="Calibri" w:eastAsia="Times New Roman" w:hAnsi="Calibri" w:cs="Calibri"/>
          <w:sz w:val="24"/>
          <w:szCs w:val="24"/>
          <w:lang w:eastAsia="es-ES"/>
        </w:rPr>
        <w:t>nclusión del reconocimiento como terceros y consiguiente cobertura, de los daños causados a vehículos municipales por otro vehículo propiedad del Ayuntamiento.  SI / NO</w:t>
      </w:r>
    </w:p>
    <w:p w:rsidR="00A752D8" w:rsidRPr="00A752D8" w:rsidRDefault="00A752D8" w:rsidP="00A752D8">
      <w:pPr>
        <w:widowControl w:val="0"/>
        <w:numPr>
          <w:ilvl w:val="0"/>
          <w:numId w:val="5"/>
        </w:numPr>
        <w:tabs>
          <w:tab w:val="left" w:pos="1121"/>
        </w:tabs>
        <w:autoSpaceDE w:val="0"/>
        <w:autoSpaceDN w:val="0"/>
        <w:spacing w:after="100" w:afterAutospacing="1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Inclusión de daños sufridos por vehículos asegurados como consecuencia del atropello de especies</w:t>
      </w:r>
      <w:r w:rsidRPr="00A752D8">
        <w:rPr>
          <w:rFonts w:ascii="Calibri" w:eastAsia="Times New Roman" w:hAnsi="Calibri" w:cs="Calibri"/>
          <w:spacing w:val="-1"/>
          <w:sz w:val="24"/>
          <w:szCs w:val="24"/>
          <w:lang w:eastAsia="es-ES"/>
        </w:rPr>
        <w:t xml:space="preserve"> </w:t>
      </w: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cinegéticas.  SI / NO</w:t>
      </w:r>
    </w:p>
    <w:p w:rsidR="00A752D8" w:rsidRPr="00A752D8" w:rsidRDefault="00A752D8" w:rsidP="00A752D8">
      <w:pPr>
        <w:numPr>
          <w:ilvl w:val="0"/>
          <w:numId w:val="7"/>
        </w:numPr>
        <w:spacing w:before="100" w:beforeAutospacing="1"/>
        <w:ind w:left="-426" w:hanging="11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 xml:space="preserve">Criterios sociales: </w:t>
      </w:r>
    </w:p>
    <w:p w:rsidR="00A752D8" w:rsidRPr="00A752D8" w:rsidRDefault="00A752D8" w:rsidP="00A752D8">
      <w:pPr>
        <w:widowControl w:val="0"/>
        <w:numPr>
          <w:ilvl w:val="0"/>
          <w:numId w:val="6"/>
        </w:numPr>
        <w:tabs>
          <w:tab w:val="left" w:pos="1203"/>
        </w:tabs>
        <w:autoSpaceDE w:val="0"/>
        <w:autoSpaceDN w:val="0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Compromiso de diseñar y aplicar medidas de conciliación entre la vida personal, laboral y familiar para la plantilla que ejecute el contrato, o para las personas beneficiarias del contrato, siempre que mejoren las ya</w:t>
      </w:r>
      <w:r w:rsidRPr="00A752D8">
        <w:rPr>
          <w:rFonts w:ascii="Calibri" w:eastAsia="Times New Roman" w:hAnsi="Calibri" w:cs="Calibri"/>
          <w:spacing w:val="-6"/>
          <w:sz w:val="24"/>
          <w:szCs w:val="24"/>
          <w:lang w:eastAsia="es-ES"/>
        </w:rPr>
        <w:t xml:space="preserve"> </w:t>
      </w: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existentes.  SI / NO</w:t>
      </w:r>
    </w:p>
    <w:p w:rsidR="00A752D8" w:rsidRPr="00A752D8" w:rsidRDefault="00A752D8" w:rsidP="00A752D8">
      <w:pPr>
        <w:widowControl w:val="0"/>
        <w:numPr>
          <w:ilvl w:val="0"/>
          <w:numId w:val="6"/>
        </w:numPr>
        <w:tabs>
          <w:tab w:val="left" w:pos="1248"/>
        </w:tabs>
        <w:autoSpaceDE w:val="0"/>
        <w:autoSpaceDN w:val="0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Compromiso de disponer y aplicar a la plantilla que ejecute el contrato un convenio de empresa que prevea medidas específicas para la igualdad efectiva de mujeres y hombres.  SI / NO</w:t>
      </w:r>
    </w:p>
    <w:p w:rsidR="00A752D8" w:rsidRPr="00A752D8" w:rsidRDefault="00A752D8" w:rsidP="00A752D8">
      <w:pPr>
        <w:spacing w:before="100" w:beforeAutospacing="1" w:after="100" w:afterAutospacing="1"/>
        <w:ind w:left="-851"/>
        <w:jc w:val="center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(Lugar, fecha, firma)</w:t>
      </w:r>
    </w:p>
    <w:p w:rsidR="00A752D8" w:rsidRPr="00A752D8" w:rsidRDefault="00A752D8" w:rsidP="00A752D8">
      <w:pPr>
        <w:spacing w:before="100" w:beforeAutospacing="1" w:after="100" w:afterAutospacing="1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:rsidR="0048782E" w:rsidRPr="00A752D8" w:rsidRDefault="00A752D8" w:rsidP="00A752D8">
      <w:pPr>
        <w:spacing w:before="100" w:beforeAutospacing="1" w:after="100" w:afterAutospacing="1"/>
        <w:jc w:val="both"/>
        <w:rPr>
          <w:rFonts w:ascii="Calibri" w:eastAsia="Times New Roman" w:hAnsi="Calibri" w:cs="Calibri"/>
          <w:b/>
          <w:bCs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b/>
          <w:bCs/>
          <w:sz w:val="24"/>
          <w:szCs w:val="24"/>
          <w:lang w:eastAsia="es-ES"/>
        </w:rPr>
        <w:t>Protección de Datos:</w:t>
      </w:r>
      <w:r w:rsidRPr="00A752D8">
        <w:rPr>
          <w:rFonts w:ascii="Calibri" w:eastAsia="Times New Roman" w:hAnsi="Calibri" w:cs="Calibri"/>
          <w:bCs/>
          <w:sz w:val="24"/>
          <w:szCs w:val="24"/>
          <w:lang w:eastAsia="es-ES"/>
        </w:rPr>
        <w:t xml:space="preserve"> El responsable del tratamiento de los datos registrados en este documento es el Ayuntamiento de Berriozar. La información ampliada sobre los fines y demás condiciones del tratamiento se indica en la cláusula 30 del Pliego regulador.</w:t>
      </w:r>
    </w:p>
    <w:sectPr w:rsidR="0048782E" w:rsidRPr="00A752D8" w:rsidSect="006A08EA">
      <w:footerReference w:type="default" r:id="rId8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2D8" w:rsidRDefault="00A752D8" w:rsidP="00323CA9">
      <w:r>
        <w:separator/>
      </w:r>
    </w:p>
  </w:endnote>
  <w:endnote w:type="continuationSeparator" w:id="0">
    <w:p w:rsidR="00A752D8" w:rsidRDefault="00A752D8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2D8" w:rsidRDefault="00A752D8">
    <w:pPr>
      <w:pStyle w:val="Piedepgina"/>
    </w:pPr>
    <w:bookmarkStart w:id="1" w:name="codbarraspie1"/>
    <w:bookmarkEnd w:id="1"/>
  </w:p>
  <w:p w:rsidR="00A752D8" w:rsidRDefault="00A752D8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2D8" w:rsidRDefault="00A752D8" w:rsidP="00323CA9">
      <w:r>
        <w:separator/>
      </w:r>
    </w:p>
  </w:footnote>
  <w:footnote w:type="continuationSeparator" w:id="0">
    <w:p w:rsidR="00A752D8" w:rsidRDefault="00A752D8" w:rsidP="00323C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15911"/>
    <w:multiLevelType w:val="hybridMultilevel"/>
    <w:tmpl w:val="8FE2529C"/>
    <w:lvl w:ilvl="0" w:tplc="0C0A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14" w:hanging="360"/>
      </w:pPr>
    </w:lvl>
    <w:lvl w:ilvl="2" w:tplc="0C0A001B" w:tentative="1">
      <w:start w:val="1"/>
      <w:numFmt w:val="lowerRoman"/>
      <w:lvlText w:val="%3."/>
      <w:lvlJc w:val="right"/>
      <w:pPr>
        <w:ind w:left="2934" w:hanging="180"/>
      </w:pPr>
    </w:lvl>
    <w:lvl w:ilvl="3" w:tplc="0C0A000F" w:tentative="1">
      <w:start w:val="1"/>
      <w:numFmt w:val="decimal"/>
      <w:lvlText w:val="%4."/>
      <w:lvlJc w:val="left"/>
      <w:pPr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16E7E58"/>
    <w:multiLevelType w:val="hybridMultilevel"/>
    <w:tmpl w:val="0AB2C516"/>
    <w:lvl w:ilvl="0" w:tplc="0C0A000F">
      <w:start w:val="1"/>
      <w:numFmt w:val="decimal"/>
      <w:lvlText w:val="%1."/>
      <w:lvlJc w:val="left"/>
      <w:pPr>
        <w:ind w:left="1440" w:hanging="360"/>
      </w:pPr>
      <w:rPr>
        <w:rFonts w:hint="default"/>
        <w:sz w:val="20"/>
        <w:szCs w:val="20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9F7067A"/>
    <w:multiLevelType w:val="hybridMultilevel"/>
    <w:tmpl w:val="959042CE"/>
    <w:lvl w:ilvl="0" w:tplc="0C0A000F">
      <w:start w:val="1"/>
      <w:numFmt w:val="decimal"/>
      <w:lvlText w:val="%1."/>
      <w:lvlJc w:val="left"/>
      <w:pPr>
        <w:ind w:left="1440" w:hanging="360"/>
      </w:pPr>
      <w:rPr>
        <w:rFonts w:hint="default"/>
        <w:sz w:val="20"/>
        <w:szCs w:val="20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B142F43"/>
    <w:multiLevelType w:val="hybridMultilevel"/>
    <w:tmpl w:val="B55ACA8A"/>
    <w:lvl w:ilvl="0" w:tplc="7226913E">
      <w:start w:val="2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4C07BB0">
      <w:numFmt w:val="bullet"/>
      <w:lvlText w:val="-"/>
      <w:lvlJc w:val="left"/>
      <w:pPr>
        <w:ind w:left="2520" w:hanging="360"/>
      </w:pPr>
      <w:rPr>
        <w:rFonts w:ascii="Arial" w:eastAsia="Times New Roman" w:hAnsi="Arial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02B6E8E"/>
    <w:multiLevelType w:val="multilevel"/>
    <w:tmpl w:val="D47E63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bullet"/>
      <w:lvlText w:val="-"/>
      <w:lvlJc w:val="left"/>
      <w:pPr>
        <w:ind w:left="2160" w:hanging="720"/>
      </w:pPr>
      <w:rPr>
        <w:rFonts w:ascii="Calibri" w:eastAsia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>
    <w:nsid w:val="4EDB78A1"/>
    <w:multiLevelType w:val="hybridMultilevel"/>
    <w:tmpl w:val="E7789436"/>
    <w:lvl w:ilvl="0" w:tplc="0C0A000F">
      <w:start w:val="1"/>
      <w:numFmt w:val="decimal"/>
      <w:lvlText w:val="%1."/>
      <w:lvlJc w:val="left"/>
      <w:pPr>
        <w:ind w:left="131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39" w:hanging="360"/>
      </w:pPr>
    </w:lvl>
    <w:lvl w:ilvl="2" w:tplc="0C0A001B" w:tentative="1">
      <w:start w:val="1"/>
      <w:numFmt w:val="lowerRoman"/>
      <w:lvlText w:val="%3."/>
      <w:lvlJc w:val="right"/>
      <w:pPr>
        <w:ind w:left="2759" w:hanging="180"/>
      </w:pPr>
    </w:lvl>
    <w:lvl w:ilvl="3" w:tplc="0C0A000F" w:tentative="1">
      <w:start w:val="1"/>
      <w:numFmt w:val="decimal"/>
      <w:lvlText w:val="%4."/>
      <w:lvlJc w:val="left"/>
      <w:pPr>
        <w:ind w:left="3479" w:hanging="360"/>
      </w:pPr>
    </w:lvl>
    <w:lvl w:ilvl="4" w:tplc="0C0A0019" w:tentative="1">
      <w:start w:val="1"/>
      <w:numFmt w:val="lowerLetter"/>
      <w:lvlText w:val="%5."/>
      <w:lvlJc w:val="left"/>
      <w:pPr>
        <w:ind w:left="4199" w:hanging="360"/>
      </w:pPr>
    </w:lvl>
    <w:lvl w:ilvl="5" w:tplc="0C0A001B" w:tentative="1">
      <w:start w:val="1"/>
      <w:numFmt w:val="lowerRoman"/>
      <w:lvlText w:val="%6."/>
      <w:lvlJc w:val="right"/>
      <w:pPr>
        <w:ind w:left="4919" w:hanging="180"/>
      </w:pPr>
    </w:lvl>
    <w:lvl w:ilvl="6" w:tplc="0C0A000F" w:tentative="1">
      <w:start w:val="1"/>
      <w:numFmt w:val="decimal"/>
      <w:lvlText w:val="%7."/>
      <w:lvlJc w:val="left"/>
      <w:pPr>
        <w:ind w:left="5639" w:hanging="360"/>
      </w:pPr>
    </w:lvl>
    <w:lvl w:ilvl="7" w:tplc="0C0A0019" w:tentative="1">
      <w:start w:val="1"/>
      <w:numFmt w:val="lowerLetter"/>
      <w:lvlText w:val="%8."/>
      <w:lvlJc w:val="left"/>
      <w:pPr>
        <w:ind w:left="6359" w:hanging="360"/>
      </w:pPr>
    </w:lvl>
    <w:lvl w:ilvl="8" w:tplc="0C0A001B" w:tentative="1">
      <w:start w:val="1"/>
      <w:numFmt w:val="lowerRoman"/>
      <w:lvlText w:val="%9."/>
      <w:lvlJc w:val="right"/>
      <w:pPr>
        <w:ind w:left="7079" w:hanging="180"/>
      </w:pPr>
    </w:lvl>
  </w:abstractNum>
  <w:abstractNum w:abstractNumId="6">
    <w:nsid w:val="6C0B3B5C"/>
    <w:multiLevelType w:val="hybridMultilevel"/>
    <w:tmpl w:val="F65AA196"/>
    <w:lvl w:ilvl="0" w:tplc="0C0A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52D8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1D25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52D8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615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Rodriguez Aguado</dc:creator>
  <cp:lastModifiedBy>Natalia Rodriguez Aguado</cp:lastModifiedBy>
  <cp:revision>2</cp:revision>
  <dcterms:created xsi:type="dcterms:W3CDTF">2024-10-02T09:14:00Z</dcterms:created>
  <dcterms:modified xsi:type="dcterms:W3CDTF">2024-10-02T09:14:00Z</dcterms:modified>
</cp:coreProperties>
</file>