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661" w:rsidRPr="003224E4" w:rsidRDefault="002C2661" w:rsidP="002C2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ANEXO V</w:t>
      </w:r>
    </w:p>
    <w:p w:rsidR="002C2661" w:rsidRPr="003224E4" w:rsidRDefault="002C2661" w:rsidP="002C2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2C2661" w:rsidRPr="003224E4" w:rsidRDefault="002C2661" w:rsidP="002C2661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(presentar en el Sobre C) </w:t>
      </w:r>
    </w:p>
    <w:p w:rsidR="002C2661" w:rsidRPr="000C344A" w:rsidRDefault="002C2661" w:rsidP="002C2661">
      <w:pPr>
        <w:jc w:val="center"/>
        <w:rPr>
          <w:b/>
          <w:sz w:val="22"/>
          <w:szCs w:val="22"/>
          <w:u w:val="single"/>
        </w:rPr>
      </w:pPr>
    </w:p>
    <w:p w:rsidR="002C2661" w:rsidRPr="00157395" w:rsidRDefault="002C2661" w:rsidP="002C2661">
      <w:pPr>
        <w:jc w:val="both"/>
        <w:rPr>
          <w:b/>
          <w:sz w:val="22"/>
          <w:szCs w:val="22"/>
        </w:rPr>
      </w:pPr>
      <w:r w:rsidRPr="00157395">
        <w:rPr>
          <w:b/>
          <w:sz w:val="22"/>
          <w:szCs w:val="22"/>
        </w:rPr>
        <w:t xml:space="preserve">LICITADOR: </w:t>
      </w:r>
    </w:p>
    <w:p w:rsidR="002C2661" w:rsidRDefault="002C2661" w:rsidP="002C2661">
      <w:pPr>
        <w:jc w:val="both"/>
        <w:rPr>
          <w:sz w:val="22"/>
          <w:szCs w:val="22"/>
        </w:rPr>
      </w:pPr>
    </w:p>
    <w:p w:rsidR="002C2661" w:rsidRPr="00385BD3" w:rsidRDefault="002C2661" w:rsidP="002C2661">
      <w:pPr>
        <w:jc w:val="both"/>
        <w:rPr>
          <w:b/>
          <w:sz w:val="22"/>
          <w:szCs w:val="22"/>
          <w:u w:val="single"/>
        </w:rPr>
      </w:pPr>
      <w:r w:rsidRPr="00547087">
        <w:rPr>
          <w:b/>
          <w:color w:val="000000"/>
          <w:sz w:val="22"/>
          <w:szCs w:val="22"/>
        </w:rPr>
        <w:t>Suministro de reactivos</w:t>
      </w:r>
      <w:r>
        <w:rPr>
          <w:b/>
          <w:color w:val="000000"/>
          <w:sz w:val="22"/>
          <w:szCs w:val="22"/>
        </w:rPr>
        <w:t xml:space="preserve"> de </w:t>
      </w:r>
      <w:proofErr w:type="spellStart"/>
      <w:r>
        <w:rPr>
          <w:b/>
          <w:color w:val="000000"/>
          <w:sz w:val="22"/>
          <w:szCs w:val="22"/>
        </w:rPr>
        <w:t>inmunohematología</w:t>
      </w:r>
      <w:proofErr w:type="spellEnd"/>
      <w:r w:rsidRPr="00547087">
        <w:rPr>
          <w:b/>
          <w:color w:val="000000"/>
          <w:sz w:val="22"/>
          <w:szCs w:val="22"/>
        </w:rPr>
        <w:t xml:space="preserve">, fungibles y cesión del equipamiento necesario, con mantenimiento y conexión informática incluidos, para </w:t>
      </w:r>
      <w:r>
        <w:rPr>
          <w:b/>
          <w:color w:val="000000"/>
          <w:sz w:val="22"/>
          <w:szCs w:val="22"/>
        </w:rPr>
        <w:t>el Banco de Sangre y Tejidos de Navarra</w:t>
      </w:r>
      <w:r>
        <w:rPr>
          <w:color w:val="000000"/>
          <w:sz w:val="22"/>
          <w:szCs w:val="22"/>
        </w:rPr>
        <w:t xml:space="preserve">, </w:t>
      </w:r>
      <w:r>
        <w:rPr>
          <w:b/>
          <w:color w:val="000000"/>
          <w:sz w:val="22"/>
          <w:szCs w:val="22"/>
        </w:rPr>
        <w:t>perteneciente al S</w:t>
      </w:r>
      <w:r w:rsidRPr="00E25AFA">
        <w:rPr>
          <w:b/>
          <w:color w:val="000000"/>
          <w:sz w:val="22"/>
          <w:szCs w:val="22"/>
        </w:rPr>
        <w:t>ervicio Navarro de Salud-Osasunbidea.</w:t>
      </w:r>
    </w:p>
    <w:p w:rsidR="002C2661" w:rsidRDefault="002C2661" w:rsidP="002C2661">
      <w:pPr>
        <w:jc w:val="both"/>
        <w:rPr>
          <w:sz w:val="22"/>
          <w:szCs w:val="22"/>
        </w:rPr>
      </w:pPr>
    </w:p>
    <w:p w:rsidR="002C2661" w:rsidRDefault="002C2661" w:rsidP="002C2661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2410"/>
        <w:gridCol w:w="2268"/>
      </w:tblGrid>
      <w:tr w:rsidR="002C2661" w:rsidRPr="00333AA7" w:rsidTr="00643C1E">
        <w:trPr>
          <w:trHeight w:val="284"/>
        </w:trPr>
        <w:tc>
          <w:tcPr>
            <w:tcW w:w="5778" w:type="dxa"/>
          </w:tcPr>
          <w:p w:rsidR="002C2661" w:rsidRPr="00333AA7" w:rsidRDefault="002C2661" w:rsidP="00643C1E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C2661" w:rsidRPr="00333AA7" w:rsidTr="00643C1E">
        <w:trPr>
          <w:trHeight w:val="397"/>
        </w:trPr>
        <w:tc>
          <w:tcPr>
            <w:tcW w:w="5778" w:type="dxa"/>
          </w:tcPr>
          <w:p w:rsidR="002C2661" w:rsidRPr="00AB7EF1" w:rsidRDefault="002C2661" w:rsidP="00643C1E">
            <w:pPr>
              <w:spacing w:before="60" w:after="60"/>
              <w:jc w:val="both"/>
              <w:rPr>
                <w:b/>
                <w:color w:val="000000"/>
                <w:sz w:val="22"/>
                <w:szCs w:val="22"/>
              </w:rPr>
            </w:pPr>
            <w:r w:rsidRPr="00AB7EF1">
              <w:rPr>
                <w:b/>
                <w:color w:val="000000"/>
                <w:sz w:val="22"/>
                <w:szCs w:val="22"/>
              </w:rPr>
              <w:t>1. Criterios técnicos de calidad y seguridad clínica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</w:tcPr>
          <w:p w:rsidR="002C2661" w:rsidRPr="00D22997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>Disponibilidad de antisueros líquidos para la realización de la técnica de fenotipo extendido con posibilidad de configurar en máquina perfiles abiertos a criterio del usuario.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</w:tcPr>
          <w:p w:rsidR="002C2661" w:rsidRPr="00D22997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 xml:space="preserve">Detección de anticuerpos irregulares: Capacidad para la detección de anticuerpos de tipo 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 xml:space="preserve"> e 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C2661" w:rsidRDefault="002C2661" w:rsidP="002C2661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2410"/>
        <w:gridCol w:w="2268"/>
      </w:tblGrid>
      <w:tr w:rsidR="002C2661" w:rsidRPr="00333AA7" w:rsidTr="00643C1E">
        <w:trPr>
          <w:trHeight w:val="284"/>
        </w:trPr>
        <w:tc>
          <w:tcPr>
            <w:tcW w:w="5778" w:type="dxa"/>
          </w:tcPr>
          <w:p w:rsidR="002C2661" w:rsidRPr="00333AA7" w:rsidRDefault="002C2661" w:rsidP="00643C1E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C2661" w:rsidRPr="00333AA7" w:rsidTr="00643C1E">
        <w:trPr>
          <w:trHeight w:val="397"/>
        </w:trPr>
        <w:tc>
          <w:tcPr>
            <w:tcW w:w="5778" w:type="dxa"/>
          </w:tcPr>
          <w:p w:rsidR="002C2661" w:rsidRPr="00AB7EF1" w:rsidRDefault="002C2661" w:rsidP="00643C1E">
            <w:pPr>
              <w:spacing w:before="60" w:after="60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Pr="00AB7EF1">
              <w:rPr>
                <w:b/>
                <w:color w:val="000000"/>
                <w:sz w:val="22"/>
                <w:szCs w:val="22"/>
              </w:rPr>
              <w:t>. Criterios que afectan a la política medioambiental y optimización de consumos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333AA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>Ausencia de material fungible para dilución de muestras.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>Posibilidad de aprovechar los soportes de reacción (tarjetas/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microplaca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>) parcialmente usados durante un mínimo de 48-72 horas, evitando desechos y consumos innecesarios.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 xml:space="preserve">Determinación de 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tipaje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 xml:space="preserve"> ABO, RH (D) y control incorporado en un mismo y único soporte de reacción (hemático A,B,AB, sérico A1-B, DVI+ y DVI-, control).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 xml:space="preserve">Determinación de fenotipo Rh, 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Kell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Cw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 xml:space="preserve"> y control en un mismo y único soporte de reacción (</w:t>
            </w:r>
            <w:proofErr w:type="spellStart"/>
            <w:r w:rsidRPr="00AB7EF1">
              <w:rPr>
                <w:color w:val="000000"/>
                <w:sz w:val="22"/>
                <w:szCs w:val="22"/>
              </w:rPr>
              <w:t>microplaca</w:t>
            </w:r>
            <w:proofErr w:type="spellEnd"/>
            <w:r w:rsidRPr="00AB7EF1">
              <w:rPr>
                <w:color w:val="000000"/>
                <w:sz w:val="22"/>
                <w:szCs w:val="22"/>
              </w:rPr>
              <w:t>/tarjeta).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C2661" w:rsidRDefault="002C2661" w:rsidP="002C2661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2410"/>
        <w:gridCol w:w="2268"/>
      </w:tblGrid>
      <w:tr w:rsidR="002C2661" w:rsidRPr="00333AA7" w:rsidTr="00643C1E">
        <w:trPr>
          <w:trHeight w:val="284"/>
        </w:trPr>
        <w:tc>
          <w:tcPr>
            <w:tcW w:w="5778" w:type="dxa"/>
          </w:tcPr>
          <w:p w:rsidR="002C2661" w:rsidRPr="00333AA7" w:rsidRDefault="002C2661" w:rsidP="00643C1E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2C2661" w:rsidRPr="00333AA7" w:rsidRDefault="002C2661" w:rsidP="00643C1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C2661" w:rsidRPr="00333AA7" w:rsidTr="00643C1E">
        <w:trPr>
          <w:trHeight w:val="397"/>
        </w:trPr>
        <w:tc>
          <w:tcPr>
            <w:tcW w:w="5778" w:type="dxa"/>
          </w:tcPr>
          <w:p w:rsidR="002C2661" w:rsidRPr="00AB7EF1" w:rsidRDefault="002C2661" w:rsidP="00643C1E">
            <w:pPr>
              <w:spacing w:before="60" w:after="60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Pr="00AB7EF1">
              <w:rPr>
                <w:b/>
                <w:color w:val="000000"/>
                <w:sz w:val="22"/>
                <w:szCs w:val="22"/>
              </w:rPr>
              <w:t>. Criterios que valoran la seguridad y comodidad para el usuario final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333AA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AB7EF1">
              <w:rPr>
                <w:color w:val="000000"/>
                <w:sz w:val="22"/>
                <w:szCs w:val="22"/>
              </w:rPr>
              <w:t>Carga y acceso continuo e inmediato de muestras y reactivos con el sistema en marcha, sin esperar a detener procesos en curso.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C2661" w:rsidRPr="00D22997" w:rsidTr="00643C1E">
        <w:trPr>
          <w:trHeight w:val="397"/>
        </w:trPr>
        <w:tc>
          <w:tcPr>
            <w:tcW w:w="5778" w:type="dxa"/>
            <w:shd w:val="clear" w:color="auto" w:fill="auto"/>
          </w:tcPr>
          <w:p w:rsidR="002C2661" w:rsidRPr="00AB7EF1" w:rsidRDefault="002C2661" w:rsidP="00643C1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AB7EF1">
              <w:rPr>
                <w:color w:val="000000"/>
                <w:sz w:val="22"/>
                <w:szCs w:val="22"/>
              </w:rPr>
              <w:t>osibilidad de acceso remoto para control de procesos y obtención de estadísticas de actividad).</w:t>
            </w:r>
          </w:p>
        </w:tc>
        <w:tc>
          <w:tcPr>
            <w:tcW w:w="2410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C2661" w:rsidRPr="00D22997" w:rsidRDefault="002C2661" w:rsidP="00643C1E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C2661" w:rsidRDefault="002C2661" w:rsidP="002C2661">
      <w:pPr>
        <w:jc w:val="both"/>
        <w:rPr>
          <w:sz w:val="22"/>
          <w:szCs w:val="22"/>
        </w:rPr>
      </w:pPr>
    </w:p>
    <w:p w:rsidR="002C2661" w:rsidRPr="00157395" w:rsidRDefault="002C2661" w:rsidP="002C2661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C,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2C2661" w:rsidRDefault="002C2661" w:rsidP="002C2661">
      <w:pPr>
        <w:jc w:val="both"/>
        <w:rPr>
          <w:sz w:val="22"/>
          <w:szCs w:val="22"/>
        </w:rPr>
      </w:pPr>
      <w:bookmarkStart w:id="0" w:name="_GoBack"/>
      <w:bookmarkEnd w:id="0"/>
    </w:p>
    <w:sectPr w:rsidR="002C2661" w:rsidSect="002C2661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61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2661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BF1F4-227B-4328-A44C-81DE57BFA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661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2024-02-07T13:14:00Z</dcterms:created>
  <dcterms:modified xsi:type="dcterms:W3CDTF">2024-02-07T13:15:00Z</dcterms:modified>
</cp:coreProperties>
</file>