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D85" w:rsidRPr="00C45251" w:rsidRDefault="00265D85" w:rsidP="00265D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C45251">
        <w:rPr>
          <w:rFonts w:ascii="Calibri" w:hAnsi="Calibri" w:cs="Calibri"/>
          <w:b/>
          <w:sz w:val="22"/>
          <w:szCs w:val="22"/>
        </w:rPr>
        <w:t>ANEXO VI</w:t>
      </w:r>
    </w:p>
    <w:p w:rsidR="00265D85" w:rsidRPr="00C45251" w:rsidRDefault="00265D85" w:rsidP="00265D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8"/>
          <w:szCs w:val="8"/>
        </w:rPr>
      </w:pPr>
    </w:p>
    <w:p w:rsidR="00265D85" w:rsidRDefault="00265D85" w:rsidP="00265D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C45251">
        <w:rPr>
          <w:rFonts w:ascii="Calibri" w:hAnsi="Calibri" w:cs="Calibri"/>
          <w:b/>
          <w:sz w:val="22"/>
          <w:szCs w:val="22"/>
        </w:rPr>
        <w:t>Para facilitar la comprobación de las prescripciones técnicas de la oferta</w:t>
      </w:r>
    </w:p>
    <w:p w:rsidR="00265D85" w:rsidRPr="00FA614F" w:rsidRDefault="00265D85" w:rsidP="00265D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8"/>
          <w:szCs w:val="8"/>
        </w:rPr>
      </w:pPr>
    </w:p>
    <w:p w:rsidR="00265D85" w:rsidRPr="00AE74F4" w:rsidRDefault="00265D85" w:rsidP="00265D85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265D85" w:rsidRPr="00AE74F4" w:rsidRDefault="00265D85" w:rsidP="00265D85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AE74F4">
        <w:rPr>
          <w:rFonts w:ascii="Calibri" w:hAnsi="Calibri" w:cs="Calibri"/>
          <w:b/>
          <w:sz w:val="22"/>
          <w:szCs w:val="22"/>
        </w:rPr>
        <w:t xml:space="preserve"> (para presentar en el </w:t>
      </w:r>
      <w:r w:rsidRPr="00C45251">
        <w:rPr>
          <w:rFonts w:ascii="Calibri" w:hAnsi="Calibri" w:cs="Calibri"/>
          <w:b/>
          <w:sz w:val="22"/>
          <w:szCs w:val="22"/>
        </w:rPr>
        <w:t>Sobre BC)</w:t>
      </w:r>
      <w:r w:rsidRPr="00AE74F4">
        <w:rPr>
          <w:rFonts w:ascii="Calibri" w:hAnsi="Calibri" w:cs="Calibri"/>
          <w:b/>
          <w:sz w:val="22"/>
          <w:szCs w:val="22"/>
        </w:rPr>
        <w:t xml:space="preserve"> </w:t>
      </w:r>
    </w:p>
    <w:p w:rsidR="00265D85" w:rsidRDefault="00265D85" w:rsidP="00265D85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265D85" w:rsidRPr="00AE74F4" w:rsidRDefault="00265D85" w:rsidP="00265D85">
      <w:pPr>
        <w:jc w:val="both"/>
        <w:rPr>
          <w:rFonts w:ascii="Calibri" w:hAnsi="Calibri" w:cs="Calibri"/>
          <w:sz w:val="22"/>
          <w:szCs w:val="22"/>
        </w:rPr>
      </w:pPr>
      <w:r w:rsidRPr="00AE74F4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AE74F4">
        <w:rPr>
          <w:rFonts w:ascii="Calibri" w:hAnsi="Calibri" w:cs="Calibri"/>
          <w:sz w:val="22"/>
          <w:szCs w:val="22"/>
        </w:rPr>
        <w:t>…….</w:t>
      </w:r>
      <w:proofErr w:type="gramEnd"/>
      <w:r w:rsidRPr="00AE74F4">
        <w:rPr>
          <w:rFonts w:ascii="Calibri" w:hAnsi="Calibri" w:cs="Calibri"/>
          <w:sz w:val="22"/>
          <w:szCs w:val="22"/>
        </w:rPr>
        <w:t>.</w:t>
      </w: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7770C9" w:rsidRDefault="00265D85" w:rsidP="00265D85">
      <w:pPr>
        <w:rPr>
          <w:rFonts w:ascii="Calibri" w:hAnsi="Calibri" w:cs="Calibri"/>
          <w:b/>
          <w:caps/>
          <w:sz w:val="22"/>
          <w:szCs w:val="22"/>
        </w:rPr>
      </w:pPr>
      <w:r w:rsidRPr="007770C9">
        <w:rPr>
          <w:rFonts w:ascii="Calibri" w:hAnsi="Calibri" w:cs="Calibri"/>
          <w:b/>
          <w:caps/>
          <w:sz w:val="22"/>
          <w:szCs w:val="22"/>
          <w:u w:val="single"/>
          <w:lang w:val="es-ES"/>
        </w:rPr>
        <w:t>LOTE 1</w:t>
      </w:r>
      <w:r w:rsidRPr="007770C9">
        <w:rPr>
          <w:rFonts w:ascii="Calibri" w:hAnsi="Calibri" w:cs="Calibri"/>
          <w:b/>
          <w:caps/>
          <w:sz w:val="22"/>
          <w:szCs w:val="22"/>
          <w:lang w:val="es-ES"/>
        </w:rPr>
        <w:t>:</w:t>
      </w:r>
      <w:r w:rsidRPr="007770C9">
        <w:rPr>
          <w:rFonts w:ascii="Calibri" w:hAnsi="Calibri" w:cs="Calibri"/>
          <w:b/>
          <w:caps/>
          <w:color w:val="FF0000"/>
          <w:sz w:val="22"/>
          <w:szCs w:val="22"/>
          <w:lang w:val="es-ES"/>
        </w:rPr>
        <w:t xml:space="preserve"> </w:t>
      </w:r>
      <w:r w:rsidRPr="002C5E56">
        <w:rPr>
          <w:rFonts w:ascii="Calibri" w:hAnsi="Calibri" w:cs="Calibri"/>
          <w:b/>
          <w:caps/>
          <w:sz w:val="22"/>
          <w:szCs w:val="22"/>
          <w:lang w:val="es-ES"/>
        </w:rPr>
        <w:t>ENDOPROTESIS CUBIERTA AUTOEXPANDIBLE PTFE Y STENT DE NITINOL, DIFERENTES MEDIDAS</w:t>
      </w: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AE74F4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54"/>
        <w:gridCol w:w="1701"/>
        <w:gridCol w:w="1701"/>
      </w:tblGrid>
      <w:tr w:rsidR="00265D85" w:rsidRPr="00C974D0" w:rsidTr="00B223F4">
        <w:trPr>
          <w:trHeight w:val="284"/>
        </w:trPr>
        <w:tc>
          <w:tcPr>
            <w:tcW w:w="7054" w:type="dxa"/>
            <w:vAlign w:val="center"/>
          </w:tcPr>
          <w:p w:rsidR="00265D85" w:rsidRPr="00C974D0" w:rsidRDefault="00265D85" w:rsidP="00B223F4">
            <w:pPr>
              <w:spacing w:before="120"/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C974D0">
              <w:rPr>
                <w:rFonts w:ascii="Calibri" w:hAnsi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C974D0">
              <w:rPr>
                <w:rFonts w:ascii="Calibri" w:hAnsi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C974D0">
              <w:rPr>
                <w:rFonts w:ascii="Calibri" w:hAnsi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265D85" w:rsidRPr="00C974D0" w:rsidTr="00B223F4">
        <w:trPr>
          <w:trHeight w:val="290"/>
        </w:trPr>
        <w:tc>
          <w:tcPr>
            <w:tcW w:w="7054" w:type="dxa"/>
            <w:vAlign w:val="center"/>
          </w:tcPr>
          <w:p w:rsidR="00265D85" w:rsidRPr="00C974D0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proofErr w:type="spellStart"/>
            <w:r w:rsidRPr="00C3223D">
              <w:rPr>
                <w:rFonts w:ascii="Calibri" w:hAnsi="Calibri" w:cs="Calibri"/>
                <w:sz w:val="22"/>
                <w:szCs w:val="22"/>
              </w:rPr>
              <w:t>Predilatación</w:t>
            </w:r>
            <w:proofErr w:type="spellEnd"/>
            <w:r w:rsidRPr="00C3223D">
              <w:rPr>
                <w:rFonts w:ascii="Calibri" w:hAnsi="Calibri" w:cs="Calibri"/>
                <w:sz w:val="22"/>
                <w:szCs w:val="22"/>
              </w:rPr>
              <w:t xml:space="preserve"> no requerida</w:t>
            </w: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C974D0" w:rsidTr="00B223F4">
        <w:trPr>
          <w:trHeight w:val="397"/>
        </w:trPr>
        <w:tc>
          <w:tcPr>
            <w:tcW w:w="7054" w:type="dxa"/>
            <w:vAlign w:val="center"/>
          </w:tcPr>
          <w:p w:rsidR="00265D85" w:rsidRPr="00C974D0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Indicación de uso aprobada por la CE para el tratamiento de aneurismas de la arteria poplítea y aneurismas aislados de las arterias viscerales</w:t>
            </w: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C974D0" w:rsidTr="00B223F4">
        <w:trPr>
          <w:trHeight w:val="397"/>
        </w:trPr>
        <w:tc>
          <w:tcPr>
            <w:tcW w:w="7054" w:type="dxa"/>
            <w:vAlign w:val="center"/>
          </w:tcPr>
          <w:p w:rsidR="00265D85" w:rsidRPr="00C974D0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Marcas radiopacas de oro</w:t>
            </w: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C974D0" w:rsidTr="00B223F4">
        <w:trPr>
          <w:trHeight w:val="397"/>
        </w:trPr>
        <w:tc>
          <w:tcPr>
            <w:tcW w:w="7054" w:type="dxa"/>
            <w:vAlign w:val="center"/>
          </w:tcPr>
          <w:p w:rsidR="00265D85" w:rsidRPr="00C974D0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Compatibilidad con guías 0,018 y 0,035</w:t>
            </w: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C974D0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</w:tbl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AE74F4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7770C9" w:rsidRDefault="00265D85" w:rsidP="00265D85">
      <w:pPr>
        <w:rPr>
          <w:rFonts w:ascii="Calibri" w:hAnsi="Calibri" w:cs="Calibri"/>
          <w:b/>
          <w:caps/>
          <w:sz w:val="22"/>
          <w:szCs w:val="22"/>
        </w:rPr>
      </w:pPr>
      <w:r w:rsidRPr="007770C9">
        <w:rPr>
          <w:rFonts w:ascii="Calibri" w:hAnsi="Calibri" w:cs="Calibri"/>
          <w:b/>
          <w:caps/>
          <w:sz w:val="22"/>
          <w:szCs w:val="22"/>
          <w:u w:val="single"/>
          <w:lang w:val="es-ES"/>
        </w:rPr>
        <w:t>LOTE 2</w:t>
      </w:r>
      <w:r w:rsidRPr="007770C9">
        <w:rPr>
          <w:rFonts w:ascii="Calibri" w:hAnsi="Calibri" w:cs="Calibri"/>
          <w:b/>
          <w:caps/>
          <w:sz w:val="22"/>
          <w:szCs w:val="22"/>
          <w:lang w:val="es-ES"/>
        </w:rPr>
        <w:t xml:space="preserve">: </w:t>
      </w:r>
      <w:r w:rsidRPr="002C5E56">
        <w:rPr>
          <w:rFonts w:ascii="Calibri" w:hAnsi="Calibri" w:cs="Calibri"/>
          <w:b/>
          <w:caps/>
          <w:sz w:val="22"/>
          <w:szCs w:val="22"/>
          <w:lang w:val="es-ES"/>
        </w:rPr>
        <w:t>ENDOPROTESIS CUBIERTA BALON EXPANDIBLE DE PTFE Y STENT DE ACERO INOXIDABLE, DIFERENTES MEDIDAS</w:t>
      </w: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AE74F4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4"/>
        <w:gridCol w:w="1701"/>
        <w:gridCol w:w="1701"/>
      </w:tblGrid>
      <w:tr w:rsidR="00265D85" w:rsidRPr="007770C9" w:rsidTr="00B223F4">
        <w:trPr>
          <w:trHeight w:val="284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proofErr w:type="spellStart"/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Predilatación</w:t>
            </w:r>
            <w:proofErr w:type="spellEnd"/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no requerida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568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Indicación aprobada de uso aprobada por la FDA para aneurismas aislados de</w:t>
            </w:r>
            <w:r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las arterias subclavia, iliaca</w:t>
            </w:r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,</w:t>
            </w:r>
            <w:r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</w:t>
            </w:r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viscerales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Que utilice balón </w:t>
            </w:r>
            <w:proofErr w:type="spellStart"/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semidistensible</w:t>
            </w:r>
            <w:proofErr w:type="spellEnd"/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que permita ajustar el diámetro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484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Anillos independientes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</w:tbl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7770C9" w:rsidRDefault="00265D85" w:rsidP="00265D85">
      <w:pPr>
        <w:rPr>
          <w:rFonts w:ascii="Calibri" w:hAnsi="Calibri" w:cs="Calibri"/>
          <w:b/>
          <w:caps/>
          <w:sz w:val="22"/>
          <w:szCs w:val="22"/>
        </w:rPr>
      </w:pPr>
      <w:r w:rsidRPr="007770C9">
        <w:rPr>
          <w:rFonts w:ascii="Calibri" w:hAnsi="Calibri" w:cs="Calibri"/>
          <w:b/>
          <w:caps/>
          <w:sz w:val="22"/>
          <w:szCs w:val="22"/>
          <w:u w:val="single"/>
        </w:rPr>
        <w:t>LOTE 3</w:t>
      </w:r>
      <w:r w:rsidRPr="007770C9">
        <w:rPr>
          <w:rFonts w:ascii="Calibri" w:hAnsi="Calibri" w:cs="Calibri"/>
          <w:b/>
          <w:caps/>
          <w:sz w:val="22"/>
          <w:szCs w:val="22"/>
        </w:rPr>
        <w:t>:</w:t>
      </w:r>
      <w:r>
        <w:rPr>
          <w:rFonts w:ascii="Calibri" w:hAnsi="Calibri" w:cs="Calibri"/>
          <w:b/>
          <w:caps/>
          <w:sz w:val="22"/>
          <w:szCs w:val="22"/>
        </w:rPr>
        <w:t xml:space="preserve"> </w:t>
      </w:r>
      <w:r w:rsidRPr="002C5E56">
        <w:rPr>
          <w:rFonts w:ascii="Calibri" w:hAnsi="Calibri" w:cs="Calibri"/>
          <w:b/>
          <w:caps/>
          <w:sz w:val="22"/>
          <w:szCs w:val="22"/>
        </w:rPr>
        <w:t>ENDOPROTESIS CUBIERTA BALON EXPANDIBLE DE ePTFE Y STENT DE CROMO-COBALTO</w:t>
      </w: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4"/>
        <w:gridCol w:w="1701"/>
        <w:gridCol w:w="1701"/>
      </w:tblGrid>
      <w:tr w:rsidR="00265D85" w:rsidRPr="007770C9" w:rsidTr="00B223F4">
        <w:trPr>
          <w:trHeight w:val="284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Indicación aprobada por la CE para lesiones de arterias iliacas y renales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Compatible para su uso en endoprótesis </w:t>
            </w:r>
            <w:proofErr w:type="spellStart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fenestradas</w:t>
            </w:r>
            <w:proofErr w:type="spellEnd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y/o con ramas en el tratamiento de patología de la aorta </w:t>
            </w:r>
            <w:proofErr w:type="spellStart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toracoabdominal</w:t>
            </w:r>
            <w:proofErr w:type="spellEnd"/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508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No acortamiento del </w:t>
            </w:r>
            <w:proofErr w:type="spellStart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stent</w:t>
            </w:r>
            <w:proofErr w:type="spellEnd"/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</w:tbl>
    <w:p w:rsidR="00265D85" w:rsidRPr="007770C9" w:rsidRDefault="00265D85" w:rsidP="00265D85">
      <w:pPr>
        <w:rPr>
          <w:rFonts w:ascii="Calibri" w:hAnsi="Calibri" w:cs="Calibri"/>
          <w:b/>
          <w:caps/>
          <w:sz w:val="22"/>
          <w:szCs w:val="22"/>
        </w:rPr>
      </w:pPr>
      <w:r w:rsidRPr="007770C9">
        <w:rPr>
          <w:rFonts w:ascii="Calibri" w:hAnsi="Calibri" w:cs="Calibri"/>
          <w:b/>
          <w:caps/>
          <w:sz w:val="22"/>
          <w:szCs w:val="22"/>
          <w:u w:val="single"/>
        </w:rPr>
        <w:lastRenderedPageBreak/>
        <w:t>LOTE 4</w:t>
      </w:r>
      <w:r w:rsidRPr="007770C9">
        <w:rPr>
          <w:rFonts w:ascii="Calibri" w:hAnsi="Calibri" w:cs="Calibri"/>
          <w:b/>
          <w:caps/>
          <w:sz w:val="22"/>
          <w:szCs w:val="22"/>
        </w:rPr>
        <w:t xml:space="preserve">: </w:t>
      </w:r>
      <w:r w:rsidRPr="002C5E56">
        <w:rPr>
          <w:rFonts w:ascii="Calibri" w:hAnsi="Calibri" w:cs="Calibri"/>
          <w:b/>
          <w:caps/>
          <w:sz w:val="22"/>
          <w:szCs w:val="22"/>
        </w:rPr>
        <w:t>ENDOPROTESIS CUBIERTA BALON EXPANDIBLE DE DOS CAPAS DE ePTFE Y DOBLE STENT DE CROMO-COBALTO</w:t>
      </w: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4"/>
        <w:gridCol w:w="1701"/>
        <w:gridCol w:w="1701"/>
      </w:tblGrid>
      <w:tr w:rsidR="00265D85" w:rsidRPr="007770C9" w:rsidTr="00B223F4">
        <w:trPr>
          <w:trHeight w:val="284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Indicación aprobada por la CE para lesiones de arterias iliacas y renales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Compatible para su uso en endoprótesis </w:t>
            </w:r>
            <w:proofErr w:type="spellStart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fenestradas</w:t>
            </w:r>
            <w:proofErr w:type="spellEnd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y/o con ramas en el tratamiento de patología de la aorta </w:t>
            </w:r>
            <w:proofErr w:type="spellStart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toracoabdominal</w:t>
            </w:r>
            <w:proofErr w:type="spellEnd"/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No acortamiento del </w:t>
            </w:r>
            <w:proofErr w:type="spellStart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stent</w:t>
            </w:r>
            <w:proofErr w:type="spellEnd"/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</w:tbl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2C5E56" w:rsidRDefault="00265D85" w:rsidP="00265D85">
      <w:pPr>
        <w:jc w:val="both"/>
        <w:rPr>
          <w:rFonts w:ascii="Calibri" w:hAnsi="Calibri" w:cs="Calibri"/>
          <w:b/>
          <w:sz w:val="22"/>
          <w:szCs w:val="22"/>
        </w:rPr>
      </w:pPr>
      <w:r w:rsidRPr="002C5E56">
        <w:rPr>
          <w:rFonts w:ascii="Calibri" w:hAnsi="Calibri" w:cs="Calibri"/>
          <w:b/>
          <w:sz w:val="22"/>
          <w:szCs w:val="22"/>
          <w:u w:val="single"/>
        </w:rPr>
        <w:t>LOTE 5</w:t>
      </w:r>
      <w:r w:rsidRPr="002C5E56">
        <w:rPr>
          <w:rFonts w:ascii="Calibri" w:hAnsi="Calibri" w:cs="Calibri"/>
          <w:b/>
          <w:sz w:val="22"/>
          <w:szCs w:val="22"/>
        </w:rPr>
        <w:t>: ENDOPRÓTESIS AÓRTICA CUBIERTA BALÓN EXPANDIBLE DE PTFE Y STENT DE CROMO-COBALTO, DE GRANDES DIÁMETROS</w:t>
      </w: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4"/>
        <w:gridCol w:w="1701"/>
        <w:gridCol w:w="1701"/>
      </w:tblGrid>
      <w:tr w:rsidR="00265D85" w:rsidRPr="007770C9" w:rsidTr="00B223F4">
        <w:trPr>
          <w:trHeight w:val="284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Indicación aprobada por la CE para patología de arterias iliacas comunes y patología aórtica incluida la coartación aórtica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Acortamiento del </w:t>
            </w:r>
            <w:proofErr w:type="spellStart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stent</w:t>
            </w:r>
            <w:proofErr w:type="spellEnd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predecible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</w:tbl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7770C9" w:rsidRDefault="00265D85" w:rsidP="00265D85">
      <w:pPr>
        <w:rPr>
          <w:rFonts w:ascii="Calibri" w:hAnsi="Calibri" w:cs="Calibri"/>
          <w:b/>
          <w:caps/>
          <w:sz w:val="22"/>
          <w:szCs w:val="22"/>
          <w:lang w:val="es-ES"/>
        </w:rPr>
      </w:pPr>
      <w:r w:rsidRPr="007770C9">
        <w:rPr>
          <w:rFonts w:ascii="Calibri" w:hAnsi="Calibri" w:cs="Calibri"/>
          <w:b/>
          <w:caps/>
          <w:sz w:val="22"/>
          <w:szCs w:val="22"/>
          <w:u w:val="single"/>
          <w:lang w:val="es-ES"/>
        </w:rPr>
        <w:t xml:space="preserve">LOTE </w:t>
      </w:r>
      <w:r>
        <w:rPr>
          <w:rFonts w:ascii="Calibri" w:hAnsi="Calibri" w:cs="Calibri"/>
          <w:b/>
          <w:caps/>
          <w:sz w:val="22"/>
          <w:szCs w:val="22"/>
          <w:u w:val="single"/>
          <w:lang w:val="es-ES"/>
        </w:rPr>
        <w:t>6</w:t>
      </w:r>
      <w:r w:rsidRPr="007770C9">
        <w:rPr>
          <w:rFonts w:ascii="Calibri" w:hAnsi="Calibri" w:cs="Calibri"/>
          <w:b/>
          <w:caps/>
          <w:sz w:val="22"/>
          <w:szCs w:val="22"/>
          <w:lang w:val="es-ES"/>
        </w:rPr>
        <w:t>: Endoprótesis cubierta balón expandible de dos capas de ePTFE y stent de cromocobalto con marcadores radiopacos en los extremos.</w:t>
      </w:r>
    </w:p>
    <w:p w:rsidR="00265D85" w:rsidRDefault="00265D85" w:rsidP="00265D85">
      <w:pPr>
        <w:rPr>
          <w:rFonts w:ascii="Calibri" w:hAnsi="Calibri" w:cs="Calibri"/>
          <w:b/>
          <w:sz w:val="22"/>
          <w:szCs w:val="22"/>
          <w:lang w:val="es-ES"/>
        </w:rPr>
      </w:pPr>
    </w:p>
    <w:p w:rsidR="00265D85" w:rsidRDefault="00265D85" w:rsidP="00265D85">
      <w:pPr>
        <w:rPr>
          <w:rFonts w:ascii="Calibri" w:hAnsi="Calibri" w:cs="Calibri"/>
          <w:b/>
          <w:sz w:val="22"/>
          <w:szCs w:val="22"/>
          <w:lang w:val="es-ES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4"/>
        <w:gridCol w:w="1701"/>
        <w:gridCol w:w="1701"/>
      </w:tblGrid>
      <w:tr w:rsidR="00265D85" w:rsidRPr="007770C9" w:rsidTr="00B223F4">
        <w:trPr>
          <w:trHeight w:val="284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 w:rsidRPr="007770C9">
              <w:rPr>
                <w:rFonts w:ascii="Calibri" w:hAnsi="Calibr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Marcadores radiopacos de tantalio en los extremos del </w:t>
            </w:r>
            <w:proofErr w:type="spellStart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stent</w:t>
            </w:r>
            <w:proofErr w:type="spellEnd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para facilitar la implantación y post expansión del mismo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Diseño asimétrico de celda abierta para aumentar flexibilidad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Capacidad de expansión de doble capa de PTFE de graduación altamente porosa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265D85" w:rsidRPr="007770C9" w:rsidTr="00B223F4">
        <w:trPr>
          <w:trHeight w:val="397"/>
        </w:trPr>
        <w:tc>
          <w:tcPr>
            <w:tcW w:w="7054" w:type="dxa"/>
            <w:vAlign w:val="center"/>
          </w:tcPr>
          <w:p w:rsidR="00265D85" w:rsidRPr="007770C9" w:rsidRDefault="00265D85" w:rsidP="00B223F4">
            <w:pPr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Tecnología de encapsulamiento sobre dos capas de PTFE con sellado láser que garantice el contorno total del </w:t>
            </w:r>
            <w:proofErr w:type="spellStart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>stent</w:t>
            </w:r>
            <w:proofErr w:type="spellEnd"/>
            <w:r w:rsidRPr="00117772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y seguridad contra la desconexión</w:t>
            </w: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  <w:tc>
          <w:tcPr>
            <w:tcW w:w="1701" w:type="dxa"/>
            <w:vAlign w:val="center"/>
          </w:tcPr>
          <w:p w:rsidR="00265D85" w:rsidRPr="007770C9" w:rsidRDefault="00265D85" w:rsidP="00B223F4">
            <w:pPr>
              <w:spacing w:before="120"/>
              <w:jc w:val="center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</w:tbl>
    <w:p w:rsidR="00265D85" w:rsidRDefault="00265D85" w:rsidP="00265D85">
      <w:pPr>
        <w:rPr>
          <w:rFonts w:ascii="Calibri" w:hAnsi="Calibri" w:cs="Calibri"/>
          <w:b/>
          <w:sz w:val="22"/>
          <w:szCs w:val="22"/>
          <w:lang w:val="es-ES"/>
        </w:rPr>
      </w:pPr>
    </w:p>
    <w:p w:rsidR="00265D85" w:rsidRPr="00AE74F4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AE74F4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Default="00265D85" w:rsidP="00265D85">
      <w:pPr>
        <w:rPr>
          <w:rFonts w:ascii="Calibri" w:hAnsi="Calibri" w:cs="Calibri"/>
          <w:sz w:val="22"/>
          <w:szCs w:val="22"/>
        </w:rPr>
      </w:pPr>
    </w:p>
    <w:p w:rsidR="00265D85" w:rsidRDefault="00265D85" w:rsidP="00265D85">
      <w:pPr>
        <w:rPr>
          <w:rFonts w:ascii="Calibri" w:hAnsi="Calibri" w:cs="Calibri"/>
          <w:sz w:val="22"/>
          <w:szCs w:val="22"/>
        </w:rPr>
      </w:pPr>
    </w:p>
    <w:p w:rsidR="00265D85" w:rsidRPr="00AE74F4" w:rsidRDefault="00265D85" w:rsidP="00265D85">
      <w:pPr>
        <w:jc w:val="both"/>
        <w:rPr>
          <w:rFonts w:ascii="Calibri" w:hAnsi="Calibri" w:cs="Calibri"/>
          <w:sz w:val="22"/>
          <w:szCs w:val="22"/>
        </w:rPr>
      </w:pPr>
    </w:p>
    <w:p w:rsidR="00265D85" w:rsidRPr="00FA614F" w:rsidRDefault="00265D85" w:rsidP="00265D8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sz w:val="24"/>
          <w:szCs w:val="24"/>
        </w:rPr>
      </w:pPr>
      <w:r w:rsidRPr="00AE74F4">
        <w:rPr>
          <w:rFonts w:ascii="Calibri" w:hAnsi="Calibri" w:cs="Calibri"/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en el Sobre </w:t>
      </w:r>
      <w:r w:rsidRPr="00C45251">
        <w:rPr>
          <w:rFonts w:ascii="Calibri" w:hAnsi="Calibri" w:cs="Calibri"/>
          <w:b/>
          <w:sz w:val="24"/>
          <w:szCs w:val="24"/>
        </w:rPr>
        <w:t>BC</w:t>
      </w:r>
      <w:r w:rsidRPr="00AE74F4">
        <w:rPr>
          <w:rFonts w:ascii="Calibri" w:hAnsi="Calibri" w:cs="Calibri"/>
          <w:b/>
          <w:sz w:val="24"/>
          <w:szCs w:val="24"/>
        </w:rPr>
        <w:t>, de la documentación técnica que respalde dicha información.</w:t>
      </w:r>
      <w:bookmarkStart w:id="0" w:name="_GoBack"/>
      <w:bookmarkEnd w:id="0"/>
    </w:p>
    <w:sectPr w:rsidR="00265D85" w:rsidRPr="00FA614F" w:rsidSect="00265D85">
      <w:pgSz w:w="11906" w:h="16838"/>
      <w:pgMar w:top="1417" w:right="1701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D85"/>
    <w:rsid w:val="00265D85"/>
    <w:rsid w:val="00A70071"/>
    <w:rsid w:val="00AA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F9D270-A5A7-4065-A07F-E15397FE0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D85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2023-11-20T10:12:00Z</dcterms:created>
  <dcterms:modified xsi:type="dcterms:W3CDTF">2023-11-20T10:15:00Z</dcterms:modified>
</cp:coreProperties>
</file>