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94C" w:rsidRPr="00CE2F4B" w:rsidRDefault="0020594C" w:rsidP="0020594C">
      <w:pPr>
        <w:rPr>
          <w:color w:val="FF0000"/>
          <w:sz w:val="16"/>
          <w:szCs w:val="16"/>
        </w:rPr>
      </w:pPr>
    </w:p>
    <w:p w:rsidR="0020594C" w:rsidRPr="003224E4" w:rsidRDefault="0020594C" w:rsidP="002059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ANEXO V</w:t>
      </w:r>
    </w:p>
    <w:p w:rsidR="0020594C" w:rsidRPr="003224E4" w:rsidRDefault="0020594C" w:rsidP="002059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20594C" w:rsidRPr="003224E4" w:rsidRDefault="0020594C" w:rsidP="0020594C">
      <w:pPr>
        <w:jc w:val="center"/>
        <w:rPr>
          <w:b/>
          <w:color w:val="000000"/>
          <w:sz w:val="22"/>
          <w:szCs w:val="22"/>
          <w:u w:val="single"/>
        </w:rPr>
      </w:pPr>
    </w:p>
    <w:p w:rsidR="0020594C" w:rsidRPr="003224E4" w:rsidRDefault="0020594C" w:rsidP="0020594C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BC) </w:t>
      </w:r>
    </w:p>
    <w:p w:rsidR="0020594C" w:rsidRPr="000C344A" w:rsidRDefault="0020594C" w:rsidP="0020594C">
      <w:pPr>
        <w:jc w:val="center"/>
        <w:rPr>
          <w:b/>
          <w:sz w:val="22"/>
          <w:szCs w:val="22"/>
          <w:u w:val="single"/>
        </w:rPr>
      </w:pPr>
    </w:p>
    <w:p w:rsidR="0020594C" w:rsidRPr="000C344A" w:rsidRDefault="0020594C" w:rsidP="0020594C">
      <w:pPr>
        <w:jc w:val="center"/>
        <w:rPr>
          <w:b/>
          <w:sz w:val="22"/>
          <w:szCs w:val="22"/>
          <w:u w:val="single"/>
        </w:rPr>
      </w:pPr>
    </w:p>
    <w:p w:rsidR="0020594C" w:rsidRPr="00157395" w:rsidRDefault="0020594C" w:rsidP="0020594C">
      <w:pPr>
        <w:jc w:val="both"/>
        <w:rPr>
          <w:b/>
          <w:sz w:val="22"/>
          <w:szCs w:val="22"/>
        </w:rPr>
      </w:pPr>
      <w:r w:rsidRPr="00157395">
        <w:rPr>
          <w:b/>
          <w:sz w:val="22"/>
          <w:szCs w:val="22"/>
        </w:rPr>
        <w:t xml:space="preserve">LICITADOR: </w:t>
      </w: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Pr="00385BD3" w:rsidRDefault="0020594C" w:rsidP="0020594C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1: </w:t>
      </w:r>
      <w:r>
        <w:rPr>
          <w:b/>
          <w:sz w:val="22"/>
          <w:szCs w:val="22"/>
          <w:u w:val="single"/>
        </w:rPr>
        <w:t>Citología en fase líquida.</w:t>
      </w: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Default="0020594C" w:rsidP="0020594C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8"/>
        <w:gridCol w:w="2410"/>
        <w:gridCol w:w="2268"/>
      </w:tblGrid>
      <w:tr w:rsidR="0020594C" w:rsidRPr="00333AA7" w:rsidTr="00222589">
        <w:trPr>
          <w:trHeight w:val="284"/>
        </w:trPr>
        <w:tc>
          <w:tcPr>
            <w:tcW w:w="5778" w:type="dxa"/>
          </w:tcPr>
          <w:p w:rsidR="0020594C" w:rsidRPr="00333AA7" w:rsidRDefault="0020594C" w:rsidP="00222589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410" w:type="dxa"/>
          </w:tcPr>
          <w:p w:rsidR="0020594C" w:rsidRPr="00333AA7" w:rsidRDefault="0020594C" w:rsidP="00222589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20594C" w:rsidRPr="00333AA7" w:rsidRDefault="0020594C" w:rsidP="00222589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0594C" w:rsidRPr="00333AA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B14625">
              <w:rPr>
                <w:color w:val="000000"/>
                <w:sz w:val="22"/>
                <w:szCs w:val="22"/>
              </w:rPr>
              <w:t xml:space="preserve">Grado de automatización completo desde la entrada del vial hasta la obtención del portaobjetos con la muestra </w:t>
            </w:r>
            <w:proofErr w:type="spellStart"/>
            <w:r w:rsidRPr="00B14625">
              <w:rPr>
                <w:color w:val="000000"/>
                <w:sz w:val="22"/>
                <w:szCs w:val="22"/>
              </w:rPr>
              <w:t>monocapa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no siendo precisa la manipulación de la muestra por el operario (apertura de envases, traslado a otra máquina, etc.)</w:t>
            </w:r>
          </w:p>
        </w:tc>
        <w:tc>
          <w:tcPr>
            <w:tcW w:w="2410" w:type="dxa"/>
          </w:tcPr>
          <w:p w:rsidR="0020594C" w:rsidRPr="00333AA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333AA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D2299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D22997">
              <w:rPr>
                <w:color w:val="000000"/>
                <w:sz w:val="22"/>
                <w:szCs w:val="22"/>
              </w:rPr>
              <w:t>Trazabilidad del procesamiento de la muestra</w:t>
            </w:r>
            <w:r w:rsidRPr="00D22997">
              <w:rPr>
                <w:color w:val="000000"/>
                <w:sz w:val="22"/>
                <w:szCs w:val="22"/>
                <w:lang w:val="es-ES"/>
              </w:rPr>
              <w:t xml:space="preserve">: </w:t>
            </w:r>
            <w:r w:rsidRPr="00D22997">
              <w:rPr>
                <w:color w:val="000000"/>
                <w:sz w:val="22"/>
                <w:szCs w:val="22"/>
              </w:rPr>
              <w:t>lectura de los códigos de barras del envase y rotulación del portaobjetos con el identificador de la muestra</w:t>
            </w:r>
          </w:p>
        </w:tc>
        <w:tc>
          <w:tcPr>
            <w:tcW w:w="2410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D2299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D22997">
              <w:rPr>
                <w:color w:val="000000"/>
                <w:sz w:val="22"/>
                <w:szCs w:val="22"/>
              </w:rPr>
              <w:t>Capacidad de carga superior a 150 muestras en turno de mañana</w:t>
            </w:r>
          </w:p>
        </w:tc>
        <w:tc>
          <w:tcPr>
            <w:tcW w:w="2410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D2299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D22997">
              <w:rPr>
                <w:color w:val="000000"/>
                <w:sz w:val="22"/>
                <w:szCs w:val="22"/>
              </w:rPr>
              <w:t>Posibilidad de procesamiento nocturno</w:t>
            </w:r>
          </w:p>
        </w:tc>
        <w:tc>
          <w:tcPr>
            <w:tcW w:w="2410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D2299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D22997">
              <w:rPr>
                <w:color w:val="000000"/>
                <w:sz w:val="22"/>
                <w:szCs w:val="22"/>
              </w:rPr>
              <w:t>Calidad del material restante para segundas tinciones o para el estudio molecular del virus del papiloma humano superior a 45 días tras el estudio citológico inicial</w:t>
            </w:r>
          </w:p>
        </w:tc>
        <w:tc>
          <w:tcPr>
            <w:tcW w:w="2410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D22997" w:rsidTr="00222589">
        <w:trPr>
          <w:trHeight w:val="397"/>
        </w:trPr>
        <w:tc>
          <w:tcPr>
            <w:tcW w:w="5778" w:type="dxa"/>
          </w:tcPr>
          <w:p w:rsidR="0020594C" w:rsidRPr="00D22997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D22997">
              <w:rPr>
                <w:color w:val="000000"/>
                <w:sz w:val="22"/>
                <w:szCs w:val="22"/>
              </w:rPr>
              <w:t>Incorporación de un sistema de inteligencia artificial como ayuda al diagnóstico</w:t>
            </w:r>
          </w:p>
        </w:tc>
        <w:tc>
          <w:tcPr>
            <w:tcW w:w="2410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D22997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0594C" w:rsidRDefault="0020594C" w:rsidP="0020594C">
      <w:pPr>
        <w:jc w:val="both"/>
        <w:rPr>
          <w:sz w:val="22"/>
          <w:szCs w:val="22"/>
        </w:rPr>
      </w:pP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Pr="00385BD3" w:rsidRDefault="0020594C" w:rsidP="0020594C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</w:t>
      </w:r>
      <w:r>
        <w:rPr>
          <w:b/>
          <w:sz w:val="22"/>
          <w:szCs w:val="22"/>
          <w:u w:val="single"/>
        </w:rPr>
        <w:t>2</w:t>
      </w:r>
      <w:r w:rsidRPr="00385BD3">
        <w:rPr>
          <w:b/>
          <w:sz w:val="22"/>
          <w:szCs w:val="22"/>
          <w:u w:val="single"/>
        </w:rPr>
        <w:t xml:space="preserve">: </w:t>
      </w:r>
      <w:r>
        <w:rPr>
          <w:b/>
          <w:sz w:val="22"/>
          <w:szCs w:val="22"/>
          <w:u w:val="single"/>
        </w:rPr>
        <w:t>Detección de VPH.</w:t>
      </w: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Default="0020594C" w:rsidP="0020594C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20594C" w:rsidRPr="00333AA7" w:rsidTr="00222589">
        <w:trPr>
          <w:trHeight w:val="284"/>
        </w:trPr>
        <w:tc>
          <w:tcPr>
            <w:tcW w:w="5353" w:type="dxa"/>
          </w:tcPr>
          <w:p w:rsidR="0020594C" w:rsidRPr="00333AA7" w:rsidRDefault="0020594C" w:rsidP="00222589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20594C" w:rsidRPr="00333AA7" w:rsidRDefault="0020594C" w:rsidP="00222589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20594C" w:rsidRPr="00333AA7" w:rsidRDefault="0020594C" w:rsidP="00222589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20594C" w:rsidRPr="003E5A8A" w:rsidTr="00222589">
        <w:trPr>
          <w:trHeight w:val="397"/>
        </w:trPr>
        <w:tc>
          <w:tcPr>
            <w:tcW w:w="5353" w:type="dxa"/>
          </w:tcPr>
          <w:p w:rsidR="0020594C" w:rsidRPr="003E5A8A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E5A8A">
              <w:rPr>
                <w:color w:val="000000"/>
                <w:sz w:val="22"/>
                <w:szCs w:val="22"/>
              </w:rPr>
              <w:t>Marcado FDA para cribado poblacional</w:t>
            </w:r>
          </w:p>
        </w:tc>
        <w:tc>
          <w:tcPr>
            <w:tcW w:w="2835" w:type="dxa"/>
          </w:tcPr>
          <w:p w:rsidR="0020594C" w:rsidRPr="003E5A8A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3E5A8A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3E5A8A" w:rsidTr="00222589">
        <w:trPr>
          <w:trHeight w:val="397"/>
        </w:trPr>
        <w:tc>
          <w:tcPr>
            <w:tcW w:w="5353" w:type="dxa"/>
          </w:tcPr>
          <w:p w:rsidR="0020594C" w:rsidRPr="003E5A8A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E5A8A">
              <w:rPr>
                <w:color w:val="000000"/>
                <w:sz w:val="22"/>
                <w:szCs w:val="22"/>
              </w:rPr>
              <w:t xml:space="preserve">Detección del control de </w:t>
            </w:r>
            <w:proofErr w:type="spellStart"/>
            <w:r w:rsidRPr="003E5A8A">
              <w:rPr>
                <w:color w:val="000000"/>
                <w:sz w:val="22"/>
                <w:szCs w:val="22"/>
              </w:rPr>
              <w:t>celularidad</w:t>
            </w:r>
            <w:proofErr w:type="spellEnd"/>
            <w:r w:rsidRPr="003E5A8A">
              <w:rPr>
                <w:color w:val="000000"/>
                <w:sz w:val="22"/>
                <w:szCs w:val="22"/>
              </w:rPr>
              <w:t xml:space="preserve"> (Beta Globina)</w:t>
            </w:r>
          </w:p>
        </w:tc>
        <w:tc>
          <w:tcPr>
            <w:tcW w:w="2835" w:type="dxa"/>
          </w:tcPr>
          <w:p w:rsidR="0020594C" w:rsidRPr="003E5A8A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3E5A8A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152EDB" w:rsidTr="00222589">
        <w:trPr>
          <w:trHeight w:val="397"/>
        </w:trPr>
        <w:tc>
          <w:tcPr>
            <w:tcW w:w="5353" w:type="dxa"/>
          </w:tcPr>
          <w:p w:rsidR="0020594C" w:rsidRPr="00152EDB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2EDB">
              <w:rPr>
                <w:color w:val="000000"/>
                <w:sz w:val="22"/>
                <w:szCs w:val="22"/>
              </w:rPr>
              <w:t>Disponer de reactivos, controles y calibradores listos para su uso, sin manipulación por parte del usuario</w:t>
            </w:r>
          </w:p>
        </w:tc>
        <w:tc>
          <w:tcPr>
            <w:tcW w:w="2835" w:type="dxa"/>
          </w:tcPr>
          <w:p w:rsidR="0020594C" w:rsidRPr="00152EDB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152EDB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152EDB" w:rsidTr="00222589">
        <w:trPr>
          <w:trHeight w:val="397"/>
        </w:trPr>
        <w:tc>
          <w:tcPr>
            <w:tcW w:w="5353" w:type="dxa"/>
          </w:tcPr>
          <w:p w:rsidR="0020594C" w:rsidRPr="00152EDB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2EDB">
              <w:rPr>
                <w:color w:val="000000"/>
                <w:sz w:val="22"/>
                <w:szCs w:val="22"/>
              </w:rPr>
              <w:t>Integración probada de los equipos con el LIS (</w:t>
            </w:r>
            <w:proofErr w:type="spellStart"/>
            <w:r w:rsidRPr="00152EDB">
              <w:rPr>
                <w:color w:val="000000"/>
                <w:sz w:val="22"/>
                <w:szCs w:val="22"/>
              </w:rPr>
              <w:t>Gestpath</w:t>
            </w:r>
            <w:proofErr w:type="spellEnd"/>
            <w:r w:rsidRPr="00152EDB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20594C" w:rsidRPr="00152EDB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152EDB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C569EF" w:rsidTr="00222589">
        <w:trPr>
          <w:trHeight w:val="397"/>
        </w:trPr>
        <w:tc>
          <w:tcPr>
            <w:tcW w:w="5353" w:type="dxa"/>
          </w:tcPr>
          <w:p w:rsidR="0020594C" w:rsidRPr="00C569EF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569EF">
              <w:rPr>
                <w:color w:val="000000"/>
                <w:sz w:val="22"/>
                <w:szCs w:val="22"/>
              </w:rPr>
              <w:t>Tiempo de demora en la obtención de los primeros resultados desde la extracción</w:t>
            </w:r>
          </w:p>
        </w:tc>
        <w:tc>
          <w:tcPr>
            <w:tcW w:w="2835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C569EF" w:rsidTr="00222589">
        <w:trPr>
          <w:trHeight w:val="397"/>
        </w:trPr>
        <w:tc>
          <w:tcPr>
            <w:tcW w:w="5353" w:type="dxa"/>
          </w:tcPr>
          <w:p w:rsidR="0020594C" w:rsidRPr="00C569EF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569EF">
              <w:rPr>
                <w:color w:val="000000"/>
                <w:sz w:val="22"/>
                <w:szCs w:val="22"/>
                <w:lang w:val="es-ES"/>
              </w:rPr>
              <w:t>Ausencia de requerimientos especiales en los espacios físicos donde se hayan de instalar los equipos, por alto peso (requerimiento de refuerzo en la base) o gran volumen (espacio máximo: 25 m</w:t>
            </w:r>
            <w:r w:rsidRPr="00C569EF">
              <w:rPr>
                <w:color w:val="000000"/>
                <w:sz w:val="22"/>
                <w:szCs w:val="22"/>
                <w:vertAlign w:val="superscript"/>
                <w:lang w:val="es-ES"/>
              </w:rPr>
              <w:t>2</w:t>
            </w:r>
            <w:r w:rsidRPr="00C569EF">
              <w:rPr>
                <w:color w:val="000000"/>
                <w:sz w:val="22"/>
                <w:szCs w:val="22"/>
                <w:lang w:val="es-ES"/>
              </w:rPr>
              <w:t>)</w:t>
            </w:r>
          </w:p>
        </w:tc>
        <w:tc>
          <w:tcPr>
            <w:tcW w:w="2835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C569EF" w:rsidTr="00222589">
        <w:trPr>
          <w:trHeight w:val="397"/>
        </w:trPr>
        <w:tc>
          <w:tcPr>
            <w:tcW w:w="5353" w:type="dxa"/>
          </w:tcPr>
          <w:p w:rsidR="0020594C" w:rsidRPr="00C569EF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569EF">
              <w:rPr>
                <w:color w:val="000000"/>
                <w:sz w:val="22"/>
                <w:szCs w:val="22"/>
                <w:lang w:val="es-ES"/>
              </w:rPr>
              <w:t>Carga continua de muestras</w:t>
            </w:r>
          </w:p>
        </w:tc>
        <w:tc>
          <w:tcPr>
            <w:tcW w:w="2835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C569EF" w:rsidTr="00222589">
        <w:trPr>
          <w:trHeight w:val="397"/>
        </w:trPr>
        <w:tc>
          <w:tcPr>
            <w:tcW w:w="5353" w:type="dxa"/>
          </w:tcPr>
          <w:p w:rsidR="0020594C" w:rsidRPr="00C569EF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 w:rsidRPr="00C569EF">
              <w:rPr>
                <w:color w:val="000000"/>
                <w:sz w:val="22"/>
                <w:szCs w:val="22"/>
                <w:lang w:val="es-ES"/>
              </w:rPr>
              <w:lastRenderedPageBreak/>
              <w:t>Grado de automatización del procesamiento (extracción, amplificación y detección integrada)</w:t>
            </w:r>
          </w:p>
        </w:tc>
        <w:tc>
          <w:tcPr>
            <w:tcW w:w="2835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20594C" w:rsidRPr="00C569EF" w:rsidTr="00222589">
        <w:trPr>
          <w:trHeight w:val="397"/>
        </w:trPr>
        <w:tc>
          <w:tcPr>
            <w:tcW w:w="5353" w:type="dxa"/>
          </w:tcPr>
          <w:p w:rsidR="0020594C" w:rsidRPr="00C569EF" w:rsidRDefault="0020594C" w:rsidP="00222589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 w:rsidRPr="00C569EF">
              <w:rPr>
                <w:color w:val="000000"/>
                <w:sz w:val="22"/>
                <w:szCs w:val="22"/>
                <w:lang w:val="es-ES"/>
              </w:rPr>
              <w:t>Mecanismos de prevención de la contaminación física y enzimática</w:t>
            </w:r>
          </w:p>
        </w:tc>
        <w:tc>
          <w:tcPr>
            <w:tcW w:w="2835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20594C" w:rsidRPr="00C569EF" w:rsidRDefault="0020594C" w:rsidP="00222589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20594C" w:rsidRDefault="0020594C" w:rsidP="0020594C">
      <w:pPr>
        <w:jc w:val="both"/>
        <w:rPr>
          <w:sz w:val="22"/>
          <w:szCs w:val="22"/>
        </w:rPr>
      </w:pP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Default="0020594C" w:rsidP="0020594C">
      <w:pPr>
        <w:jc w:val="both"/>
        <w:rPr>
          <w:sz w:val="22"/>
          <w:szCs w:val="22"/>
        </w:rPr>
      </w:pPr>
    </w:p>
    <w:p w:rsidR="0020594C" w:rsidRPr="00157395" w:rsidRDefault="0020594C" w:rsidP="0020594C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BC,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20594C" w:rsidRDefault="0020594C" w:rsidP="0020594C">
      <w:pPr>
        <w:jc w:val="both"/>
        <w:rPr>
          <w:sz w:val="22"/>
          <w:szCs w:val="22"/>
        </w:rPr>
      </w:pPr>
    </w:p>
    <w:p w:rsidR="00917B85" w:rsidRDefault="00917B85">
      <w:bookmarkStart w:id="0" w:name="_GoBack"/>
      <w:bookmarkEnd w:id="0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94C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594C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EC303-138E-43B7-BEB1-4AE50FD44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94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2023-10-18T08:56:00Z</dcterms:created>
  <dcterms:modified xsi:type="dcterms:W3CDTF">2023-10-18T08:56:00Z</dcterms:modified>
</cp:coreProperties>
</file>