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tbl>
      <w:tblPr>
        <w:tblStyle w:val="a"/>
        <w:tblW w:w="9060" w:type="dxa"/>
        <w:tblInd w:w="0"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0"/>
      </w:tblGrid>
      <w:tr w:rsidR="00226E05">
        <w:tc>
          <w:tcPr>
            <w:tcW w:w="9060" w:type="dxa"/>
          </w:tcPr>
          <w:p w:rsidR="00226E05" w:rsidRDefault="003A6503">
            <w:pPr>
              <w:tabs>
                <w:tab w:val="left" w:pos="567"/>
                <w:tab w:val="left" w:pos="993"/>
                <w:tab w:val="left" w:pos="1418"/>
                <w:tab w:val="left" w:pos="1843"/>
              </w:tabs>
              <w:jc w:val="center"/>
              <w:rPr>
                <w:rFonts w:ascii="Palatino Linotype" w:eastAsia="Palatino Linotype" w:hAnsi="Palatino Linotype" w:cs="Palatino Linotype"/>
                <w:b/>
                <w:i/>
                <w:sz w:val="21"/>
                <w:szCs w:val="21"/>
              </w:rPr>
            </w:pPr>
            <w:r>
              <w:rPr>
                <w:rFonts w:ascii="Palatino Linotype" w:eastAsia="Palatino Linotype" w:hAnsi="Palatino Linotype" w:cs="Palatino Linotype"/>
                <w:b/>
                <w:i/>
                <w:sz w:val="21"/>
                <w:szCs w:val="21"/>
              </w:rPr>
              <w:t>CUADRO RESUMEN DEL PLIEGO REGULADOR DE LA CONTRATACIÓN PARA LA RENOVACION DE LA INSTALACION DE ALUMBRADO PUBLICO EN ARRE – FASE 2</w:t>
            </w:r>
          </w:p>
        </w:tc>
      </w:tr>
    </w:tbl>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tbl>
      <w:tblPr>
        <w:tblStyle w:val="a0"/>
        <w:tblW w:w="9070" w:type="dxa"/>
        <w:tblInd w:w="0"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8"/>
        <w:gridCol w:w="4532"/>
      </w:tblGrid>
      <w:tr w:rsidR="00226E05" w:rsidTr="00226E05">
        <w:trPr>
          <w:cnfStyle w:val="100000000000" w:firstRow="1" w:lastRow="0" w:firstColumn="0" w:lastColumn="0" w:oddVBand="0" w:evenVBand="0" w:oddHBand="0"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4538" w:type="dxa"/>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OBJETO DEL CONTRATO</w:t>
            </w:r>
          </w:p>
        </w:tc>
        <w:tc>
          <w:tcPr>
            <w:tcW w:w="4532" w:type="dxa"/>
          </w:tcPr>
          <w:p w:rsidR="00226E05" w:rsidRDefault="003A6503">
            <w:pPr>
              <w:tabs>
                <w:tab w:val="left" w:pos="345"/>
                <w:tab w:val="left" w:pos="567"/>
                <w:tab w:val="left" w:pos="993"/>
                <w:tab w:val="left" w:pos="1418"/>
                <w:tab w:val="left" w:pos="1843"/>
              </w:tabs>
              <w:jc w:val="both"/>
              <w:cnfStyle w:val="100000000000" w:firstRow="1" w:lastRow="0" w:firstColumn="0" w:lastColumn="0" w:oddVBand="0" w:evenVBand="0" w:oddHBand="0"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xml:space="preserve">Renovación de la instalación de alumbrado público en Arre - Fase 2 </w:t>
            </w:r>
          </w:p>
        </w:tc>
      </w:tr>
      <w:tr w:rsidR="00226E05" w:rsidTr="00226E0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38" w:type="dxa"/>
            <w:shd w:val="clear" w:color="auto" w:fill="D9D9D9"/>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PRESUPUESTO DE LICITACIÓN</w:t>
            </w:r>
          </w:p>
        </w:tc>
        <w:tc>
          <w:tcPr>
            <w:tcW w:w="4532" w:type="dxa"/>
            <w:shd w:val="clear" w:color="auto" w:fill="D9D9D9"/>
          </w:tcPr>
          <w:p w:rsidR="00226E05" w:rsidRDefault="00226E05">
            <w:pPr>
              <w:tabs>
                <w:tab w:val="left" w:pos="345"/>
                <w:tab w:val="left" w:pos="567"/>
                <w:tab w:val="left" w:pos="993"/>
                <w:tab w:val="left" w:pos="1418"/>
                <w:tab w:val="left" w:pos="1843"/>
              </w:tabs>
              <w:jc w:val="both"/>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sz w:val="21"/>
                <w:szCs w:val="21"/>
              </w:rPr>
            </w:pPr>
          </w:p>
        </w:tc>
      </w:tr>
      <w:tr w:rsidR="00226E05" w:rsidTr="00226E05">
        <w:trPr>
          <w:trHeight w:val="454"/>
        </w:trPr>
        <w:tc>
          <w:tcPr>
            <w:cnfStyle w:val="001000000000" w:firstRow="0" w:lastRow="0" w:firstColumn="1" w:lastColumn="0" w:oddVBand="0" w:evenVBand="0" w:oddHBand="0" w:evenHBand="0" w:firstRowFirstColumn="0" w:firstRowLastColumn="0" w:lastRowFirstColumn="0" w:lastRowLastColumn="0"/>
            <w:tcW w:w="4538" w:type="dxa"/>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ab/>
              <w:t>En cifras</w:t>
            </w:r>
          </w:p>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ab/>
              <w:t>En letras</w:t>
            </w:r>
          </w:p>
        </w:tc>
        <w:tc>
          <w:tcPr>
            <w:tcW w:w="4532" w:type="dxa"/>
          </w:tcPr>
          <w:p w:rsidR="00226E05" w:rsidRDefault="003A6503">
            <w:pPr>
              <w:tabs>
                <w:tab w:val="left" w:pos="345"/>
                <w:tab w:val="left" w:pos="567"/>
                <w:tab w:val="left" w:pos="993"/>
                <w:tab w:val="left" w:pos="1418"/>
                <w:tab w:val="left" w:pos="1843"/>
              </w:tabs>
              <w:jc w:val="both"/>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xml:space="preserve">- </w:t>
            </w:r>
            <w:r w:rsidR="004063C4" w:rsidRPr="004063C4">
              <w:rPr>
                <w:rFonts w:ascii="Palatino Linotype" w:eastAsia="Palatino Linotype" w:hAnsi="Palatino Linotype" w:cs="Palatino Linotype"/>
                <w:sz w:val="21"/>
                <w:szCs w:val="21"/>
              </w:rPr>
              <w:t>53.676,06</w:t>
            </w:r>
            <w:r>
              <w:rPr>
                <w:rFonts w:ascii="Palatino Linotype" w:eastAsia="Palatino Linotype" w:hAnsi="Palatino Linotype" w:cs="Palatino Linotype"/>
                <w:sz w:val="21"/>
                <w:szCs w:val="21"/>
              </w:rPr>
              <w:t>€, IVA EXCLUIDO.</w:t>
            </w:r>
          </w:p>
          <w:p w:rsidR="00226E05" w:rsidRDefault="003A6503" w:rsidP="004063C4">
            <w:pPr>
              <w:tabs>
                <w:tab w:val="left" w:pos="345"/>
                <w:tab w:val="left" w:pos="567"/>
                <w:tab w:val="left" w:pos="993"/>
                <w:tab w:val="left" w:pos="1418"/>
                <w:tab w:val="left" w:pos="1843"/>
              </w:tabs>
              <w:jc w:val="both"/>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xml:space="preserve">- </w:t>
            </w:r>
            <w:r w:rsidR="004063C4">
              <w:rPr>
                <w:rFonts w:ascii="Palatino Linotype" w:eastAsia="Palatino Linotype" w:hAnsi="Palatino Linotype" w:cs="Palatino Linotype"/>
                <w:sz w:val="21"/>
                <w:szCs w:val="21"/>
              </w:rPr>
              <w:t>CINCUENTA Y TRES MIL SEISCIENTOS SETENTA Y SEIS EUROS Y SEIS CÉNTIMOS</w:t>
            </w:r>
            <w:r>
              <w:rPr>
                <w:rFonts w:ascii="Palatino Linotype" w:eastAsia="Palatino Linotype" w:hAnsi="Palatino Linotype" w:cs="Palatino Linotype"/>
                <w:sz w:val="21"/>
                <w:szCs w:val="21"/>
              </w:rPr>
              <w:t>, IVA EXCLUIDO.</w:t>
            </w:r>
          </w:p>
        </w:tc>
      </w:tr>
      <w:tr w:rsidR="00226E05" w:rsidTr="00226E0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38" w:type="dxa"/>
            <w:shd w:val="clear" w:color="auto" w:fill="D9D9D9"/>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VALOR ESTIMADO</w:t>
            </w:r>
          </w:p>
        </w:tc>
        <w:tc>
          <w:tcPr>
            <w:tcW w:w="4532" w:type="dxa"/>
            <w:shd w:val="clear" w:color="auto" w:fill="D9D9D9"/>
          </w:tcPr>
          <w:p w:rsidR="004063C4" w:rsidRPr="004063C4" w:rsidRDefault="003A6503" w:rsidP="004063C4">
            <w:pPr>
              <w:tabs>
                <w:tab w:val="left" w:pos="345"/>
                <w:tab w:val="left" w:pos="567"/>
                <w:tab w:val="left" w:pos="993"/>
                <w:tab w:val="left" w:pos="1418"/>
                <w:tab w:val="left" w:pos="1843"/>
              </w:tabs>
              <w:jc w:val="both"/>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xml:space="preserve">- </w:t>
            </w:r>
            <w:r w:rsidR="004063C4" w:rsidRPr="004063C4">
              <w:rPr>
                <w:rFonts w:ascii="Palatino Linotype" w:eastAsia="Palatino Linotype" w:hAnsi="Palatino Linotype" w:cs="Palatino Linotype"/>
                <w:sz w:val="21"/>
                <w:szCs w:val="21"/>
              </w:rPr>
              <w:t xml:space="preserve"> 53.676,06€, IVA EXCLUIDO.</w:t>
            </w:r>
          </w:p>
          <w:p w:rsidR="00226E05" w:rsidRDefault="004063C4" w:rsidP="004063C4">
            <w:pPr>
              <w:tabs>
                <w:tab w:val="left" w:pos="345"/>
                <w:tab w:val="left" w:pos="567"/>
                <w:tab w:val="left" w:pos="993"/>
                <w:tab w:val="left" w:pos="1418"/>
                <w:tab w:val="left" w:pos="1843"/>
              </w:tabs>
              <w:jc w:val="both"/>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sz w:val="21"/>
                <w:szCs w:val="21"/>
              </w:rPr>
            </w:pPr>
            <w:r w:rsidRPr="004063C4">
              <w:rPr>
                <w:rFonts w:ascii="Palatino Linotype" w:eastAsia="Palatino Linotype" w:hAnsi="Palatino Linotype" w:cs="Palatino Linotype"/>
                <w:sz w:val="21"/>
                <w:szCs w:val="21"/>
              </w:rPr>
              <w:t>- CINCUENTA Y TRES MIL SEISCIENTOS SETENTA Y SEIS EUROS Y SEIS CÉNTIMOS, IVA EXCLUIDO.</w:t>
            </w:r>
            <w:r w:rsidR="003A6503">
              <w:rPr>
                <w:rFonts w:ascii="Palatino Linotype" w:eastAsia="Palatino Linotype" w:hAnsi="Palatino Linotype" w:cs="Palatino Linotype"/>
                <w:sz w:val="21"/>
                <w:szCs w:val="21"/>
              </w:rPr>
              <w:t>.</w:t>
            </w:r>
          </w:p>
        </w:tc>
      </w:tr>
      <w:tr w:rsidR="00226E05" w:rsidTr="00226E05">
        <w:trPr>
          <w:trHeight w:val="454"/>
        </w:trPr>
        <w:tc>
          <w:tcPr>
            <w:cnfStyle w:val="001000000000" w:firstRow="0" w:lastRow="0" w:firstColumn="1" w:lastColumn="0" w:oddVBand="0" w:evenVBand="0" w:oddHBand="0" w:evenHBand="0" w:firstRowFirstColumn="0" w:firstRowLastColumn="0" w:lastRowFirstColumn="0" w:lastRowLastColumn="0"/>
            <w:tcW w:w="4538" w:type="dxa"/>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PLAZO DE EJECUCIÓN</w:t>
            </w:r>
          </w:p>
        </w:tc>
        <w:tc>
          <w:tcPr>
            <w:tcW w:w="4532" w:type="dxa"/>
          </w:tcPr>
          <w:p w:rsidR="00226E05" w:rsidRDefault="003A6503">
            <w:pPr>
              <w:tabs>
                <w:tab w:val="left" w:pos="345"/>
                <w:tab w:val="left" w:pos="567"/>
                <w:tab w:val="left" w:pos="993"/>
                <w:tab w:val="left" w:pos="1418"/>
                <w:tab w:val="left" w:pos="1843"/>
              </w:tabs>
              <w:jc w:val="both"/>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30 DÍAS</w:t>
            </w:r>
          </w:p>
        </w:tc>
      </w:tr>
      <w:tr w:rsidR="00226E05" w:rsidTr="00226E0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38" w:type="dxa"/>
            <w:shd w:val="clear" w:color="auto" w:fill="D9D9D9"/>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PLAZO DE GARANTÍA</w:t>
            </w:r>
          </w:p>
        </w:tc>
        <w:tc>
          <w:tcPr>
            <w:tcW w:w="4532" w:type="dxa"/>
            <w:shd w:val="clear" w:color="auto" w:fill="D9D9D9"/>
          </w:tcPr>
          <w:p w:rsidR="00226E05" w:rsidRDefault="003A6503">
            <w:pPr>
              <w:tabs>
                <w:tab w:val="left" w:pos="345"/>
                <w:tab w:val="left" w:pos="567"/>
                <w:tab w:val="left" w:pos="993"/>
                <w:tab w:val="left" w:pos="1418"/>
                <w:tab w:val="left" w:pos="1843"/>
              </w:tabs>
              <w:jc w:val="both"/>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5 años a contar desde la recepción.</w:t>
            </w:r>
          </w:p>
        </w:tc>
      </w:tr>
      <w:tr w:rsidR="00226E05" w:rsidTr="00226E05">
        <w:trPr>
          <w:trHeight w:val="454"/>
        </w:trPr>
        <w:tc>
          <w:tcPr>
            <w:cnfStyle w:val="001000000000" w:firstRow="0" w:lastRow="0" w:firstColumn="1" w:lastColumn="0" w:oddVBand="0" w:evenVBand="0" w:oddHBand="0" w:evenHBand="0" w:firstRowFirstColumn="0" w:firstRowLastColumn="0" w:lastRowFirstColumn="0" w:lastRowLastColumn="0"/>
            <w:tcW w:w="4538" w:type="dxa"/>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PROCEDIMIENTO</w:t>
            </w:r>
          </w:p>
        </w:tc>
        <w:tc>
          <w:tcPr>
            <w:tcW w:w="4532" w:type="dxa"/>
          </w:tcPr>
          <w:p w:rsidR="00226E05" w:rsidRDefault="003A6503">
            <w:pPr>
              <w:tabs>
                <w:tab w:val="left" w:pos="345"/>
                <w:tab w:val="left" w:pos="567"/>
                <w:tab w:val="left" w:pos="993"/>
                <w:tab w:val="left" w:pos="1418"/>
                <w:tab w:val="left" w:pos="1843"/>
              </w:tabs>
              <w:jc w:val="both"/>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ABIERTO SIN PUBLICIDAD COMUNITARIA.</w:t>
            </w:r>
          </w:p>
        </w:tc>
      </w:tr>
      <w:tr w:rsidR="00226E05" w:rsidTr="00226E0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38" w:type="dxa"/>
            <w:shd w:val="clear" w:color="auto" w:fill="D9D9D9"/>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TRAMITACIÓN</w:t>
            </w:r>
          </w:p>
        </w:tc>
        <w:tc>
          <w:tcPr>
            <w:tcW w:w="4532" w:type="dxa"/>
            <w:shd w:val="clear" w:color="auto" w:fill="D9D9D9"/>
          </w:tcPr>
          <w:p w:rsidR="00226E05" w:rsidRDefault="003A6503">
            <w:pPr>
              <w:tabs>
                <w:tab w:val="left" w:pos="345"/>
                <w:tab w:val="left" w:pos="567"/>
                <w:tab w:val="left" w:pos="993"/>
                <w:tab w:val="left" w:pos="1418"/>
                <w:tab w:val="left" w:pos="1843"/>
              </w:tabs>
              <w:jc w:val="both"/>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ORDINARIA.</w:t>
            </w:r>
          </w:p>
        </w:tc>
      </w:tr>
      <w:tr w:rsidR="00226E05" w:rsidTr="00226E05">
        <w:trPr>
          <w:trHeight w:val="454"/>
        </w:trPr>
        <w:tc>
          <w:tcPr>
            <w:cnfStyle w:val="001000000000" w:firstRow="0" w:lastRow="0" w:firstColumn="1" w:lastColumn="0" w:oddVBand="0" w:evenVBand="0" w:oddHBand="0" w:evenHBand="0" w:firstRowFirstColumn="0" w:firstRowLastColumn="0" w:lastRowFirstColumn="0" w:lastRowLastColumn="0"/>
            <w:tcW w:w="4538" w:type="dxa"/>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SOLVENCIA ECONÓMICA</w:t>
            </w:r>
          </w:p>
        </w:tc>
        <w:tc>
          <w:tcPr>
            <w:tcW w:w="4532" w:type="dxa"/>
          </w:tcPr>
          <w:p w:rsidR="00226E05" w:rsidRDefault="003A6503">
            <w:pPr>
              <w:tabs>
                <w:tab w:val="left" w:pos="345"/>
                <w:tab w:val="left" w:pos="567"/>
                <w:tab w:val="left" w:pos="993"/>
                <w:tab w:val="left" w:pos="1418"/>
                <w:tab w:val="left" w:pos="1843"/>
              </w:tabs>
              <w:jc w:val="both"/>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Cláusula 7 del pliego de cláusulas administrativas.</w:t>
            </w:r>
          </w:p>
        </w:tc>
      </w:tr>
      <w:tr w:rsidR="00226E05" w:rsidTr="00226E0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38" w:type="dxa"/>
            <w:shd w:val="clear" w:color="auto" w:fill="D9D9D9"/>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SOLVENCIA TÉCNICA</w:t>
            </w:r>
          </w:p>
        </w:tc>
        <w:tc>
          <w:tcPr>
            <w:tcW w:w="4532" w:type="dxa"/>
            <w:shd w:val="clear" w:color="auto" w:fill="D9D9D9"/>
          </w:tcPr>
          <w:p w:rsidR="00226E05" w:rsidRDefault="003A6503">
            <w:pPr>
              <w:tabs>
                <w:tab w:val="left" w:pos="345"/>
                <w:tab w:val="left" w:pos="567"/>
                <w:tab w:val="left" w:pos="993"/>
                <w:tab w:val="left" w:pos="1418"/>
                <w:tab w:val="left" w:pos="1843"/>
              </w:tabs>
              <w:jc w:val="both"/>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Cláusula 8 del pliego de cláusulas administrativas.</w:t>
            </w:r>
          </w:p>
        </w:tc>
      </w:tr>
      <w:tr w:rsidR="00226E05" w:rsidTr="00226E05">
        <w:trPr>
          <w:trHeight w:val="454"/>
        </w:trPr>
        <w:tc>
          <w:tcPr>
            <w:cnfStyle w:val="001000000000" w:firstRow="0" w:lastRow="0" w:firstColumn="1" w:lastColumn="0" w:oddVBand="0" w:evenVBand="0" w:oddHBand="0" w:evenHBand="0" w:firstRowFirstColumn="0" w:firstRowLastColumn="0" w:lastRowFirstColumn="0" w:lastRowLastColumn="0"/>
            <w:tcW w:w="4538" w:type="dxa"/>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GARANTÍA PROVISIONAL</w:t>
            </w:r>
          </w:p>
        </w:tc>
        <w:tc>
          <w:tcPr>
            <w:tcW w:w="4532" w:type="dxa"/>
          </w:tcPr>
          <w:p w:rsidR="00226E05" w:rsidRDefault="003A6503">
            <w:pPr>
              <w:tabs>
                <w:tab w:val="left" w:pos="345"/>
                <w:tab w:val="left" w:pos="567"/>
                <w:tab w:val="left" w:pos="993"/>
                <w:tab w:val="left" w:pos="1418"/>
                <w:tab w:val="left" w:pos="1843"/>
              </w:tabs>
              <w:jc w:val="both"/>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xml:space="preserve">NO. </w:t>
            </w:r>
          </w:p>
        </w:tc>
      </w:tr>
      <w:tr w:rsidR="00226E05" w:rsidTr="00226E0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38" w:type="dxa"/>
            <w:shd w:val="clear" w:color="auto" w:fill="D9D9D9"/>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REVISIÓN DE PRECIOS</w:t>
            </w:r>
          </w:p>
        </w:tc>
        <w:tc>
          <w:tcPr>
            <w:tcW w:w="4532" w:type="dxa"/>
            <w:shd w:val="clear" w:color="auto" w:fill="D9D9D9"/>
          </w:tcPr>
          <w:p w:rsidR="00226E05" w:rsidRDefault="003A6503">
            <w:pPr>
              <w:tabs>
                <w:tab w:val="left" w:pos="345"/>
                <w:tab w:val="left" w:pos="567"/>
                <w:tab w:val="left" w:pos="993"/>
                <w:tab w:val="left" w:pos="1418"/>
                <w:tab w:val="left" w:pos="1843"/>
              </w:tabs>
              <w:jc w:val="both"/>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NO.</w:t>
            </w:r>
          </w:p>
        </w:tc>
      </w:tr>
      <w:tr w:rsidR="00226E05" w:rsidTr="00226E05">
        <w:trPr>
          <w:trHeight w:val="454"/>
        </w:trPr>
        <w:tc>
          <w:tcPr>
            <w:cnfStyle w:val="001000000000" w:firstRow="0" w:lastRow="0" w:firstColumn="1" w:lastColumn="0" w:oddVBand="0" w:evenVBand="0" w:oddHBand="0" w:evenHBand="0" w:firstRowFirstColumn="0" w:firstRowLastColumn="0" w:lastRowFirstColumn="0" w:lastRowLastColumn="0"/>
            <w:tcW w:w="4538" w:type="dxa"/>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DISEÑO LOTES</w:t>
            </w:r>
          </w:p>
        </w:tc>
        <w:tc>
          <w:tcPr>
            <w:tcW w:w="4532" w:type="dxa"/>
          </w:tcPr>
          <w:p w:rsidR="00226E05" w:rsidRDefault="003A6503">
            <w:pPr>
              <w:tabs>
                <w:tab w:val="left" w:pos="345"/>
                <w:tab w:val="left" w:pos="567"/>
                <w:tab w:val="left" w:pos="993"/>
                <w:tab w:val="left" w:pos="1418"/>
                <w:tab w:val="left" w:pos="1843"/>
              </w:tabs>
              <w:jc w:val="both"/>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NO.</w:t>
            </w:r>
          </w:p>
        </w:tc>
      </w:tr>
      <w:tr w:rsidR="00226E05" w:rsidTr="00226E0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38" w:type="dxa"/>
            <w:shd w:val="clear" w:color="auto" w:fill="D9D9D9"/>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ADMISIÓN DE VARIANTES</w:t>
            </w:r>
          </w:p>
        </w:tc>
        <w:tc>
          <w:tcPr>
            <w:tcW w:w="4532" w:type="dxa"/>
            <w:shd w:val="clear" w:color="auto" w:fill="D9D9D9"/>
          </w:tcPr>
          <w:p w:rsidR="00226E05" w:rsidRDefault="003A6503">
            <w:pPr>
              <w:tabs>
                <w:tab w:val="left" w:pos="345"/>
                <w:tab w:val="left" w:pos="567"/>
                <w:tab w:val="left" w:pos="993"/>
                <w:tab w:val="left" w:pos="1418"/>
                <w:tab w:val="left" w:pos="1843"/>
              </w:tabs>
              <w:jc w:val="both"/>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No se admiten.</w:t>
            </w:r>
          </w:p>
        </w:tc>
      </w:tr>
      <w:tr w:rsidR="00226E05" w:rsidTr="00226E05">
        <w:trPr>
          <w:trHeight w:val="454"/>
        </w:trPr>
        <w:tc>
          <w:tcPr>
            <w:cnfStyle w:val="001000000000" w:firstRow="0" w:lastRow="0" w:firstColumn="1" w:lastColumn="0" w:oddVBand="0" w:evenVBand="0" w:oddHBand="0" w:evenHBand="0" w:firstRowFirstColumn="0" w:firstRowLastColumn="0" w:lastRowFirstColumn="0" w:lastRowLastColumn="0"/>
            <w:tcW w:w="4538" w:type="dxa"/>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LUGAR DE PRESENTACIÓN OFERTAS</w:t>
            </w:r>
          </w:p>
        </w:tc>
        <w:tc>
          <w:tcPr>
            <w:tcW w:w="4532" w:type="dxa"/>
          </w:tcPr>
          <w:p w:rsidR="00226E05" w:rsidRDefault="003A6503">
            <w:pPr>
              <w:tabs>
                <w:tab w:val="left" w:pos="345"/>
                <w:tab w:val="left" w:pos="567"/>
                <w:tab w:val="left" w:pos="993"/>
                <w:tab w:val="left" w:pos="1418"/>
                <w:tab w:val="left" w:pos="1843"/>
              </w:tabs>
              <w:jc w:val="both"/>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Plataforma de Licitación Electrónica de Navarra (PLENA).</w:t>
            </w:r>
          </w:p>
        </w:tc>
      </w:tr>
      <w:tr w:rsidR="00226E05" w:rsidTr="00226E0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38" w:type="dxa"/>
            <w:shd w:val="clear" w:color="auto" w:fill="D9D9D9"/>
          </w:tcPr>
          <w:p w:rsidR="00226E05" w:rsidRDefault="003A6503">
            <w:pPr>
              <w:tabs>
                <w:tab w:val="left" w:pos="567"/>
                <w:tab w:val="left" w:pos="993"/>
                <w:tab w:val="left" w:pos="1418"/>
                <w:tab w:val="left" w:pos="1843"/>
              </w:tabs>
              <w:jc w:val="both"/>
              <w:rPr>
                <w:rFonts w:ascii="Palatino Linotype" w:eastAsia="Palatino Linotype" w:hAnsi="Palatino Linotype" w:cs="Palatino Linotype"/>
                <w:i/>
                <w:sz w:val="21"/>
                <w:szCs w:val="21"/>
              </w:rPr>
            </w:pPr>
            <w:r>
              <w:rPr>
                <w:rFonts w:ascii="Palatino Linotype" w:eastAsia="Palatino Linotype" w:hAnsi="Palatino Linotype" w:cs="Palatino Linotype"/>
                <w:i/>
                <w:sz w:val="21"/>
                <w:szCs w:val="21"/>
              </w:rPr>
              <w:t>PLAZO PRESENTACIÓN OFERTAS</w:t>
            </w:r>
          </w:p>
        </w:tc>
        <w:tc>
          <w:tcPr>
            <w:tcW w:w="4532" w:type="dxa"/>
            <w:shd w:val="clear" w:color="auto" w:fill="D9D9D9"/>
          </w:tcPr>
          <w:p w:rsidR="00226E05" w:rsidRDefault="003A6503">
            <w:pPr>
              <w:tabs>
                <w:tab w:val="left" w:pos="345"/>
                <w:tab w:val="left" w:pos="567"/>
                <w:tab w:val="left" w:pos="993"/>
                <w:tab w:val="left" w:pos="1418"/>
                <w:tab w:val="left" w:pos="1843"/>
              </w:tabs>
              <w:jc w:val="both"/>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Quince días naturales contados a partir del día siguiente al de la publicación del anuncio de licitación en el Portal de Contratación.</w:t>
            </w:r>
          </w:p>
        </w:tc>
      </w:tr>
    </w:tbl>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b/>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I.- CLÁUSULAS ADMINISTRATIVAS QUE HAN DE REGIR LA CONTRATACIÓN DE LA RENOVACION DE INSTALACIÓN DE ALUMBRADO PÚBLICO EN ARRE - FASE 2.</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1.- OBJETO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Constituye el objeto del contrato al que se refieren las presentes cláusulas la renovación de instalación de alumbrado público en Arre - Fase 2 (CPV 31000000 - Máquinas, aparatos, equipo y productos consumibles eléctricos; iluminación).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Esta contratación no es objeto de reserva de contratos a entidades de carácter social por cuanto que las prestaciones objeto de la presente contratación no se adecúan a las peculiaridades de tales entidades.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Los trabajos se ejecutarán conforme a las prescripciones técnicas que figuran en el proyecto redactado por los ingenieros D. David Gordejuela Gutiérrez y D. Javier Gordejuela Gutiérrez.</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2.- PROCEDIMIENTO DE ADJUDICACIÓN.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contratación objeto del presente pliego será adjudicada, de conformidad con los dispuesto en la Ley Foral 2/2018, de 13 de abril, de Contratos Públicos, por procedimiento abierto inferior al umbral comunitario, tramitación ordinaria.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3.- ÓRGANO DE CONTRATACIÓN Y UNIDAD GESTORA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órgano de contratación y unidad gestora del presente contrato es la Junta de Gobierno Local del Concejo de Arre.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4.- VALOR ESTIMADO DEL CONTRATO Y PRESUPUESTO DE LICITACIÓN.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color w:val="FF0000"/>
          <w:sz w:val="21"/>
          <w:szCs w:val="21"/>
        </w:rPr>
        <w:tab/>
      </w:r>
      <w:r>
        <w:rPr>
          <w:rFonts w:ascii="Palatino Linotype" w:eastAsia="Palatino Linotype" w:hAnsi="Palatino Linotype" w:cs="Palatino Linotype"/>
          <w:sz w:val="21"/>
          <w:szCs w:val="21"/>
        </w:rPr>
        <w:t xml:space="preserve">El valor estimado del contrato asciende a la cantidad de </w:t>
      </w:r>
      <w:r w:rsidR="004063C4">
        <w:rPr>
          <w:rFonts w:ascii="Palatino Linotype" w:eastAsia="Palatino Linotype" w:hAnsi="Palatino Linotype" w:cs="Palatino Linotype"/>
          <w:sz w:val="21"/>
          <w:szCs w:val="21"/>
        </w:rPr>
        <w:t>cincuenta y tres mil seiscientos setenta y</w:t>
      </w:r>
      <w:bookmarkStart w:id="0" w:name="_GoBack"/>
      <w:bookmarkEnd w:id="0"/>
      <w:r w:rsidR="004063C4">
        <w:rPr>
          <w:rFonts w:ascii="Palatino Linotype" w:eastAsia="Palatino Linotype" w:hAnsi="Palatino Linotype" w:cs="Palatino Linotype"/>
          <w:sz w:val="21"/>
          <w:szCs w:val="21"/>
        </w:rPr>
        <w:t xml:space="preserve"> seis euros y seis céntimos</w:t>
      </w:r>
      <w:r>
        <w:rPr>
          <w:rFonts w:ascii="Palatino Linotype" w:eastAsia="Palatino Linotype" w:hAnsi="Palatino Linotype" w:cs="Palatino Linotype"/>
          <w:sz w:val="21"/>
          <w:szCs w:val="21"/>
        </w:rPr>
        <w:t>, IVA excluido (</w:t>
      </w:r>
      <w:r w:rsidR="004063C4" w:rsidRPr="004063C4">
        <w:rPr>
          <w:rFonts w:ascii="Palatino Linotype" w:eastAsia="Palatino Linotype" w:hAnsi="Palatino Linotype" w:cs="Palatino Linotype"/>
          <w:sz w:val="21"/>
          <w:szCs w:val="21"/>
        </w:rPr>
        <w:t xml:space="preserve">53.676,06€, </w:t>
      </w:r>
      <w:r>
        <w:rPr>
          <w:rFonts w:ascii="Palatino Linotype" w:eastAsia="Palatino Linotype" w:hAnsi="Palatino Linotype" w:cs="Palatino Linotype"/>
          <w:sz w:val="21"/>
          <w:szCs w:val="21"/>
        </w:rPr>
        <w:t xml:space="preserve">euros, IVA incluido).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presupuesto de licitación coincide con el valor estimado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highlight w:val="yellow"/>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Se entienden incluidos los gastos generales y financieros, los beneficios, seguros, visados, permisos necesarios, impuestos, tributos y tasas aplicables, los derivados de desplazamientos y transporte, alojamiento, dietas, autorizaciones, licencias y en general cuantos sean necesarios para ejecutar correctamente el contrato.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Asimismo, tanto en el presupuesto indicado que sirve de base a la licitación como en las ofertas que formulen los licitadores han de entenderse incluidos todos los factores de valoración a </w:t>
      </w:r>
      <w:r>
        <w:rPr>
          <w:rFonts w:ascii="Palatino Linotype" w:eastAsia="Palatino Linotype" w:hAnsi="Palatino Linotype" w:cs="Palatino Linotype"/>
          <w:sz w:val="21"/>
          <w:szCs w:val="21"/>
        </w:rPr>
        <w:lastRenderedPageBreak/>
        <w:t>tener en cuenta para el normal cumplimiento de la prestación contratada (excluido el Impuesto sobre el Valor Añadido) y en particular:</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Coste de personal, cargas sociales o fiscales y otros gastos de personal.</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Impuestos, tasas o arbitrios establecidos o que se establezcan en cualquier esfera fiscal según las disposiciones vigentes.</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Beneficio industrial.</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Gastos derivados de la realización de todos los trámites necesarios para la obtención de permisos, autorizaciones administrativas, inspección ITV, gastos de matriculación, transporte, montaje e instalación del equipamiento, rotulación y demás (desplazamientos, material fungible y equipos, seguros, etc.) que se produzcan hasta la entrega del bien en el lugar determinado por la Administración.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El contratista no podrá repercutir ningún gasto de forma independiente sobre el precio acordado con la Administración.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Serán desestimadas las ofertas económicas que superen el precio de licitación o que no cumplan con los requisitos exigidos en el presente pliego.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financiación se realizará con cargo a la aplicación presupuestaria prevista en el Presupuesto General Único del Concejo de Arre para 2022 para la ejecución del contrato de la Fase 2 de renovación del alumbrado público.</w:t>
      </w:r>
    </w:p>
    <w:p w:rsidR="003A6503"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p>
    <w:p w:rsidR="003A6503" w:rsidRDefault="003A6503">
      <w:pPr>
        <w:tabs>
          <w:tab w:val="left" w:pos="567"/>
          <w:tab w:val="left" w:pos="993"/>
          <w:tab w:val="left" w:pos="1418"/>
          <w:tab w:val="left" w:pos="1843"/>
        </w:tabs>
        <w:jc w:val="both"/>
        <w:rPr>
          <w:rFonts w:ascii="Palatino Linotype" w:eastAsia="Palatino Linotype" w:hAnsi="Palatino Linotype" w:cs="Palatino Linotype"/>
          <w:color w:val="000000"/>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5.- PLAZO DE EJECUCIÓN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renovación de la instalación de alumbrado público se realizará en el plazo de 30 (TREINTA) días a partir de la formalización del contrato, o en el plazo señalado por la empresa adjudicataria si fuera inferior. Este plazo podrá suspenderse si se acredita convenientemente el plazo de entrega de las luminarias por el distribuidor y/o fabricante.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Los plazos de entrega constituyen una condición esencial del contrato por lo </w:t>
      </w:r>
      <w:proofErr w:type="gramStart"/>
      <w:r>
        <w:rPr>
          <w:rFonts w:ascii="Palatino Linotype" w:eastAsia="Palatino Linotype" w:hAnsi="Palatino Linotype" w:cs="Palatino Linotype"/>
          <w:sz w:val="21"/>
          <w:szCs w:val="21"/>
        </w:rPr>
        <w:t>que</w:t>
      </w:r>
      <w:proofErr w:type="gramEnd"/>
      <w:r>
        <w:rPr>
          <w:rFonts w:ascii="Palatino Linotype" w:eastAsia="Palatino Linotype" w:hAnsi="Palatino Linotype" w:cs="Palatino Linotype"/>
          <w:sz w:val="21"/>
          <w:szCs w:val="21"/>
        </w:rPr>
        <w:t xml:space="preserve"> si llegado el término indicado no se hubieran finalizado los trabajos, esta circunstancia determinará la resolución culpable del contrato y la indemnización de daños y perjuicios al Concejo.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acta de comprobación del replanteo reflejará la conformidad o disconformidad del replanteo sobre el terreno respecto a los documentos aportados.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Con posterioridad a la formalización del contrato, la obra será iniciada cuando la unidad gestora o el órgano de contratación lo ordenen. La obra podrá iniciarse y ser suspendida posteriormente si se diesen las circunstancias para ello. En este último caso, el plazo de ejecución quedará suspendido hasta que se reinicie cuando las obran sean retomadas. Estos extremos quedarán reflejados en las actas de suspensión y reinicio que se redactarán al efecto.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Si la obra no se iniciase cuando fuera ordenado, y por causas imputables al contratista, éste responderá por los daños y perjuicios causados.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lastRenderedPageBreak/>
        <w:tab/>
        <w:t>Caso de que el contratista formulara reservas sobre la posibilidad de iniciarse las obras, o las circunstancias así lo aconsejaran, la dirección de obra podrá decidir demorar el comienzo de las obras, justificándolo en la propia Acta.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Para que un retraso en la ejecución pueda ser admitido sin penalización, serán exigibles los tres documentos siguientes: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Escrito, con acuse de recibo del Concejo de Arre y de la Dirección Facultativa, indicando la fecha y el motivo alegado para incurrir en demora de plazo. Este escrito deberá remitirse antes de transcurrido un mes desde la causa que originase el retraso.</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Certificado de la Dirección Facultativa expresando claramente que la demora producida se debe a causa de fuerza mayor.</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Aprobación de ampliación de plazo por parte del órgano de contratación y su notificación a la empresa adjudicataria.</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Fuera del caso indicado, cuando el contratista por causas imputables al mismo,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6.- CAPACIDAD PARA CONTRATAR</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Podrán contratar con la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Si se trata de personas jurídicas solo podrán ser adjudicatarias de contratos cuyas prestaciones estén comprendidas dentro de los fines, ámbito o actividad que le sean propios, según resulte de sus respectivos Estatutos o reglas fundacionales.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Igualmente podrán contratar personas licitadoras que participen conjuntamente que quedarán obligadas solidariamente. Dicha participación se formalizará mediante la aportación de </w:t>
      </w:r>
      <w:r>
        <w:rPr>
          <w:rFonts w:ascii="Palatino Linotype" w:eastAsia="Palatino Linotype" w:hAnsi="Palatino Linotype" w:cs="Palatino Linotype"/>
          <w:sz w:val="21"/>
          <w:szCs w:val="21"/>
        </w:rPr>
        <w:lastRenderedPageBreak/>
        <w:t>un documento privado en el que deberá manifestarse la voluntad de concurrir de forma conjunta, la participación de cada una de ellas así como la designación de una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Asimismo, deberán cumplir las condiciones que el presente pliego establezca.</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Las empresas que presenten oferta conjunta de licitación no podrán presentar proposiciones individuales.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7.- SOLVENCIA ECONÓMICA Y FINANCIERA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widowControl w:val="0"/>
        <w:tabs>
          <w:tab w:val="left" w:pos="567"/>
          <w:tab w:val="left" w:pos="993"/>
          <w:tab w:val="left" w:pos="1418"/>
          <w:tab w:val="left" w:pos="1843"/>
        </w:tabs>
        <w:ind w:right="-65"/>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Se justificará la solvencia económica y financiera para la realización del contrato mediante la presentación de los siguientes documentos:</w:t>
      </w:r>
    </w:p>
    <w:p w:rsidR="00226E05" w:rsidRDefault="003A6503">
      <w:pPr>
        <w:widowControl w:val="0"/>
        <w:tabs>
          <w:tab w:val="left" w:pos="3465"/>
        </w:tabs>
        <w:ind w:left="107" w:right="-65"/>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 Declaración de solvencia económica y financiera formulada por entidades financieras, sobre la capacidad económica de la entidad licitadora, en la que, tras valorar los principales datos económicos de la empresa, se concluya que la empresa pueda asumir los riesgos derivados de la ejecución del presente contrato. </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 Una declaración sobre el volumen global de negocios y, en su caso, sobre el volumen de negocios en el ámbito de actividades similar al del objeto del contrato, referida como máximo a los tres últimos ejercicios disponibles en función de la fecha de creación o de inicio de las actividades de quien vaya a licitar.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b/>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r>
        <w:rPr>
          <w:rFonts w:ascii="Palatino Linotype" w:eastAsia="Palatino Linotype" w:hAnsi="Palatino Linotype" w:cs="Palatino Linotype"/>
          <w:sz w:val="21"/>
          <w:szCs w:val="21"/>
        </w:rPr>
        <w:tab/>
        <w:t>El volumen de negocios mínimo anual exigido será́ de: 400.000 €.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8.- SOLVENCIA TÉCNICA Y PROFESIONAL</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Se justificará la solvencia técnica mediante una relación de las obras de similares ejecutadas en el curso de los últimos cinco años, avaladas por certificados de buena ejecución (donde conste el importe, el lugar de ejecución de la obra, así como las fechas de replanteo y recepción de la misma), expedidos por la entidad promotora (no serán válidos aquellos referentes a obras en las que la entidad promotora haya sido, a su vez, licitadora) con indicación de si se realizaron según las reglas por las que se rige la profesión y si se llevaron normalmente a buen término.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requisito mínimo considerado será la aportación de al menos cinco certificados correspondientes a la ejecución de una obra similar de importe igual o superior al precio de licitación del presente contrato, ejecutada en cualquiera de los cinco últimos años.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el caso de que la solvencia se acredite mediante la subcontratación, quien licita deberá aportar un documento que demuestre la existencia de un compromiso formal con la empresa subcontratada para la ejecución del contrato, sumándose en este caso la solvencia de todas ellas. Asimismo, deberá acreditar que la parte subcontratista dispone de los medios necesarios para la ejecución del contrato.</w:t>
      </w:r>
      <w:r>
        <w:rPr>
          <w:rFonts w:ascii="Palatino Linotype" w:eastAsia="Palatino Linotype" w:hAnsi="Palatino Linotype" w:cs="Palatino Linotype"/>
          <w:sz w:val="21"/>
          <w:szCs w:val="21"/>
        </w:rPr>
        <w:tab/>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lastRenderedPageBreak/>
        <w:t>9.- PRESENTACIÓN DE PROPOSICIONES</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p>
    <w:p w:rsidR="00226E05" w:rsidRDefault="003A6503">
      <w:pP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9.1. LUGAR Y PLAZO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Cada entidad licitadora no podrá presentar más de una proposición. Tampoco podrá suscribir ninguna propuesta en participación conjunta con otras entidades licitadoras si se ha presentado proposición individual, ni figurar en más de una de esas agrupaciones. La infracción de esto, así como la presentación simultánea de ofertas por empresas vinculadas dará lugar a la inadmisión de todas las ofertas suscritas.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presentación de proposiciones supone la aceptación incondicional del contenido de la totalidad de las cláusulas del pliego que rigen la licitación, sin salvedad o reserva alguna.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Quienes muestren interés en la licitación obtendrán a través del Portal de Contratación la información adicional sobre los pliegos y demás documentación complementaria en el plazo de tres días desde que la soliciten.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Los documentos que conforman la oferta deberán presentarse exclusivamente a través de la Plataforma de Licitación Electrónica de Navarra (PLENA), que estará disponible en el anuncio de licitación del Portal de Contratación de Navarra (www.contrataciones.navarra.es), de acuerdo con lo establecido en los párrafos siguientes.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Así mismo, todas las comunicaciones y resto de actuaciones de trámites que procedan con los interesados, se efectuará a través de PLENA.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El plazo de presentación de las ofertas se fijará en el anuncio para la licitación, debiendo ser, como mínimo, de 15 días contados a partir del día siguiente al de la fecha de publicación en el Portal de Contratación de Navarra.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En el momento en que la empresa licitadora cierre su oferta, se generará una </w:t>
      </w:r>
      <w:proofErr w:type="gramStart"/>
      <w:r>
        <w:rPr>
          <w:rFonts w:ascii="Palatino Linotype" w:eastAsia="Palatino Linotype" w:hAnsi="Palatino Linotype" w:cs="Palatino Linotype"/>
          <w:sz w:val="21"/>
          <w:szCs w:val="21"/>
        </w:rPr>
        <w:t>huella  -</w:t>
      </w:r>
      <w:proofErr w:type="gramEnd"/>
      <w:r>
        <w:rPr>
          <w:rFonts w:ascii="Palatino Linotype" w:eastAsia="Palatino Linotype" w:hAnsi="Palatino Linotype" w:cs="Palatino Linotype"/>
          <w:sz w:val="21"/>
          <w:szCs w:val="21"/>
        </w:rPr>
        <w:t xml:space="preserve">resumen criptográfico- del contenido de la misma, quedando como constancia de la oferta. En el caso de que quien licite tenga problemas* en la presentación de su oferta en </w:t>
      </w:r>
      <w:proofErr w:type="gramStart"/>
      <w:r>
        <w:rPr>
          <w:rFonts w:ascii="Palatino Linotype" w:eastAsia="Palatino Linotype" w:hAnsi="Palatino Linotype" w:cs="Palatino Linotype"/>
          <w:sz w:val="21"/>
          <w:szCs w:val="21"/>
        </w:rPr>
        <w:t>PLENA,  si</w:t>
      </w:r>
      <w:proofErr w:type="gramEnd"/>
      <w:r>
        <w:rPr>
          <w:rFonts w:ascii="Palatino Linotype" w:eastAsia="Palatino Linotype" w:hAnsi="Palatino Linotype" w:cs="Palatino Linotype"/>
          <w:sz w:val="21"/>
          <w:szCs w:val="21"/>
        </w:rPr>
        <w:t xml:space="preserve">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i/>
          <w:sz w:val="21"/>
          <w:szCs w:val="21"/>
        </w:rPr>
      </w:pPr>
      <w:r>
        <w:rPr>
          <w:rFonts w:ascii="Palatino Linotype" w:eastAsia="Palatino Linotype" w:hAnsi="Palatino Linotype" w:cs="Palatino Linotype"/>
          <w:sz w:val="21"/>
          <w:szCs w:val="21"/>
        </w:rPr>
        <w:tab/>
      </w:r>
      <w:r>
        <w:rPr>
          <w:rFonts w:ascii="Palatino Linotype" w:eastAsia="Palatino Linotype" w:hAnsi="Palatino Linotype" w:cs="Palatino Linotype"/>
          <w:i/>
          <w:sz w:val="21"/>
          <w:szCs w:val="21"/>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Es necesario que la hora del equipo desde el que se vaya a realizar la presentación coincida con un margen máximo de desfase de 5 minutos, con la hora del servidor de Gobierno de Navarra.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Fuente horaria primaria: hora.roa.es (Real Instituto y Observatorio de la Armada: dos servidores en San Fernando-Cádiz y un tercero situado en Madrid)</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 xml:space="preserve">Fuentes </w:t>
      </w:r>
      <w:proofErr w:type="gramStart"/>
      <w:r>
        <w:rPr>
          <w:rFonts w:ascii="Palatino Linotype" w:eastAsia="Palatino Linotype" w:hAnsi="Palatino Linotype" w:cs="Palatino Linotype"/>
          <w:sz w:val="21"/>
          <w:szCs w:val="21"/>
        </w:rPr>
        <w:t>horarias  secundarias</w:t>
      </w:r>
      <w:proofErr w:type="gramEnd"/>
      <w:r>
        <w:rPr>
          <w:rFonts w:ascii="Palatino Linotype" w:eastAsia="Palatino Linotype" w:hAnsi="Palatino Linotype" w:cs="Palatino Linotype"/>
          <w:sz w:val="21"/>
          <w:szCs w:val="21"/>
        </w:rPr>
        <w:t xml:space="preserve">: </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w:t>
      </w:r>
      <w:r>
        <w:rPr>
          <w:rFonts w:ascii="Palatino Linotype" w:eastAsia="Palatino Linotype" w:hAnsi="Palatino Linotype" w:cs="Palatino Linotype"/>
          <w:sz w:val="21"/>
          <w:szCs w:val="21"/>
        </w:rPr>
        <w:tab/>
      </w:r>
      <w:proofErr w:type="gramStart"/>
      <w:r>
        <w:rPr>
          <w:rFonts w:ascii="Palatino Linotype" w:eastAsia="Palatino Linotype" w:hAnsi="Palatino Linotype" w:cs="Palatino Linotype"/>
          <w:sz w:val="21"/>
          <w:szCs w:val="21"/>
        </w:rPr>
        <w:t>canon.inria.fr ,</w:t>
      </w:r>
      <w:proofErr w:type="gramEnd"/>
      <w:r>
        <w:rPr>
          <w:rFonts w:ascii="Palatino Linotype" w:eastAsia="Palatino Linotype" w:hAnsi="Palatino Linotype" w:cs="Palatino Linotype"/>
          <w:sz w:val="21"/>
          <w:szCs w:val="21"/>
        </w:rPr>
        <w:t xml:space="preserve"> INRIA, Paris</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w:t>
      </w:r>
      <w:r>
        <w:rPr>
          <w:rFonts w:ascii="Palatino Linotype" w:eastAsia="Palatino Linotype" w:hAnsi="Palatino Linotype" w:cs="Palatino Linotype"/>
          <w:sz w:val="21"/>
          <w:szCs w:val="21"/>
        </w:rPr>
        <w:tab/>
      </w:r>
      <w:proofErr w:type="gramStart"/>
      <w:r>
        <w:rPr>
          <w:rFonts w:ascii="Palatino Linotype" w:eastAsia="Palatino Linotype" w:hAnsi="Palatino Linotype" w:cs="Palatino Linotype"/>
          <w:sz w:val="21"/>
          <w:szCs w:val="21"/>
        </w:rPr>
        <w:t>i2t15.i2t.ehu.es ,</w:t>
      </w:r>
      <w:proofErr w:type="gramEnd"/>
      <w:r>
        <w:rPr>
          <w:rFonts w:ascii="Palatino Linotype" w:eastAsia="Palatino Linotype" w:hAnsi="Palatino Linotype" w:cs="Palatino Linotype"/>
          <w:sz w:val="21"/>
          <w:szCs w:val="21"/>
        </w:rPr>
        <w:t xml:space="preserve"> UPV-EHU</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Si por el contrario la huella no coincide, o bien la oferta se ha recibido fuera del plazo de 24 horas extendidas, la oferta se excluirá, no abriéndose nunca su contenido.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licitador/a o problemas técnicos ajenos a la Plataforma no justificarán la extemporaneidad en la presentación de la oferta y conllevarán la exclusión.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9.2. FORMA Y CONTENIDO DE LAS PROPOSICIONES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Las ofertas son cifradas en el escritorio de quien vaya a licitar utilizando mecanismos estándares de cifrado, y una vez presentadas, son depositadas en el repositorio seguro.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Los formatos admitidos por PLENA para los documentos que se anexan en la presentación de la oferta son los utilizados habitualmente (</w:t>
      </w:r>
      <w:proofErr w:type="spellStart"/>
      <w:r>
        <w:rPr>
          <w:rFonts w:ascii="Palatino Linotype" w:eastAsia="Palatino Linotype" w:hAnsi="Palatino Linotype" w:cs="Palatino Linotype"/>
          <w:sz w:val="21"/>
          <w:szCs w:val="21"/>
        </w:rPr>
        <w:t>doc</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docx</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xls</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xlsx</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ppt</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pptx</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rtf</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sxw</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abw</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pdf</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jpg</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bmp</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tiff</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tif</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odt</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ods</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odp</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odi</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dwg</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zip</w:t>
      </w:r>
      <w:proofErr w:type="spellEnd"/>
      <w:r>
        <w:rPr>
          <w:rFonts w:ascii="Palatino Linotype" w:eastAsia="Palatino Linotype" w:hAnsi="Palatino Linotype" w:cs="Palatino Linotype"/>
          <w:sz w:val="21"/>
          <w:szCs w:val="21"/>
        </w:rPr>
        <w:t>.), y como medida alternativa, para adjuntar archivos de otros formatos, se pueden envolver en un archivo comprimido (ZIP).</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Las propuestas se presentarán de acuerdo con la estructura establecida para esta oferta en PLENA y contendrá 3 sobres, identificados como: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i/>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"Sobre n° 1: Documentación administrativa”.</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"Sobre n° 2: Documentación relativa a criterios no cuantificables mediante fórmulas”.</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"Sobre n° 3: Documentación relativa a criterios cuantificables mediante fórmulas”.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Cada uno de los sobres deberá contener los siguientes documentos: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center"/>
        <w:rPr>
          <w:rFonts w:ascii="Palatino Linotype" w:eastAsia="Palatino Linotype" w:hAnsi="Palatino Linotype" w:cs="Palatino Linotype"/>
          <w:b/>
          <w:i/>
          <w:sz w:val="21"/>
          <w:szCs w:val="21"/>
        </w:rPr>
      </w:pPr>
      <w:r>
        <w:rPr>
          <w:rFonts w:ascii="Palatino Linotype" w:eastAsia="Palatino Linotype" w:hAnsi="Palatino Linotype" w:cs="Palatino Linotype"/>
          <w:b/>
          <w:i/>
          <w:sz w:val="21"/>
          <w:szCs w:val="21"/>
        </w:rPr>
        <w:t>Sobre número 1. "Documentación administrativa".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Se incluirán necesariamente los siguientes documentos: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1.</w:t>
      </w:r>
      <w:r>
        <w:rPr>
          <w:rFonts w:ascii="Palatino Linotype" w:eastAsia="Palatino Linotype" w:hAnsi="Palatino Linotype" w:cs="Palatino Linotype"/>
          <w:sz w:val="21"/>
          <w:szCs w:val="21"/>
        </w:rPr>
        <w:tab/>
        <w:t>Identificación de la entidad licitadora o licitadoras, que se presentan, pudiendo ser personas físicas, participaciones conjuntas, personas jurídicas, uniones temporales de empresas. Así mismo se presentará una dirección de correo electrónico de la entidad licitadora, conforme al modelo señalado en el Anexo I.</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2.</w:t>
      </w:r>
      <w:r>
        <w:rPr>
          <w:rFonts w:ascii="Palatino Linotype" w:eastAsia="Palatino Linotype" w:hAnsi="Palatino Linotype" w:cs="Palatino Linotype"/>
          <w:sz w:val="21"/>
          <w:szCs w:val="21"/>
        </w:rPr>
        <w:tab/>
        <w:t>Declaración responsable de la entidad licitadora o, en su caso, de su representante, indicando que cumple las condiciones exigidas para contratar. Dicha declaración se ajustará al modelo señalado en el Anexo II.</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3.</w:t>
      </w:r>
      <w:r>
        <w:rPr>
          <w:rFonts w:ascii="Palatino Linotype" w:eastAsia="Palatino Linotype" w:hAnsi="Palatino Linotype" w:cs="Palatino Linotype"/>
          <w:sz w:val="21"/>
          <w:szCs w:val="21"/>
        </w:rPr>
        <w:tab/>
        <w:t>Si la proposición es suscrita por entidades licitadoras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una y se designe una persona representante o apoderada única con facultades para ejercer los derechos y cumplir las obligaciones derivadas del contrato hasta la extinción del mismo. El escrito habrá de estar firmado tanto por las diversas empresas concurrentes como por la citada persona apoderada.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4.</w:t>
      </w:r>
      <w:r>
        <w:rPr>
          <w:rFonts w:ascii="Palatino Linotype" w:eastAsia="Palatino Linotype" w:hAnsi="Palatino Linotype" w:cs="Palatino Linotype"/>
          <w:sz w:val="21"/>
          <w:szCs w:val="21"/>
        </w:rPr>
        <w:tab/>
        <w:t xml:space="preserve">En caso de subcontratación, la entidad licitadora deberá presentar una relación </w:t>
      </w:r>
      <w:proofErr w:type="gramStart"/>
      <w:r>
        <w:rPr>
          <w:rFonts w:ascii="Palatino Linotype" w:eastAsia="Palatino Linotype" w:hAnsi="Palatino Linotype" w:cs="Palatino Linotype"/>
          <w:sz w:val="21"/>
          <w:szCs w:val="21"/>
        </w:rPr>
        <w:t>de  subcontratistas</w:t>
      </w:r>
      <w:proofErr w:type="gramEnd"/>
      <w:r>
        <w:rPr>
          <w:rFonts w:ascii="Palatino Linotype" w:eastAsia="Palatino Linotype" w:hAnsi="Palatino Linotype" w:cs="Palatino Linotype"/>
          <w:sz w:val="21"/>
          <w:szCs w:val="21"/>
        </w:rPr>
        <w:t xml:space="preserve"> y aportar un documento que demuestre la existencia de un compromiso formal con las mismas para la ejecución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center"/>
        <w:rPr>
          <w:rFonts w:ascii="Palatino Linotype" w:eastAsia="Palatino Linotype" w:hAnsi="Palatino Linotype" w:cs="Palatino Linotype"/>
          <w:b/>
          <w:i/>
          <w:sz w:val="21"/>
          <w:szCs w:val="21"/>
        </w:rPr>
      </w:pPr>
      <w:r>
        <w:rPr>
          <w:rFonts w:ascii="Palatino Linotype" w:eastAsia="Palatino Linotype" w:hAnsi="Palatino Linotype" w:cs="Palatino Linotype"/>
          <w:b/>
          <w:i/>
          <w:sz w:val="21"/>
          <w:szCs w:val="21"/>
        </w:rPr>
        <w:t>Sobre número 2 "Documentación relativa a criterios no cuantificables mediante fórmulas”.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Incluirá toda la documentación que aporte la entidad licitadora para que se valore y puntúe el criterio de mejora de la eficiencia de las luminarias a suministrar. A tal fin, la empresa licitadora debe aportar obligatoriamente una Memoria Técnica con los siguientes datos, parámetros y características de las luminarias LED:</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Marca y modelo.</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   Memoria   descriptiva   del   </w:t>
      </w:r>
      <w:proofErr w:type="gramStart"/>
      <w:r>
        <w:rPr>
          <w:rFonts w:ascii="Palatino Linotype" w:eastAsia="Palatino Linotype" w:hAnsi="Palatino Linotype" w:cs="Palatino Linotype"/>
          <w:sz w:val="21"/>
          <w:szCs w:val="21"/>
        </w:rPr>
        <w:t xml:space="preserve">elemento,   </w:t>
      </w:r>
      <w:proofErr w:type="gramEnd"/>
      <w:r>
        <w:rPr>
          <w:rFonts w:ascii="Palatino Linotype" w:eastAsia="Palatino Linotype" w:hAnsi="Palatino Linotype" w:cs="Palatino Linotype"/>
          <w:sz w:val="21"/>
          <w:szCs w:val="21"/>
        </w:rPr>
        <w:t>detalles   constructivos,   materiales   empleados,   forma   de   instalación, conservación, posibilidad de reposición de los distintos componentes y demás especificaciones.</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Planos a escala conveniente de planta, alzado y perspectiva del elemento.</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Fotografías del exterior de la luminaria, de vista superior e inferior.</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Ficha técnica del producto donde se describan sus características, dimensiones, prestaciones y parámetros técnicos de funcionamiento, donde se debe contemplar:</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r>
        <w:rPr>
          <w:rFonts w:ascii="Palatino Linotype" w:eastAsia="Palatino Linotype" w:hAnsi="Palatino Linotype" w:cs="Palatino Linotype"/>
          <w:sz w:val="21"/>
          <w:szCs w:val="21"/>
        </w:rPr>
        <w:tab/>
        <w:t>- Potencia nominal asignada y consumo total del sistema.</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r>
        <w:rPr>
          <w:rFonts w:ascii="Palatino Linotype" w:eastAsia="Palatino Linotype" w:hAnsi="Palatino Linotype" w:cs="Palatino Linotype"/>
          <w:sz w:val="21"/>
          <w:szCs w:val="21"/>
        </w:rPr>
        <w:tab/>
        <w:t>- Factor de potencia de la luminaria.</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 Numero de </w:t>
      </w:r>
      <w:proofErr w:type="spellStart"/>
      <w:r>
        <w:rPr>
          <w:rFonts w:ascii="Palatino Linotype" w:eastAsia="Palatino Linotype" w:hAnsi="Palatino Linotype" w:cs="Palatino Linotype"/>
          <w:sz w:val="21"/>
          <w:szCs w:val="21"/>
        </w:rPr>
        <w:t>LEDs</w:t>
      </w:r>
      <w:proofErr w:type="spellEnd"/>
      <w:r>
        <w:rPr>
          <w:rFonts w:ascii="Palatino Linotype" w:eastAsia="Palatino Linotype" w:hAnsi="Palatino Linotype" w:cs="Palatino Linotype"/>
          <w:sz w:val="21"/>
          <w:szCs w:val="21"/>
        </w:rPr>
        <w:t>, marca y modelo de LED y su sistema de alimentación (intensidad, voltaje).</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Temperatura máxima asignada (</w:t>
      </w:r>
      <w:proofErr w:type="spellStart"/>
      <w:r>
        <w:rPr>
          <w:rFonts w:ascii="Palatino Linotype" w:eastAsia="Palatino Linotype" w:hAnsi="Palatino Linotype" w:cs="Palatino Linotype"/>
          <w:sz w:val="21"/>
          <w:szCs w:val="21"/>
        </w:rPr>
        <w:t>tc</w:t>
      </w:r>
      <w:proofErr w:type="spellEnd"/>
      <w:r>
        <w:rPr>
          <w:rFonts w:ascii="Palatino Linotype" w:eastAsia="Palatino Linotype" w:hAnsi="Palatino Linotype" w:cs="Palatino Linotype"/>
          <w:sz w:val="21"/>
          <w:szCs w:val="21"/>
        </w:rPr>
        <w:t>) de los componentes.</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Distribución fotométrica, flujo luminoso total emitido por luminaria y flujo luminoso emitido al hemisferio superior en posición de trabajo.</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Rendimiento de la luminaria.</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Vida útil estimada para la luminaria en horas de funcionamiento.</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r>
        <w:rPr>
          <w:rFonts w:ascii="Palatino Linotype" w:eastAsia="Palatino Linotype" w:hAnsi="Palatino Linotype" w:cs="Palatino Linotype"/>
          <w:sz w:val="21"/>
          <w:szCs w:val="21"/>
        </w:rPr>
        <w:tab/>
        <w:t>- Grafico sobre el mantenimiento lumínico a lo largo de la vida de la luminaria.</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Rango de temperaturas ambiente de funcionamiento sin alteración de sus parámetros fundamentales, en función de la temperatura ambiente exterior.</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Características de emisión luminosa de la luminaria en función de la temperatura ambiente exterior.</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Grado de hermeticidad de la luminaria, detallando el del grupo óptico y el del compartimiento de los accesorios eléctricos, en el caso de que sean diferentes.</w:t>
      </w:r>
    </w:p>
    <w:p w:rsidR="00226E05" w:rsidRDefault="003A6503">
      <w:pPr>
        <w:tabs>
          <w:tab w:val="left" w:pos="567"/>
          <w:tab w:val="left" w:pos="993"/>
          <w:tab w:val="left" w:pos="1418"/>
          <w:tab w:val="left" w:pos="1843"/>
          <w:tab w:val="left" w:pos="7110"/>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Grafica de la distribución espectral de la luminaria.</w:t>
      </w:r>
      <w:r>
        <w:rPr>
          <w:rFonts w:ascii="Palatino Linotype" w:eastAsia="Palatino Linotype" w:hAnsi="Palatino Linotype" w:cs="Palatino Linotype"/>
          <w:sz w:val="21"/>
          <w:szCs w:val="21"/>
        </w:rPr>
        <w:tab/>
      </w:r>
    </w:p>
    <w:p w:rsidR="00226E05" w:rsidRDefault="003A6503">
      <w:pPr>
        <w:tabs>
          <w:tab w:val="left" w:pos="567"/>
          <w:tab w:val="left" w:pos="993"/>
          <w:tab w:val="left" w:pos="1418"/>
          <w:tab w:val="left" w:pos="1843"/>
          <w:tab w:val="left" w:pos="7110"/>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Temperatura de color.</w:t>
      </w:r>
    </w:p>
    <w:p w:rsidR="00226E05" w:rsidRDefault="00226E05">
      <w:pPr>
        <w:tabs>
          <w:tab w:val="left" w:pos="567"/>
          <w:tab w:val="left" w:pos="993"/>
          <w:tab w:val="left" w:pos="1418"/>
          <w:tab w:val="left" w:pos="1843"/>
        </w:tabs>
        <w:jc w:val="both"/>
        <w:rPr>
          <w:rFonts w:ascii="Palatino Linotype" w:eastAsia="Palatino Linotype" w:hAnsi="Palatino Linotype" w:cs="Palatino Linotype"/>
          <w:color w:val="FF0000"/>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Si se presentara una propuesta con luminarias distintas a las contempladas en proyecto, deberá realizarse un estudio lumínico con al menos las secciones descritas en el mismo donde se verifique que los resultados son al menos iguales que los planteados. Este estudio deberá entregarse en formato </w:t>
      </w:r>
      <w:proofErr w:type="spellStart"/>
      <w:r>
        <w:rPr>
          <w:rFonts w:ascii="Palatino Linotype" w:eastAsia="Palatino Linotype" w:hAnsi="Palatino Linotype" w:cs="Palatino Linotype"/>
          <w:sz w:val="21"/>
          <w:szCs w:val="21"/>
        </w:rPr>
        <w:t>pdf</w:t>
      </w:r>
      <w:proofErr w:type="spellEnd"/>
      <w:r>
        <w:rPr>
          <w:rFonts w:ascii="Palatino Linotype" w:eastAsia="Palatino Linotype" w:hAnsi="Palatino Linotype" w:cs="Palatino Linotype"/>
          <w:sz w:val="21"/>
          <w:szCs w:val="21"/>
        </w:rPr>
        <w:t xml:space="preserve"> y también en formato digital editable mediante software de cálculo </w:t>
      </w:r>
      <w:proofErr w:type="spellStart"/>
      <w:r>
        <w:rPr>
          <w:rFonts w:ascii="Palatino Linotype" w:eastAsia="Palatino Linotype" w:hAnsi="Palatino Linotype" w:cs="Palatino Linotype"/>
          <w:sz w:val="21"/>
          <w:szCs w:val="21"/>
        </w:rPr>
        <w:t>Dialux</w:t>
      </w:r>
      <w:proofErr w:type="spellEnd"/>
      <w:r>
        <w:rPr>
          <w:rFonts w:ascii="Palatino Linotype" w:eastAsia="Palatino Linotype" w:hAnsi="Palatino Linotype" w:cs="Palatino Linotype"/>
          <w:sz w:val="21"/>
          <w:szCs w:val="21"/>
        </w:rPr>
        <w:t xml:space="preserve"> o similar.</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Todas las luminarias propuestas deben cumplir con los estándares de calidad, requisitos mínimos y ensayos obligatorios requeridos por la normativa vigente y por los protocolos y documentos técnicos de IDAE y CEI.</w:t>
      </w:r>
    </w:p>
    <w:p w:rsidR="00226E05" w:rsidRDefault="00226E05">
      <w:pPr>
        <w:tabs>
          <w:tab w:val="left" w:pos="567"/>
          <w:tab w:val="left" w:pos="993"/>
          <w:tab w:val="left" w:pos="1418"/>
          <w:tab w:val="left" w:pos="1843"/>
        </w:tabs>
        <w:jc w:val="both"/>
        <w:rPr>
          <w:rFonts w:ascii="Palatino Linotype" w:eastAsia="Palatino Linotype" w:hAnsi="Palatino Linotype" w:cs="Palatino Linotype"/>
          <w:color w:val="FF0000"/>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No se podrá incluir en este sobre referencia alguna de la oferta económica o criterios cuantificables mediante fórmulas.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center"/>
        <w:rPr>
          <w:rFonts w:ascii="Palatino Linotype" w:eastAsia="Palatino Linotype" w:hAnsi="Palatino Linotype" w:cs="Palatino Linotype"/>
          <w:b/>
          <w:i/>
          <w:sz w:val="21"/>
          <w:szCs w:val="21"/>
        </w:rPr>
      </w:pPr>
      <w:r>
        <w:rPr>
          <w:rFonts w:ascii="Palatino Linotype" w:eastAsia="Palatino Linotype" w:hAnsi="Palatino Linotype" w:cs="Palatino Linotype"/>
          <w:b/>
          <w:i/>
          <w:sz w:val="21"/>
          <w:szCs w:val="21"/>
        </w:rPr>
        <w:t>Sobre número 3. "Documentación relativa a criterios cuantificables mediante fórmulas”.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este sobre se incluirá por la entidad licitadora la oferta económica y la relativa a los criterios cuantificables mediante fórmulas. En concreto, además de la oferta económica se valorará:</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a) El compromiso de formalización de una garantía complementaria, consistente en la extensión de la duración del plazo de garantía establecido en el pliego.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b) El porcentaje respecto del precio de adjudicación que se subcontratará con Centros Especiales de Empleo y/o Empresas de Inserción.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c) Compromiso de realización de, al menos, 8,00 horas de acciones de sensibilización y formación impartidas por una persona experta a la plantilla que ejecutará el contrato acerca de los derechos en materia de igualdad y conciliación reconocidos en la normativa vigente y convenio correspondiente.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d) Plazo de entrega.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propuesta se hará de acuerdo con el modelo incluido en el Anexo III.</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proposición deberá estar firmada por la entidad licitadora o persona que la represente. En el caso de licitaciones en participación conjunta, irá firmada por la totalidad de sus componentes o por su representante.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10.- OFERTA ANORMALMENTE BAJA.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Se considerarán ofertan anormalmente bajas aquéllas que sean inferiores en un 20 % o más a la media de las ofertas presentadas. En este caso se estará a lo dispuesto en el artículo 98 de la Ley Foral 2/2018, de 13 de abril, de Contratos Públicos.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Cuando la parte adjudicataria hubiera presentado una oferta que pueda presumirse anormalmente baja, ésta deberá constituir una fianza de hasta el 50 por 100 del precio de adjudicación, sin perjuicio de su devolución o cancelación parcial antes de la recepción del contrato, previo informe de la unidad gestora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11.- MESA DE CONTRATACIÓN Y APERTURA DE LAS PROPOSICIONES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Mesa de Contratación, que realizará la apertura de las proposiciones y las demás funciones encomendadas por la Ley, estará constituida por las siguientes personas: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Presidente: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3A6503"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 xml:space="preserve">Presidente del Concejo de Arre: Don Juan Mari </w:t>
      </w:r>
      <w:proofErr w:type="spellStart"/>
      <w:r>
        <w:rPr>
          <w:rFonts w:ascii="Palatino Linotype" w:eastAsia="Palatino Linotype" w:hAnsi="Palatino Linotype" w:cs="Palatino Linotype"/>
          <w:sz w:val="21"/>
          <w:szCs w:val="21"/>
        </w:rPr>
        <w:t>Ulazia</w:t>
      </w:r>
      <w:proofErr w:type="spellEnd"/>
      <w:r>
        <w:rPr>
          <w:rFonts w:ascii="Palatino Linotype" w:eastAsia="Palatino Linotype" w:hAnsi="Palatino Linotype" w:cs="Palatino Linotype"/>
          <w:sz w:val="21"/>
          <w:szCs w:val="21"/>
        </w:rPr>
        <w:t xml:space="preserve"> </w:t>
      </w:r>
      <w:proofErr w:type="spellStart"/>
      <w:r>
        <w:rPr>
          <w:rFonts w:ascii="Palatino Linotype" w:eastAsia="Palatino Linotype" w:hAnsi="Palatino Linotype" w:cs="Palatino Linotype"/>
          <w:sz w:val="21"/>
          <w:szCs w:val="21"/>
        </w:rPr>
        <w:t>Martiarena</w:t>
      </w:r>
      <w:proofErr w:type="spellEnd"/>
    </w:p>
    <w:p w:rsidR="003A6503"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Vocales: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Vocal 1: Lucio Alberto Sainz</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Vocal 2: D. David Gordejuela Gutiérrez, redactor del proyecto.</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Secretario: Joaquín Lizarraga Sanz, Secretario/interventor del Ayuntamiento de Ezcabarte.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Mesa de Contratación, en acto privado, calificará previamente la documentación administrativa presentada en tiempo y forma por las entidades licitadoras en el sobre n° 1, con el fin de comprobar que reúnen las condiciones para ser admitidas.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 PLENA. Si transcurre el plazo de subsanación no se ha completado o subsanada la información requerida, se procederá a su exclusión en el procedimiento, dejando constancia documental de esta circunstancia.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Calificada la documentación administrativa, la Mesa de Contratación procederá a la apertura del Sobre nº 2, “Documentación relativa a criterios no cuantificables mediante fórmulas”, de las empresas admitidas y a su valoración conforme a los criterios de adjudicación debidamente ponderados según los criterios que se señalan.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Mesa de Contratación, en acto público, al que podrá accederse a través de PLENA, en la fecha y hora que se señale en el correspondiente anuncio de licitación publicado con una antelación mínima de tres días en el Portal de Contratación de Navarra, publicará en la plataforma el resultado de la calificación de la documentación presentada por quienes liciten, indicando las entidades o personas licitadoras admitidas, las inadmitidas y las causas de la inadmisión, y la valoración efectuada de las propuestas técnicas.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Seguidamente se abrirán las ofertas económicas, siendo público el contenido de las mismas.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Mesa de Contratación comunicará a la entidad licitadora en quien recaiga la propuesta de adjudicación.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12.- CRITERIOS DE ADJUDICACIÓN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Las empresas redactarán su propuesta utilizando datos desagregados por sexo, siempre que introduzcan datos sobre personas.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Para la selección de la empresa adjudicataria se valorarán las proposiciones de la siguiente forma: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ab/>
        <w:t>1. Adecuación de la propuesta a la realidad de la instalación: hasta 20 puntos.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Se valorará la adecuación de la propuesta realizada a las circunstancias de la actuación, valorando para ello los siguientes apartados: conocimiento de la instalación, eficiencia energética, seguridad eléctrica y estética integrada con el entorno.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highlight w:val="yellow"/>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todo caso, se deberán mantener los niveles de luz de los proyectos y se adjuntarán los cálculos de luz que justifiquen la posible mejora de la eficiencia ofertada.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ab/>
        <w:t>2.- Criterios sociales: Hasta 10 puntos.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 </w:t>
      </w:r>
      <w:r>
        <w:rPr>
          <w:rFonts w:ascii="Palatino Linotype" w:eastAsia="Palatino Linotype" w:hAnsi="Palatino Linotype" w:cs="Palatino Linotype"/>
          <w:b/>
          <w:sz w:val="21"/>
          <w:szCs w:val="21"/>
        </w:rPr>
        <w:t xml:space="preserve">Se valorará con hasta 5 puntos a las empresas licitadoras que se comprometan a subcontratar un porcentaje del precio de adjudicación del contrato a través de Centros de Inserción </w:t>
      </w:r>
      <w:proofErr w:type="spellStart"/>
      <w:r>
        <w:rPr>
          <w:rFonts w:ascii="Palatino Linotype" w:eastAsia="Palatino Linotype" w:hAnsi="Palatino Linotype" w:cs="Palatino Linotype"/>
          <w:b/>
          <w:sz w:val="21"/>
          <w:szCs w:val="21"/>
        </w:rPr>
        <w:t>Sociolaboral</w:t>
      </w:r>
      <w:proofErr w:type="spellEnd"/>
      <w:r>
        <w:rPr>
          <w:rFonts w:ascii="Palatino Linotype" w:eastAsia="Palatino Linotype" w:hAnsi="Palatino Linotype" w:cs="Palatino Linotype"/>
          <w:b/>
          <w:sz w:val="21"/>
          <w:szCs w:val="21"/>
        </w:rPr>
        <w:t xml:space="preserve"> y/o Centros Especiales de Empleo</w:t>
      </w:r>
      <w:r>
        <w:rPr>
          <w:rFonts w:ascii="Palatino Linotype" w:eastAsia="Palatino Linotype" w:hAnsi="Palatino Linotype" w:cs="Palatino Linotype"/>
          <w:sz w:val="21"/>
          <w:szCs w:val="21"/>
        </w:rPr>
        <w:t xml:space="preserve">. Se asignará 1 punto a quien ofrezca la subcontratación en, al menos, un 5 por 100 del precio de adjudicación; 2 puntos a quien ofrezca subcontratación por, al menos, un 10 por 100 del precio de adjudicación; y 5 </w:t>
      </w:r>
      <w:proofErr w:type="gramStart"/>
      <w:r>
        <w:rPr>
          <w:rFonts w:ascii="Palatino Linotype" w:eastAsia="Palatino Linotype" w:hAnsi="Palatino Linotype" w:cs="Palatino Linotype"/>
          <w:sz w:val="21"/>
          <w:szCs w:val="21"/>
        </w:rPr>
        <w:t>puntos  a</w:t>
      </w:r>
      <w:proofErr w:type="gramEnd"/>
      <w:r>
        <w:rPr>
          <w:rFonts w:ascii="Palatino Linotype" w:eastAsia="Palatino Linotype" w:hAnsi="Palatino Linotype" w:cs="Palatino Linotype"/>
          <w:sz w:val="21"/>
          <w:szCs w:val="21"/>
        </w:rPr>
        <w:t xml:space="preserve"> quien ofrezca subcontratar, al menos, un 15 por 100 del precio de adjudicación.</w:t>
      </w:r>
    </w:p>
    <w:p w:rsidR="00226E05" w:rsidRDefault="00226E05">
      <w:pPr>
        <w:tabs>
          <w:tab w:val="left" w:pos="567"/>
          <w:tab w:val="left" w:pos="993"/>
          <w:tab w:val="left" w:pos="1418"/>
          <w:tab w:val="left" w:pos="1843"/>
        </w:tabs>
        <w:ind w:left="567"/>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Si no se aporta en el sobre nº 3 el documento contractual suscrito con tales centros, en el que se especifiquen de forma expresa las partidas correspondientes del proyecto que son objeto de subcontratación en caso de que la oferta resultase adjudicataria, se valorará la oferta con 0 (cero) puntos en este apartado.</w:t>
      </w:r>
    </w:p>
    <w:p w:rsidR="00226E05" w:rsidRDefault="00226E05">
      <w:pPr>
        <w:tabs>
          <w:tab w:val="left" w:pos="567"/>
          <w:tab w:val="left" w:pos="993"/>
          <w:tab w:val="left" w:pos="1418"/>
          <w:tab w:val="left" w:pos="1843"/>
        </w:tabs>
        <w:ind w:left="567"/>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 </w:t>
      </w:r>
      <w:r>
        <w:rPr>
          <w:rFonts w:ascii="Palatino Linotype" w:eastAsia="Palatino Linotype" w:hAnsi="Palatino Linotype" w:cs="Palatino Linotype"/>
          <w:b/>
          <w:sz w:val="21"/>
          <w:szCs w:val="21"/>
        </w:rPr>
        <w:t>Se valorará con hasta 5 puntos la incorporación por parte de las empresas concurrentes del compromiso de realización o de la justificación de haber realizado durante los dos años anteriores a la fecha de presentación de las ofertas</w:t>
      </w:r>
      <w:r>
        <w:rPr>
          <w:rFonts w:ascii="Palatino Linotype" w:eastAsia="Palatino Linotype" w:hAnsi="Palatino Linotype" w:cs="Palatino Linotype"/>
          <w:sz w:val="21"/>
          <w:szCs w:val="21"/>
        </w:rPr>
        <w:t>, al menos 8,00 horas de acciones de sensibilización y formación a la plantilla que ejecutará el contrato acerca de los derechos en materia de igualdad y de conciliación reconocidos en la normativa vigente y convenio correspondiente. La valoración se efectuará en función del número de horas dedicadas a la acción. Se asignará 1 punto a quien oferte hasta 8 horas de formación; 2 puntos a quien ofrezca entre 9 y 16 horas de formación; y 5 puntos a quien oferte entre 17 y 25 horas de formación.</w:t>
      </w:r>
    </w:p>
    <w:p w:rsidR="00226E05" w:rsidRDefault="00226E05">
      <w:pPr>
        <w:tabs>
          <w:tab w:val="left" w:pos="567"/>
          <w:tab w:val="left" w:pos="993"/>
          <w:tab w:val="left" w:pos="1418"/>
          <w:tab w:val="left" w:pos="1843"/>
        </w:tabs>
        <w:ind w:left="567"/>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cumplimiento del criterio se justificará mediante la presentación de certificados, diplomas de aprovechamiento y/o facturas de empresas o profesionales especializados. Además, se aportarán los contratos correspondientes suscritos con el personal adscrito a la ejecución del contrato. Por último, se incorporará una declaración firmada por persona debidamente apoderada, en la que se declare que las personas que han recibido la formación están adscritas a la ejecución del presente contrato. La documentación justificativa deberá presentarse en el plazo de 1 MES desde la formalización del contrato. Si no se justificara el cumplimiento del criterio, y la empresa adjudicataria hubiera obtenido puntuación en el mismo, procederá la imposición de las sanciones previstas en el Pliego.</w:t>
      </w:r>
    </w:p>
    <w:p w:rsidR="00226E05" w:rsidRDefault="00226E05">
      <w:pPr>
        <w:tabs>
          <w:tab w:val="left" w:pos="567"/>
          <w:tab w:val="left" w:pos="993"/>
          <w:tab w:val="left" w:pos="1418"/>
          <w:tab w:val="left" w:pos="1843"/>
        </w:tabs>
        <w:ind w:left="567"/>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ab/>
        <w:t>3.- Oferta económica: hasta 50 puntos.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valoración de las ofertas económicas se realizará aplicando la fórmula que se indica. Se utilizarán como máximo dos decimales.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tbl>
      <w:tblPr>
        <w:tblStyle w:val="a1"/>
        <w:tblW w:w="5134"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614"/>
        <w:gridCol w:w="2520"/>
      </w:tblGrid>
      <w:tr w:rsidR="00226E05">
        <w:trPr>
          <w:jc w:val="center"/>
        </w:trPr>
        <w:tc>
          <w:tcPr>
            <w:tcW w:w="2614" w:type="dxa"/>
            <w:vMerge w:val="restart"/>
            <w:vAlign w:val="center"/>
          </w:tcPr>
          <w:p w:rsidR="00226E05" w:rsidRDefault="003A6503">
            <w:pPr>
              <w:tabs>
                <w:tab w:val="left" w:pos="567"/>
                <w:tab w:val="left" w:pos="993"/>
                <w:tab w:val="left" w:pos="1418"/>
                <w:tab w:val="left" w:pos="1843"/>
              </w:tabs>
              <w:jc w:val="center"/>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Puntuación Oferta = 50 x</w:t>
            </w:r>
          </w:p>
        </w:tc>
        <w:tc>
          <w:tcPr>
            <w:tcW w:w="2520" w:type="dxa"/>
            <w:tcBorders>
              <w:bottom w:val="single" w:sz="4" w:space="0" w:color="000000"/>
            </w:tcBorders>
          </w:tcPr>
          <w:p w:rsidR="00226E05" w:rsidRDefault="003A6503">
            <w:pPr>
              <w:tabs>
                <w:tab w:val="left" w:pos="567"/>
                <w:tab w:val="left" w:pos="993"/>
                <w:tab w:val="left" w:pos="1418"/>
                <w:tab w:val="left" w:pos="1843"/>
              </w:tabs>
              <w:jc w:val="center"/>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Precio mínimo ofertado</w:t>
            </w:r>
          </w:p>
        </w:tc>
      </w:tr>
      <w:tr w:rsidR="00226E05">
        <w:trPr>
          <w:jc w:val="center"/>
        </w:trPr>
        <w:tc>
          <w:tcPr>
            <w:tcW w:w="2614" w:type="dxa"/>
            <w:vMerge/>
            <w:vAlign w:val="center"/>
          </w:tcPr>
          <w:p w:rsidR="00226E05" w:rsidRDefault="00226E05">
            <w:pPr>
              <w:widowControl w:val="0"/>
              <w:pBdr>
                <w:top w:val="nil"/>
                <w:left w:val="nil"/>
                <w:bottom w:val="nil"/>
                <w:right w:val="nil"/>
                <w:between w:val="nil"/>
              </w:pBdr>
              <w:spacing w:line="276" w:lineRule="auto"/>
              <w:rPr>
                <w:rFonts w:ascii="Palatino Linotype" w:eastAsia="Palatino Linotype" w:hAnsi="Palatino Linotype" w:cs="Palatino Linotype"/>
                <w:sz w:val="21"/>
                <w:szCs w:val="21"/>
              </w:rPr>
            </w:pPr>
          </w:p>
        </w:tc>
        <w:tc>
          <w:tcPr>
            <w:tcW w:w="2520" w:type="dxa"/>
            <w:tcBorders>
              <w:top w:val="single" w:sz="4" w:space="0" w:color="000000"/>
            </w:tcBorders>
          </w:tcPr>
          <w:p w:rsidR="00226E05" w:rsidRDefault="003A6503">
            <w:pPr>
              <w:tabs>
                <w:tab w:val="left" w:pos="567"/>
                <w:tab w:val="left" w:pos="993"/>
                <w:tab w:val="left" w:pos="1418"/>
                <w:tab w:val="left" w:pos="1843"/>
              </w:tabs>
              <w:jc w:val="center"/>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Oferta presentada</w:t>
            </w:r>
          </w:p>
        </w:tc>
      </w:tr>
    </w:tbl>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ab/>
        <w:t>4.- Garantías complementarias: Hasta 10 puntos.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Se otorgarán como máximo 10 puntos por el compromiso de formalización de garantía complementaria, consistente en la extensión de la duración del plazo de garantía tanto de las luminarias LED como del instalador. Dicha extensión se deberá expresar en meses, que se entenderán por encima de doce. Se asignará la mayor puntuación (10 puntos) a la propuesta más alta, por encima del plazo mínimo de garantía (60 meses) y O puntos a la extensión del plazo de O meses. Las restantes ofertas se valorarán de forma directamente proporcional según la fórmula: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tbl>
      <w:tblPr>
        <w:tblStyle w:val="a2"/>
        <w:tblW w:w="5637"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759"/>
        <w:gridCol w:w="2878"/>
      </w:tblGrid>
      <w:tr w:rsidR="00226E05">
        <w:trPr>
          <w:jc w:val="center"/>
        </w:trPr>
        <w:tc>
          <w:tcPr>
            <w:tcW w:w="2759" w:type="dxa"/>
            <w:vMerge w:val="restart"/>
            <w:vAlign w:val="center"/>
          </w:tcPr>
          <w:p w:rsidR="00226E05" w:rsidRDefault="003A6503">
            <w:pPr>
              <w:tabs>
                <w:tab w:val="left" w:pos="567"/>
                <w:tab w:val="left" w:pos="993"/>
                <w:tab w:val="left" w:pos="1418"/>
                <w:tab w:val="left" w:pos="1843"/>
              </w:tabs>
              <w:jc w:val="center"/>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Puntos conseguidos = 10 x</w:t>
            </w:r>
          </w:p>
        </w:tc>
        <w:tc>
          <w:tcPr>
            <w:tcW w:w="2878" w:type="dxa"/>
            <w:tcBorders>
              <w:bottom w:val="single" w:sz="4" w:space="0" w:color="000000"/>
            </w:tcBorders>
          </w:tcPr>
          <w:p w:rsidR="00226E05" w:rsidRDefault="003A6503">
            <w:pPr>
              <w:tabs>
                <w:tab w:val="left" w:pos="567"/>
                <w:tab w:val="left" w:pos="993"/>
                <w:tab w:val="left" w:pos="1418"/>
                <w:tab w:val="left" w:pos="1843"/>
              </w:tabs>
              <w:jc w:val="center"/>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Oferta de meses extra</w:t>
            </w:r>
          </w:p>
        </w:tc>
      </w:tr>
      <w:tr w:rsidR="00226E05">
        <w:trPr>
          <w:jc w:val="center"/>
        </w:trPr>
        <w:tc>
          <w:tcPr>
            <w:tcW w:w="2759" w:type="dxa"/>
            <w:vMerge/>
            <w:vAlign w:val="center"/>
          </w:tcPr>
          <w:p w:rsidR="00226E05" w:rsidRDefault="00226E05">
            <w:pPr>
              <w:widowControl w:val="0"/>
              <w:pBdr>
                <w:top w:val="nil"/>
                <w:left w:val="nil"/>
                <w:bottom w:val="nil"/>
                <w:right w:val="nil"/>
                <w:between w:val="nil"/>
              </w:pBdr>
              <w:spacing w:line="276" w:lineRule="auto"/>
              <w:rPr>
                <w:rFonts w:ascii="Palatino Linotype" w:eastAsia="Palatino Linotype" w:hAnsi="Palatino Linotype" w:cs="Palatino Linotype"/>
                <w:sz w:val="21"/>
                <w:szCs w:val="21"/>
              </w:rPr>
            </w:pPr>
          </w:p>
        </w:tc>
        <w:tc>
          <w:tcPr>
            <w:tcW w:w="2878" w:type="dxa"/>
            <w:tcBorders>
              <w:top w:val="single" w:sz="4" w:space="0" w:color="000000"/>
            </w:tcBorders>
          </w:tcPr>
          <w:p w:rsidR="00226E05" w:rsidRDefault="003A6503">
            <w:pPr>
              <w:tabs>
                <w:tab w:val="left" w:pos="567"/>
                <w:tab w:val="left" w:pos="993"/>
                <w:tab w:val="left" w:pos="1418"/>
                <w:tab w:val="left" w:pos="1843"/>
              </w:tabs>
              <w:jc w:val="center"/>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Mejor oferta de meses extra</w:t>
            </w:r>
          </w:p>
        </w:tc>
      </w:tr>
    </w:tbl>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xml:space="preserve">No se valorará ninguna ampliación de garantía que no venga acompañada del compromiso expreso de garantía del fabricante de las luminarias.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b/>
          <w:sz w:val="21"/>
          <w:szCs w:val="21"/>
        </w:rPr>
        <w:tab/>
        <w:t>5.- Plazo de ejecución: Hasta 10 puntos.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hanging="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Se valora este apartado, asignando la mínima puntuación a la oferta que proponga 30 días como plazo de finalización de las obras y se asigna la puntuación de las restantes ofertas, de forma directamente proporcional con relación al menor número de días ofertado.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13.- CRITERIOS DE DESEMPATE.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Si se produce empate entre dos o más ofertas se aplicarán los siguientes criterios de desempate, por el siguiente orden: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1) El menor porcentaje de trabajadores eventuales, siempre que éste no sea superior al 10%.</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2) El mayor porcentaje de trabajadores fijos con discapacidad igual o superior al 33%, siempre que la empresa o profesional tenga en plantilla un porcentaje superior al 2% de trabajadores con discapacidad, en el momento de la acreditación de su solvencia.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Si persiste el empate tras la aplicación de los criterios anteriores éste se resolverá por sorteo.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Para la aplicación de los criterios de desempate se requerirá a las entidades licitadoras afectadas para que en el plazo de cinco días naturales presente la documentación pertinente.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14.- APORTACION DE LA DOCUMENTACION PARA ACREDITAR LA CAPACIDAD Y LA SOLVENCIA POR LA PARTE ADJUDICATARIA.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el plazo máximo de 7 días desde que la Mesa de Contratación comunique a la persona a cuyo favor vaya a recaer la propuesta de adjudicación dicha circunstancia, la persona que vaya a resultar propuesta como adjudicataria deberá presentar, a través de PLENA, la siguiente documentación: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1.</w:t>
      </w:r>
      <w:r>
        <w:rPr>
          <w:rFonts w:ascii="Palatino Linotype" w:eastAsia="Palatino Linotype" w:hAnsi="Palatino Linotype" w:cs="Palatino Linotype"/>
          <w:sz w:val="21"/>
          <w:szCs w:val="21"/>
        </w:rPr>
        <w:tab/>
        <w:t>Documento o documentos que acrediten la personalidad de la entidad licitadora y la representación, en su caso, quien firma la proposición, consistentes en: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1.1.- Documento Nacional de Identidad (o documento que lo sustituya reglamentariamente) en el caso de personas físicas o empresas individuales.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1.2.- Si la entidad licitadora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acta fundacional en el que constaren las normas por las que se regula su actividad, inscritos, en su caso, en el correspondiente Registro oficial.</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xml:space="preserve">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1.3.- Cuando la oferta se presente por entidades licitadoras que participen conjuntamente, cada una de ellas acreditará su personalidad y capacidad de obrar, debiendo indicar en documento privado los nombres y circunstancias de las empresas que la suscriben, la participación de cada una de ellas y designar la persona o entidad que durante la vigencia del contrato ha de ostentar la plena representación de todas frente a la Administración. El citado documento deberá estar firmado por cada una de las entidades licitadoras agrupadas o por sus respectivos representantes.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La responsabilidad será siempre solidaria, e indivisible el conjunto de obligaciones dimanantes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2.</w:t>
      </w:r>
      <w:r>
        <w:rPr>
          <w:rFonts w:ascii="Palatino Linotype" w:eastAsia="Palatino Linotype" w:hAnsi="Palatino Linotype" w:cs="Palatino Linotype"/>
          <w:sz w:val="21"/>
          <w:szCs w:val="21"/>
        </w:rPr>
        <w:tab/>
        <w:t>Número de Identificación Fiscal de la entidad. Si la oferta se presenta por empresas que participen conjuntamente, el N.I.F. será aportado por cada una de ellas.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3.</w:t>
      </w:r>
      <w:r>
        <w:rPr>
          <w:rFonts w:ascii="Palatino Linotype" w:eastAsia="Palatino Linotype" w:hAnsi="Palatino Linotype" w:cs="Palatino Linotype"/>
          <w:sz w:val="21"/>
          <w:szCs w:val="21"/>
        </w:rPr>
        <w:tab/>
        <w:t xml:space="preserve">Documentación acreditativa de la solvencia económica y </w:t>
      </w:r>
      <w:proofErr w:type="gramStart"/>
      <w:r>
        <w:rPr>
          <w:rFonts w:ascii="Palatino Linotype" w:eastAsia="Palatino Linotype" w:hAnsi="Palatino Linotype" w:cs="Palatino Linotype"/>
          <w:sz w:val="21"/>
          <w:szCs w:val="21"/>
        </w:rPr>
        <w:t>financiera</w:t>
      </w:r>
      <w:proofErr w:type="gramEnd"/>
      <w:r>
        <w:rPr>
          <w:rFonts w:ascii="Palatino Linotype" w:eastAsia="Palatino Linotype" w:hAnsi="Palatino Linotype" w:cs="Palatino Linotype"/>
          <w:sz w:val="21"/>
          <w:szCs w:val="21"/>
        </w:rPr>
        <w:t xml:space="preserve"> así como técnica y profesional en los términos exigidos en el presente pliego.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4.</w:t>
      </w:r>
      <w:r>
        <w:rPr>
          <w:rFonts w:ascii="Palatino Linotype" w:eastAsia="Palatino Linotype" w:hAnsi="Palatino Linotype" w:cs="Palatino Linotype"/>
          <w:sz w:val="21"/>
          <w:szCs w:val="21"/>
        </w:rPr>
        <w:tab/>
        <w:t xml:space="preserve">Declaración responsable de la entidad licitadora en la que haga constar que se halla al corriente del cumplimiento de las obligaciones de seguridad, salud en el trabajo y prevención de riesgos laborales (incluido </w:t>
      </w:r>
      <w:proofErr w:type="gramStart"/>
      <w:r>
        <w:rPr>
          <w:rFonts w:ascii="Palatino Linotype" w:eastAsia="Palatino Linotype" w:hAnsi="Palatino Linotype" w:cs="Palatino Linotype"/>
          <w:sz w:val="21"/>
          <w:szCs w:val="21"/>
        </w:rPr>
        <w:t>el  protocolo</w:t>
      </w:r>
      <w:proofErr w:type="gramEnd"/>
      <w:r>
        <w:rPr>
          <w:rFonts w:ascii="Palatino Linotype" w:eastAsia="Palatino Linotype" w:hAnsi="Palatino Linotype" w:cs="Palatino Linotype"/>
          <w:sz w:val="21"/>
          <w:szCs w:val="21"/>
        </w:rPr>
        <w:t xml:space="preserve"> de actuación en caso de acoso sexual o acoso por razón de sexo) impuestas por las disposiciones vigentes, así como, en su caso, una copia del Plan de Igualdad, si estuviera obligada a ello en virtud de la Ley 3/2007 para la igualdad efectiva de hombres y mujeres.</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xml:space="preserve"> </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el caso de ofertas presentadas por uniones de empresas que se constituyan temporalmente al efecto o por entidades licitadoras que participen conjuntamente, cada una de las integrantes de la agrupación deberá presentar la declaración señalada.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5.</w:t>
      </w:r>
      <w:r>
        <w:rPr>
          <w:rFonts w:ascii="Palatino Linotype" w:eastAsia="Palatino Linotype" w:hAnsi="Palatino Linotype" w:cs="Palatino Linotype"/>
          <w:sz w:val="21"/>
          <w:szCs w:val="21"/>
        </w:rPr>
        <w:tab/>
        <w:t>Certificados positivos expedidos por las Haciendas que correspondan (Hacienda Foral de Navarra y/o Hacienda Estatal y/o Haciendas Forales) y por la Tesorería General de la Seguridad Social acreditativos, respectivamente, de que la entidad licitadora se halla al corriente en el cumplimiento de sus obligaciones tributarias y con la Seguridad Social. Dichos certificados deberán estar expedidos con una antelación no superior a seis meses desde la fecha de expiración del plazo de presentación de proposiciones.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el caso de ofertas presentadas por uniones de empresas que se constituyan temporalmente al efecto o por entidades licitadoras que participen conjuntamente, cada una de las integrantes de la agrupación deberá presentar los certificados señalados.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6.</w:t>
      </w:r>
      <w:r>
        <w:rPr>
          <w:rFonts w:ascii="Palatino Linotype" w:eastAsia="Palatino Linotype" w:hAnsi="Palatino Linotype" w:cs="Palatino Linotype"/>
          <w:sz w:val="21"/>
          <w:szCs w:val="21"/>
        </w:rPr>
        <w:tab/>
        <w:t>Si la entidad licitadora pretende subcontratar con Centros Especiales de Empleo o Centros de Inserción Social parte de las prestaciones objeto del contrato, deberá aportar una relación exhaustiva de las empresas subcontratistas y un documento original que demuestre la existencia de un compromiso formal con tales empresas especificando la parte del contrato que va a ser objeto de subcontratación con cada empresa.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7.</w:t>
      </w:r>
      <w:r>
        <w:rPr>
          <w:rFonts w:ascii="Palatino Linotype" w:eastAsia="Palatino Linotype" w:hAnsi="Palatino Linotype" w:cs="Palatino Linotype"/>
          <w:sz w:val="21"/>
          <w:szCs w:val="21"/>
        </w:rPr>
        <w:tab/>
        <w:t xml:space="preserve">Formación en materia de igualdad: Programa de la formación y </w:t>
      </w:r>
      <w:proofErr w:type="spellStart"/>
      <w:r>
        <w:rPr>
          <w:rFonts w:ascii="Palatino Linotype" w:eastAsia="Palatino Linotype" w:hAnsi="Palatino Linotype" w:cs="Palatino Linotype"/>
          <w:sz w:val="21"/>
          <w:szCs w:val="21"/>
        </w:rPr>
        <w:t>curriculum</w:t>
      </w:r>
      <w:proofErr w:type="spellEnd"/>
      <w:r>
        <w:rPr>
          <w:rFonts w:ascii="Palatino Linotype" w:eastAsia="Palatino Linotype" w:hAnsi="Palatino Linotype" w:cs="Palatino Linotype"/>
          <w:sz w:val="21"/>
          <w:szCs w:val="21"/>
        </w:rPr>
        <w:t xml:space="preserve"> de quien diseña e imparte la formación.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8.</w:t>
      </w:r>
      <w:r>
        <w:rPr>
          <w:rFonts w:ascii="Palatino Linotype" w:eastAsia="Palatino Linotype" w:hAnsi="Palatino Linotype" w:cs="Palatino Linotype"/>
          <w:sz w:val="21"/>
          <w:szCs w:val="21"/>
        </w:rPr>
        <w:tab/>
        <w:t xml:space="preserve">Certificado de estar dado de alta en el Impuesto de Actividades Económicas y al corriente del mismo para entidades licitadoras domiciliadas fuera de Arre. Si la licitadora se halla domiciliada en el Concejo de Arre, la comprobación de este cumplimiento se realizará de oficio.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falta de aportación de la documentación necesaria en dicho plazo supondrá la exclusión de la entidad licitadora del procedimiento, con el abono por parte de éste de una penalidad equivalente al 5% del importe estimado del contrato e indemnización complementaria de daños y perjuicios en todo lo que exceda dicho porcentaje.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15.- PROPUESTA DE ADJUDICACIÓN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Mesa de Contratación una vez que haya comprobado la documentación presentada, efectuará la propuesta de adjudicación al órgano de contratación. La propuesta señalará el orden de prelación de las entidades que hayan formulado una propuesta admisible, con las puntuaciones obtenidas en aplicación de los criterios de adjudicación.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La propuesta de adjudicación no generará derecho alguno mientras no se apruebe la resolución </w:t>
      </w:r>
      <w:proofErr w:type="gramStart"/>
      <w:r>
        <w:rPr>
          <w:rFonts w:ascii="Palatino Linotype" w:eastAsia="Palatino Linotype" w:hAnsi="Palatino Linotype" w:cs="Palatino Linotype"/>
          <w:sz w:val="21"/>
          <w:szCs w:val="21"/>
        </w:rPr>
        <w:t>de  adjudicación</w:t>
      </w:r>
      <w:proofErr w:type="gramEnd"/>
      <w:r>
        <w:rPr>
          <w:rFonts w:ascii="Palatino Linotype" w:eastAsia="Palatino Linotype" w:hAnsi="Palatino Linotype" w:cs="Palatino Linotype"/>
          <w:sz w:val="21"/>
          <w:szCs w:val="21"/>
        </w:rPr>
        <w:t xml:space="preserve">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16.- ADJUDICACIÓN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1.- Adjudicación. El órgano de contratación dictará resolución adjudicando el contrato en el plazo máximo de un mes a contar desde la apertura pública de la oferta cuantificable con fórmulas. Dicha resolución será motivada y contendrá al menos las razones por las que se han rechazado las ofertas, las características y ventajas de la oferta seleccionada.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2.- Perfección del </w:t>
      </w:r>
      <w:proofErr w:type="gramStart"/>
      <w:r>
        <w:rPr>
          <w:rFonts w:ascii="Palatino Linotype" w:eastAsia="Palatino Linotype" w:hAnsi="Palatino Linotype" w:cs="Palatino Linotype"/>
          <w:sz w:val="21"/>
          <w:szCs w:val="21"/>
        </w:rPr>
        <w:t>contrato.-</w:t>
      </w:r>
      <w:proofErr w:type="gramEnd"/>
      <w:r>
        <w:rPr>
          <w:rFonts w:ascii="Palatino Linotype" w:eastAsia="Palatino Linotype" w:hAnsi="Palatino Linotype" w:cs="Palatino Linotype"/>
          <w:sz w:val="21"/>
          <w:szCs w:val="21"/>
        </w:rPr>
        <w:t xml:space="preserve"> La perfección del contrato tendrá lugar con la adjudicación del mismo. La eficacia del acto de adjudicación quedará suspendida durante el plazo de 10 días naturales contados desde la fecha de remisión de la notificación de la adjudicación. El acto de adjudicación quedará suspendido por la mera interposición de una reclamación en materia de contratación pública hasta el momento en que se resuelva dicha reclamación.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3.- Declaración de </w:t>
      </w:r>
      <w:proofErr w:type="gramStart"/>
      <w:r>
        <w:rPr>
          <w:rFonts w:ascii="Palatino Linotype" w:eastAsia="Palatino Linotype" w:hAnsi="Palatino Linotype" w:cs="Palatino Linotype"/>
          <w:sz w:val="21"/>
          <w:szCs w:val="21"/>
        </w:rPr>
        <w:t>desierto.-</w:t>
      </w:r>
      <w:proofErr w:type="gramEnd"/>
      <w:r>
        <w:rPr>
          <w:rFonts w:ascii="Palatino Linotype" w:eastAsia="Palatino Linotype" w:hAnsi="Palatino Linotype" w:cs="Palatino Linotype"/>
          <w:sz w:val="21"/>
          <w:szCs w:val="21"/>
        </w:rPr>
        <w:t xml:space="preserve"> De conformidad con lo establecido en el artículo 101.5 de la Ley Foral 2/2018, de Contratos Públicos, el órgano de contratación podrá de forma motivada declarar desierto el procedimiento de adjudicación.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4.- Notificación y publicidad de la </w:t>
      </w:r>
      <w:proofErr w:type="gramStart"/>
      <w:r>
        <w:rPr>
          <w:rFonts w:ascii="Palatino Linotype" w:eastAsia="Palatino Linotype" w:hAnsi="Palatino Linotype" w:cs="Palatino Linotype"/>
          <w:sz w:val="21"/>
          <w:szCs w:val="21"/>
        </w:rPr>
        <w:t>adjudicación.-</w:t>
      </w:r>
      <w:proofErr w:type="gramEnd"/>
      <w:r>
        <w:rPr>
          <w:rFonts w:ascii="Palatino Linotype" w:eastAsia="Palatino Linotype" w:hAnsi="Palatino Linotype" w:cs="Palatino Linotype"/>
          <w:sz w:val="21"/>
          <w:szCs w:val="21"/>
        </w:rPr>
        <w:t xml:space="preserve"> La adjudicación, una vez acordada, será notificada a las entidades participantes en la licitación y se publicará en el Portal de Contratación de Navarra de conformidad con lo establecido en el artículo 102 de la Ley Foral.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17.- GARANTÍAS PARA LA FORMALIZACIÓN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Con carácter previo a la formalización del contrato, la parte adjudicataria, depositará a favor del Concejo el 4% del importe de adjudicación (IVA excluido).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La garantía quedará afecta al cumplimiento de las obligaciones de la empresa contratista hasta la finalización del plazo de garantía y, en particular, al pago de las penalidades por </w:t>
      </w:r>
      <w:proofErr w:type="gramStart"/>
      <w:r>
        <w:rPr>
          <w:rFonts w:ascii="Palatino Linotype" w:eastAsia="Palatino Linotype" w:hAnsi="Palatino Linotype" w:cs="Palatino Linotype"/>
          <w:sz w:val="21"/>
          <w:szCs w:val="21"/>
        </w:rPr>
        <w:t>demora</w:t>
      </w:r>
      <w:proofErr w:type="gramEnd"/>
      <w:r>
        <w:rPr>
          <w:rFonts w:ascii="Palatino Linotype" w:eastAsia="Palatino Linotype" w:hAnsi="Palatino Linotype" w:cs="Palatino Linotype"/>
          <w:sz w:val="21"/>
          <w:szCs w:val="21"/>
        </w:rPr>
        <w:t xml:space="preserve"> así como a la reparación de los posibles daños y perjuicios ocasionados por dicha empresa durante la ejecución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Asimismo, dicha garantía podrá ser objeto de incautación en los casos de resolución del contrato por incumplimiento culpable de la empresa contratista, en la cuantía necesaria para cubrir los daños y perjuicios que se hayan acreditado.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garantía se podrá constituir en cualquiera de las formas previstas en el artículo 70.3 de la Ley Foral de Contratos Públicos.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garantía será devuelta de oficio una vez finalizado el periodo de garantía del contrato, previo informe de la unidad gestora de haber cumplido el contrato a satisfacción del Concejo o haberse resuelto sin culpa de la empresa contratista.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18.- FORMALIZACIÓN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contrato se formalizará en documentación administrativa, en el plazo máximo de 15 días naturales contados desde la finalización del plazo de suspensión de la adjudicación.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Con carácter previo, la parte adjudicataria, deberá entregar los siguientes documentos en el plazo máximo de quince días naturales desde la notificación de la adjudicación: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Justificante de haber consignado a favor del Concejo la garantía para el cumplimiento de las obligaciones derivadas del contrato.</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Póliza de seguro y documentación acreditativa del pago de la prima del seguro que cubre los riesgos derivados del proceso de la obra, con un límite mínimo de indemnización por valor igual al presupuesto de licitación.</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En el caso de unión temporal de empresas, las escrituras de constitución de la misma cuya duración será coincidente con la del contrato hasta su extinción y CIF de dicha unión.</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xml:space="preserve">- Dos ejemplares del Plan de Seguridad y Salud en el Trabajo, determinado en el Real Decreto 1627/1997, de 24 de octubre. </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Un ejemplar del protocolo de actuación en caso de acoso sexual y acoso por razón de sexo.</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En caso de tener obligación por Ley 3/2007 para la igualdad efectiva de hombres y mujeres, una copia de dicho Plan y su ejecución en el año 2018.</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Plan de obra actualizado a la fecha de inicio del contrato en la que se indique a la persona responsable del mismo. Deberá mantenerse los plazos y programación de la oferta de acuerdo con lo dispuesto en el pliego.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Si el contrato no se formalizase en plazo por causas imputables a la empresa contratista, el órgano de contratación podrá optar por resolver el contrato, previa audiencia de la interesada, con abono por su parte de una penalidad equivalente al 5% del importe estimado del contrato e indemnización complementaria de daños y perjuicios en todo lo que exceda dicho porcentaje, o bien conceder un nuevo plazo improrrogable.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19.- PLAN DE SEGURIDAD Y SALUD EN EL TRABAJO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empresa contratista deberá presentar el Plan de Seguridad y Salud en el plazo máximo de quince días naturales a contar desde la notificación de la adjudicación y antes de la formalización del contrato y, en su caso, el protocolo de actuación en caso de acoso sexual.</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El plan de seguridad y salud deberá ser aprobado por el órgano de contratación antes del inicio de la obra, con el informe previo de quien se haya asignado para </w:t>
      </w:r>
      <w:proofErr w:type="gramStart"/>
      <w:r>
        <w:rPr>
          <w:rFonts w:ascii="Palatino Linotype" w:eastAsia="Palatino Linotype" w:hAnsi="Palatino Linotype" w:cs="Palatino Linotype"/>
          <w:sz w:val="21"/>
          <w:szCs w:val="21"/>
        </w:rPr>
        <w:t>coordinar  en</w:t>
      </w:r>
      <w:proofErr w:type="gramEnd"/>
      <w:r>
        <w:rPr>
          <w:rFonts w:ascii="Palatino Linotype" w:eastAsia="Palatino Linotype" w:hAnsi="Palatino Linotype" w:cs="Palatino Linotype"/>
          <w:sz w:val="21"/>
          <w:szCs w:val="21"/>
        </w:rPr>
        <w:t xml:space="preserve"> materia de seguridad y salud para la obra, o en su caso, la dirección facultativa.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20.- ACTA DE COMPROBACIÓN DEL REPLANTEO E INICIO DE OBRAS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De conformidad con lo dispuesto en el artículo 167 de la Ley Foral de Contratos Públicos, en el plazo máximo de un mes desde la formalización del contrato se procederá a la comprobación del replanteo de las obras entre los servicios técnicos del Concejo y la empresa contratista, cuyo resultado se formalizará en acta.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Las obras deberán dar comienzo al día siguiente de la formalización del acta de comprobación del replanteo. </w:t>
      </w:r>
    </w:p>
    <w:p w:rsidR="00226E05" w:rsidRDefault="00226E05">
      <w:pPr>
        <w:tabs>
          <w:tab w:val="left" w:pos="567"/>
          <w:tab w:val="left" w:pos="993"/>
          <w:tab w:val="left" w:pos="1418"/>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contrato se ejecutará con estricta sujeción a las presentes cláusulas, a las prescripciones técnicas y al Proyecto que sirven de base al contrato, conforme a las instrucciones que en interpretación técnica sean dadas a la empresa contratista por la dirección facultativa de las obras y, en su caso, la persona responsable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Si las instrucciones fuesen de carácter verbal, deberán ser ratificadas por escrito para su constancia en el expediente.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b/>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21.- PAGO DEL PRECIO Y EXPEDICIÓN DE CERTIFICACIONES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empresa contratista tendrá derecho al abono de la prestación realizada en los términos establecidos en los artículos 152 y siguientes y concordantes de la Ley Foral 2/2018, de 13 de abril, de Contratos Públicos y en el presente Pliego.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Los abonos de estas certificaciones tienen el concepto de pagos a cuenta, a expensas del resultado de la certificación final.</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Concejo deberá abonar a la empresa contratista el precio del contrato en el plazo de treinta días naturales desde la expedición de las certificaciones de obra, sin perjuicio de las reglas contenidas en el artículo 155 de la Ley Foral de Contratos Públicos.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Para el pago sólo se admitirá la presentación de facturas en formato electrónico, a través del Registro del Punto General de Entrada de Facturas Electrónicas (</w:t>
      </w:r>
      <w:proofErr w:type="spellStart"/>
      <w:r>
        <w:rPr>
          <w:rFonts w:ascii="Palatino Linotype" w:eastAsia="Palatino Linotype" w:hAnsi="Palatino Linotype" w:cs="Palatino Linotype"/>
          <w:sz w:val="21"/>
          <w:szCs w:val="21"/>
        </w:rPr>
        <w:t>FACe</w:t>
      </w:r>
      <w:proofErr w:type="spellEnd"/>
      <w:r>
        <w:rPr>
          <w:rFonts w:ascii="Palatino Linotype" w:eastAsia="Palatino Linotype" w:hAnsi="Palatino Linotype" w:cs="Palatino Linotype"/>
          <w:sz w:val="21"/>
          <w:szCs w:val="21"/>
        </w:rPr>
        <w:t>).</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22.- REVISIÓN DE PRECIOS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Según lo establecido en el artículo 109 de la Ley Foral 2/2018 de Contratos Públicos, no ha lugar a la revisión de precios.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23.- EJECUCIÓN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23.1.- La ejecución de las obras objeto de este contrato se realizará con sujeción a lo dispuesto en este pliego de contratación, cláusulas administrativas particulares, y prescripciones técnicas particulares y la oferta del contratista.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De manera particular, se tendrá en cuenta el plan de ejecución de la obra que forme parte de la oferta de la empresa adjudicataria. La jefatura de obra, el encargado o encargada de la obra y la dirección técnica y facultativa de la misma llevarán a cabo las reuniones de información y coordinación que sean necesarias para llevar a efecto dicho plan. De tales reuniones y de las decisiones y medidas adoptadas en las mismas se dará cuenta detallada a la técnica municipal encargada de la relación con la empresa adjudicataria. La técnica municipal encargada de la relación del Concejo con la empresa adjudicataria y la dirección de obra a estos efectos será la arquitecta técnica municipal.</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23.2.- El personal que utilice la empresa adjudicataria en la ejecución del presente contrato no adquirirá relación laboral alguna con el Concejo por entenderse que el mismo depende única y exclusivamente de aquella.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consecuencia, la empresa adjudicataria deberá cumplir en relación con su personal las obligaciones en materia laboral, de Seguridad Social y de Prevención de Riesgos Laborales. El incumplimiento de estas obligaciones por su parte, o la infracción de las disposiciones sobre seguridad por parte del personal técnico por ella designado, no implicarán responsabilidad alguna para el Concejo.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24.- PLAZO DE GARANTÍA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El plazo de garantía total (que incluye la mano de obra, materiales y/o piezas originales) y el servicio post-construcción serán de </w:t>
      </w:r>
      <w:r>
        <w:rPr>
          <w:rFonts w:ascii="Palatino Linotype" w:eastAsia="Palatino Linotype" w:hAnsi="Palatino Linotype" w:cs="Palatino Linotype"/>
          <w:b/>
          <w:sz w:val="21"/>
          <w:szCs w:val="21"/>
          <w:u w:val="single"/>
        </w:rPr>
        <w:t>tres años</w:t>
      </w:r>
      <w:r>
        <w:rPr>
          <w:rFonts w:ascii="Palatino Linotype" w:eastAsia="Palatino Linotype" w:hAnsi="Palatino Linotype" w:cs="Palatino Linotype"/>
          <w:sz w:val="21"/>
          <w:szCs w:val="21"/>
        </w:rPr>
        <w:t xml:space="preserve"> contados tras la correspondiente firma del acta de recepción (o plazo superior ofertado por la empresa adjudicataria). Transcurrido el plazo de garantía sin objeciones por parte de la Administración, quedará extinguida la responsabilidad del contratista.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Durante este plazo, será obligación de la empresa adjudicataria atender los desperfectos cubiertos por la garantía y proceder a su corrección, siendo los trabajos y materiales a su costa.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Si voluntariamente o a requerimiento del Concejo o la dirección de obra no reparase los desperfectos mencionados se hará por la Administración contratante, con cargo a la garantía para el cumplimiento de las obligaciones.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Todos los gastos de conservación y policía de las obras con arreglo a lo previsto en los pliegos y a las instrucciones que diere el Concejo, durante el período de garantía serán de cuenta del contratista.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Si descuidase la conservación y diere lugar a que peligre la obra se ejecutarán por la Administración y a costa del contratista los trabajos necesarios para evitar el daño. Así, el contratista está obligado no sólo a la correcta ejecución de la obra, sino también a la conservación de ésta, a su costa hasta el transcurso del plazo de garantía. La responsabilidad del contratista por faltas que en la obra pudieran advertirse, se extiende al supuesto de que tales faltas se deban tanto a una defectuosa construcción imputable al contratista como a una indebida conservación de las unidades de obra, aunque éstas hayan sido examinadas y encontradas conformes por la dirección de la obra o el responsable del contrato, inmediatamente después de su construcción o en cualquier otro momento dentro del periodo de vigencia del contrato. Durante el plazo de garantía (y especialmente hasta los 3 primeros meses de la puesta en marcha) el contratista realizará a su costa los ajustes que deban realizarse en las instalaciones asegurando su correcto de forma inmediata, efectuándose en otro caso y sin más intimación previa los mismos por el Concejo.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los quince días anteriores a la expiración del plazo de garantía, el facultativo director de la obra o el responsable del contrato, de oficio o a solicitud del contratista, redactará un informe sobre el estado de las obras. Si no se detectase incidencia alguna el contratista quedará relevado de sus obligaciones, salvo lo dispuesto para los casos de vicios ocultos.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Transcurrido el plazo de garantía indicado, sin que se haya formalizado ningún reparo, y el contratista quedará relevado de toda responsabilidad por razón de la prestación efectuada, sin perjuicio de lo dispuesto en de la Ley Foral de Contratos Públicos, procediéndose a la devolución o cancelación de la garantía para el cumplimiento de las obligaciones.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Se establece una garantía mínima para el material suministrado, contra defecto de fabricación y/o funcionamiento (incluidos los causantes de incumplimiento de normativa vigente para la luminaria LED) de cinco años, para cualquier elemento o material suministrado que provoque un fallo total o una pérdida de flujo superior a la prevista en la propuesta (factor de mantenimiento y vida útil), garantizándose las prestaciones luminosas de los productos. Estas garantías se </w:t>
      </w:r>
      <w:proofErr w:type="gramStart"/>
      <w:r>
        <w:rPr>
          <w:rFonts w:ascii="Palatino Linotype" w:eastAsia="Palatino Linotype" w:hAnsi="Palatino Linotype" w:cs="Palatino Linotype"/>
          <w:sz w:val="21"/>
          <w:szCs w:val="21"/>
        </w:rPr>
        <w:t>basaran</w:t>
      </w:r>
      <w:proofErr w:type="gramEnd"/>
      <w:r>
        <w:rPr>
          <w:rFonts w:ascii="Palatino Linotype" w:eastAsia="Palatino Linotype" w:hAnsi="Palatino Linotype" w:cs="Palatino Linotype"/>
          <w:sz w:val="21"/>
          <w:szCs w:val="21"/>
        </w:rPr>
        <w:t xml:space="preserve"> en un uso de 4.250 horas/año, para una temperatura ambiente inferior a 40ºC en horario nocturno y no disminuirá por el uso de controles y sistemas de regulación.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Los aspectos principales a cubrir por la garantía son: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 Fallo del LED: Se </w:t>
      </w:r>
      <w:proofErr w:type="gramStart"/>
      <w:r>
        <w:rPr>
          <w:rFonts w:ascii="Palatino Linotype" w:eastAsia="Palatino Linotype" w:hAnsi="Palatino Linotype" w:cs="Palatino Linotype"/>
          <w:sz w:val="21"/>
          <w:szCs w:val="21"/>
        </w:rPr>
        <w:t>considerara</w:t>
      </w:r>
      <w:proofErr w:type="gramEnd"/>
      <w:r>
        <w:rPr>
          <w:rFonts w:ascii="Palatino Linotype" w:eastAsia="Palatino Linotype" w:hAnsi="Palatino Linotype" w:cs="Palatino Linotype"/>
          <w:sz w:val="21"/>
          <w:szCs w:val="21"/>
        </w:rPr>
        <w:t xml:space="preserve"> fallo total de la luminaria LED, cuando al menos un porcentaje del 10% de los </w:t>
      </w:r>
      <w:proofErr w:type="spellStart"/>
      <w:r>
        <w:rPr>
          <w:rFonts w:ascii="Palatino Linotype" w:eastAsia="Palatino Linotype" w:hAnsi="Palatino Linotype" w:cs="Palatino Linotype"/>
          <w:sz w:val="21"/>
          <w:szCs w:val="21"/>
        </w:rPr>
        <w:t>LEDs</w:t>
      </w:r>
      <w:proofErr w:type="spellEnd"/>
      <w:r>
        <w:rPr>
          <w:rFonts w:ascii="Palatino Linotype" w:eastAsia="Palatino Linotype" w:hAnsi="Palatino Linotype" w:cs="Palatino Linotype"/>
          <w:sz w:val="21"/>
          <w:szCs w:val="21"/>
        </w:rPr>
        <w:t xml:space="preserve"> totales que componen una luminaria no funcionaran.</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 Reducción indebida del flujo luminoso: La luminaria deberá mantener el flujo luminoso indicado durante el periodo de garantía. </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Fallo del sistema de alimentación: Los drivers o fuentes de alimentación, deberán mantener su funcionamiento sin alteraciones en sus características, durante el plazo de cobertura de la garantía.</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Los defectos mecánicos debidos a fallos de material, ejecución o fabricación por parte del fabricante.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Transcurrido el plazo de garantía sin objeciones por parte de la Administración, quedará extinguida la responsabilidad del contratista.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Si durante el plazo de garantía se acreditase la existencia de vicios o defectos en el bien suministrado, la Administración tendrá derecho a reclamar del contratista la reposición de los que resulten inadecuados o la reparación de los mismos, si fuese suficiente.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Durante el plazo de garantía si la Administración estimase que el bien suministrado no es apto para el fin pretendido, como consecuencia de vicios o defectos imputables al contratista, y existe la presunción de que la reposición o reparación de dicho bien no serán bastantes para lograr aquel fin, podrá, antes de expirar dicho plazo, rechazar el mismo, dejándolo de cuenta del contratista y quedando exenta de la obligación del pago o teniendo derecho, en su caso, a la recuperación del precio satisfecho.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25.- CONDICIONES ESPECIALES DE EJECUCIÓN.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Al amparo de lo dispuesto en el artículo 66 de la Ley Foral 2/2018 de Contratos Públicos, se establecen como condiciones de carácter específicamente social las siguientes: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1ª.- 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2ª.- La oferta económica deberá ser adecuada para que la empresa adjudicataria haga frente al coste derivado de la aplicación del convenio sectorial que corresponda, sin que en ningún caso los precios/hora de los salarios contemplados puedan ser inferiores a los precios/hora del convenio más los costes de Seguridad Social.</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r>
        <w:rPr>
          <w:rFonts w:ascii="Palatino Linotype" w:eastAsia="Palatino Linotype" w:hAnsi="Palatino Linotype" w:cs="Palatino Linotype"/>
          <w:b/>
          <w:sz w:val="21"/>
          <w:szCs w:val="21"/>
        </w:rPr>
        <w:t>Igualdad entre mujeres y hombres.</w:t>
      </w:r>
      <w:r>
        <w:rPr>
          <w:rFonts w:ascii="Palatino Linotype" w:eastAsia="Palatino Linotype" w:hAnsi="Palatino Linotype" w:cs="Palatino Linotype"/>
          <w:sz w:val="21"/>
          <w:szCs w:val="21"/>
        </w:rPr>
        <w:t xml:space="preserve"> En esta materia deberán guardarse las siguientes condiciones: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 Si la empresa contratista está obligada a tener un Plan de Igualdad, deberá acreditar el diseño y aplicación efectiva del Plan de Igualdad previsto en la Ley Orgánica 3/2007, de 22 de marzo, para la igualdad efectiva de mujeres y hombres. </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 de conformidad con la Ordenanza municipal en vigor.</w:t>
      </w:r>
    </w:p>
    <w:p w:rsidR="00226E05" w:rsidRDefault="00226E05">
      <w:pPr>
        <w:tabs>
          <w:tab w:val="left" w:pos="567"/>
          <w:tab w:val="left" w:pos="993"/>
          <w:tab w:val="left" w:pos="1418"/>
          <w:tab w:val="left" w:pos="1843"/>
        </w:tabs>
        <w:ind w:left="567"/>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proofErr w:type="gramStart"/>
      <w:r>
        <w:rPr>
          <w:rFonts w:ascii="Palatino Linotype" w:eastAsia="Palatino Linotype" w:hAnsi="Palatino Linotype" w:cs="Palatino Linotype"/>
          <w:b/>
          <w:sz w:val="21"/>
          <w:szCs w:val="21"/>
        </w:rPr>
        <w:t>Discapacidad.-</w:t>
      </w:r>
      <w:proofErr w:type="gramEnd"/>
      <w:r>
        <w:rPr>
          <w:rFonts w:ascii="Palatino Linotype" w:eastAsia="Palatino Linotype" w:hAnsi="Palatino Linotype" w:cs="Palatino Linotype"/>
          <w:sz w:val="21"/>
          <w:szCs w:val="21"/>
        </w:rPr>
        <w:t xml:space="preserve"> Si la empresa contratista cuenta con 50 o más personas trabajadoras en el total de su plantilla, deberá acreditar que está compuesta al menos por un 2% de personas con discapacidad igual o superior al 33%.</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r>
        <w:rPr>
          <w:rFonts w:ascii="Palatino Linotype" w:eastAsia="Palatino Linotype" w:hAnsi="Palatino Linotype" w:cs="Palatino Linotype"/>
          <w:b/>
          <w:sz w:val="21"/>
          <w:szCs w:val="21"/>
        </w:rPr>
        <w:t xml:space="preserve">Cláusula </w:t>
      </w:r>
      <w:proofErr w:type="gramStart"/>
      <w:r>
        <w:rPr>
          <w:rFonts w:ascii="Palatino Linotype" w:eastAsia="Palatino Linotype" w:hAnsi="Palatino Linotype" w:cs="Palatino Linotype"/>
          <w:b/>
          <w:sz w:val="21"/>
          <w:szCs w:val="21"/>
        </w:rPr>
        <w:t>social.-</w:t>
      </w:r>
      <w:proofErr w:type="gramEnd"/>
      <w:r>
        <w:rPr>
          <w:rFonts w:ascii="Palatino Linotype" w:eastAsia="Palatino Linotype" w:hAnsi="Palatino Linotype" w:cs="Palatino Linotype"/>
          <w:sz w:val="21"/>
          <w:szCs w:val="21"/>
        </w:rPr>
        <w:t xml:space="preserve"> Se establece como condición especial de ejecución de carácter social la obligación por parte de la empresa adjudicataria de que, al menos, un tercio de todas las nuevas contrataciones, bajas y sustituciones a jornada completa que se requieran para la realización de la inversión recaigan en personas perceptoras de Renta Mínima de Inserción (RMI). Tendrán preferencia las personas perceptoras de RMI que, reuniendo los requisitos precisos, residan en el ámbito territorial de la agencia de empleo correspondiente.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Dicha reserva afectará, como mínimo, a la primera, quinta y novena de las contrataciones a jornada completa que se requieran para la realización de la inversión. A partir de la novena, afectará a la resultante de sumar tres al número anterior: duodécima, decimoquinta, decimoctava y así sucesivamente.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contratación deberá gestionarse a través del Servicio Navarro de Empleo.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El cumplimiento de las presentes condiciones deberá ser justificado a requerimiento del Concejo.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Todas las condiciones especiales de ejecución del contrato serán exigidas a los subcontratistas que participen en su ejecución.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26.- JUSTIFICACIÓN DEL CUMPLIMIENTO DE COMPROMISOS Y CONDICIONES DE EJECUCIÓN.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26.1.- Cumplimiento de compromisos.</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Concejo podrá recabar de la empresa adjudicataria cuanta documentación y datos considere convenientes para comprobar el cumplimiento de los compromisos formulados en su oferta. Podrá igualmente realizar actuaciones de inspección a los mismos efectos.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Para la comprobación del compromiso de subcontratación con centros de inserción y especiales de empleo el adjudicatario deberá justificar documentalmente ante el Concejo la condición tales centros. Se aportará con la oferta una relación exhaustiva de las empresas subcontratistas y un documento original que demuestre la existencia de un compromiso formal con las mismas. Deberá igualmente aportarse el documento contractual suscrito con tales centros, en el que se especificarán de forma expresa las partidas correspondientes del proyecto que son objeto de subcontratación. Una vez efectuados los trabajos subcontratados, deberán aportarse las facturas emitidas por dichos centros.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Para la justificación del cumplimiento de los aspectos medioambientales de la oferta se presentarán albaranes de entrega de mercancías reciclables a los gestores autorizados, sin perjuicio de las comprobaciones que pueda llevar a cabo el Concejo a pie de obra o en el lugar en el que se lleven a cabo los procesos de preparación o reciclado o tratamiento de residuos.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El compromiso de impartición de, al menos, 4,00 horas de acciones de sensibilización y formación a la plantilla que ejecute el contrato sobre los derechos en materia de igualdad y conciliación, se justificará mediante declaración responsable de la empresa en tal sentido. Junto con dicha declaración se entregarán las hojas de asistencia firmadas y un informe, como máximo de 2 hojas, en el que conste: fechas, horario y lugar de la formación, y desarrollo de la misma. </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Una vez finalizadas las actuaciones presentadas en la declaración responsable sobre los criterios de adjudicación sociales en materia de igualdad y antes de realizar la última certificación de la obra, la empresa adjudicataria deberá remitir a la unidad gestora documento acreditativo sobre las actuaciones desarrolladas, que deberá incluir memoria descriptiva de dichas actuaciones, la relación del personal participante acreditado mediante las correspondientes firmas y relación de la persona o equipo responsable de su ejecución, acreditado mediante la(s) correspondiente(s) firma(s).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contratista deberá notificar a todo su personal laboral los compromisos en materia social y medioambiental adquiridos al amparo del documento contractual.</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26.2.- Cumplimiento de condiciones especiales de ejecución.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Cuando la empresa adjudicataria cuente con más de 250 personas trabajadoras, en un plazo de 10 días hábiles tras la firma del contrato, deberá remitir a la unidad gestora documento certificativo del número de personas, hombres y </w:t>
      </w:r>
      <w:proofErr w:type="gramStart"/>
      <w:r>
        <w:rPr>
          <w:rFonts w:ascii="Palatino Linotype" w:eastAsia="Palatino Linotype" w:hAnsi="Palatino Linotype" w:cs="Palatino Linotype"/>
          <w:sz w:val="21"/>
          <w:szCs w:val="21"/>
        </w:rPr>
        <w:t>mujeres,  que</w:t>
      </w:r>
      <w:proofErr w:type="gramEnd"/>
      <w:r>
        <w:rPr>
          <w:rFonts w:ascii="Palatino Linotype" w:eastAsia="Palatino Linotype" w:hAnsi="Palatino Linotype" w:cs="Palatino Linotype"/>
          <w:sz w:val="21"/>
          <w:szCs w:val="21"/>
        </w:rPr>
        <w:t xml:space="preserve"> compone la plantilla de la empresa, y deberá además remitir documentación acreditativa del diseño y aplicación efectiva del Plan de Igualdad previsto en la Ley Orgánica 3/2007, de 22 de marzo, para la igualdad efectiva de mujeres y hombres. Esta condición se extenderá también al resto de supuestos en los que la Ley Orgánica 3/2007 obliga.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 Para ello la adjudicataria facilitará copias o fotografías de lo señalado anteriormente.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caso de que la entidad adjudicataria haya presentado declaración responsable sobre los criterios de adjudicación sociales en materia de igualdad y haya recibido puntuación por ella, deberá informar por escrito al personal afectado, antes del inicio de la ejecución del contrato, de las actuaciones a desarrollar. En el plazo de 10 días hábiles tras la firma del contrato, deberá remitir a la unidad gestora documento acreditativo de dicha comunicación.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La empresa contratista que cuente con 50 </w:t>
      </w:r>
      <w:proofErr w:type="spellStart"/>
      <w:r>
        <w:rPr>
          <w:rFonts w:ascii="Palatino Linotype" w:eastAsia="Palatino Linotype" w:hAnsi="Palatino Linotype" w:cs="Palatino Linotype"/>
          <w:sz w:val="21"/>
          <w:szCs w:val="21"/>
        </w:rPr>
        <w:t>ó</w:t>
      </w:r>
      <w:proofErr w:type="spellEnd"/>
      <w:r>
        <w:rPr>
          <w:rFonts w:ascii="Palatino Linotype" w:eastAsia="Palatino Linotype" w:hAnsi="Palatino Linotype" w:cs="Palatino Linotype"/>
          <w:sz w:val="21"/>
          <w:szCs w:val="21"/>
        </w:rPr>
        <w:t xml:space="preserve"> más personas trabajadoras en el total de su plantilla, deberá acreditar documentalmente, en el plazo de diez días desde la notificación de la adjudicación, que está compuesta al menos por un 2% de personas con discapacidad igual o superior al 33%.</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contratación de trabajadores con dificultades de acceso al mercado laboral se justificará mediante la presentación de contratos laborales y documentos TC1 y TC2 de liquidación a la Seguridad Social durante los meses que dure la ejecución de las obras.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27.- MODIFICACIONES DE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materia de modificaciones contractuales se estará a lo dispuesto en los artículos 114, 115, 143 y 144 de la Ley Foral 2/2018, de 13 de abril, de Contratos Públicos.</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particular, podrá modificarse el contrato hasta en un 10 % de las unidades previstas en el proyecto, al amparo de lo dispuesto en el art. 114.3.b) de la Ley Foral 2/2018, de 13 de abril, de Contratos Públicos.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28.- CESIÓN Y SUBCONTRATACIÓN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Los derechos y obligaciones dimanantes del contrato podrán ser cedidos a una tercera entidad u objeto de subcontratación de acuerdo con lo establecido en los artículos 108 y 107, respectivamente, de la Ley Foral 2/2018, de 13 de abril de Contratos Públicos.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b/>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29.- RÉGIMEN DE INCUMPLIMIENTOS Y PENALIDADES.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29.1.- Aplicación de penalidades.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Si la empresa contratista no cumple con algunas de las condiciones y requisitos señalados en el presente Pliego o en la Ley Foral 2/2018, de 13 de abril, de Contratos Públicos, el Concejo, previa audiencia de la misma, podrá imponer las penalidades que se señalan en los apartados siguientes, de acuerdo con las diferentes causas que los hayan motivado.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29.2.- Actuaciones constitutivas de imposición de penalidades.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A efectos contractuales se considerará actuación constitutiva de imposición de penalidad toda acción u omisión de la empresa contratista que suponga un quebranto de las exigencias especificadas en el Pliego o en la Ley Foral 2/2018, de 13 de abril, de Contratos Públicos.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Se clasificará tal actuación atendiendo a su trascendencia, proporcionalidad e intencionalidad en: leve, grave o muy grave, de acuerdo con los siguientes criterios: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r>
      <w:r>
        <w:rPr>
          <w:rFonts w:ascii="Palatino Linotype" w:eastAsia="Palatino Linotype" w:hAnsi="Palatino Linotype" w:cs="Palatino Linotype"/>
          <w:b/>
          <w:sz w:val="21"/>
          <w:szCs w:val="21"/>
        </w:rPr>
        <w:t>Leve</w:t>
      </w:r>
      <w:r>
        <w:rPr>
          <w:rFonts w:ascii="Palatino Linotype" w:eastAsia="Palatino Linotype" w:hAnsi="Palatino Linotype" w:cs="Palatino Linotype"/>
          <w:sz w:val="21"/>
          <w:szCs w:val="21"/>
        </w:rPr>
        <w:t xml:space="preserve">: Se considerarán leves, aquellas actuaciones </w:t>
      </w:r>
      <w:proofErr w:type="gramStart"/>
      <w:r>
        <w:rPr>
          <w:rFonts w:ascii="Palatino Linotype" w:eastAsia="Palatino Linotype" w:hAnsi="Palatino Linotype" w:cs="Palatino Linotype"/>
          <w:sz w:val="21"/>
          <w:szCs w:val="21"/>
        </w:rPr>
        <w:t>que</w:t>
      </w:r>
      <w:proofErr w:type="gramEnd"/>
      <w:r>
        <w:rPr>
          <w:rFonts w:ascii="Palatino Linotype" w:eastAsia="Palatino Linotype" w:hAnsi="Palatino Linotype" w:cs="Palatino Linotype"/>
          <w:sz w:val="21"/>
          <w:szCs w:val="21"/>
        </w:rPr>
        <w:t xml:space="preserve"> afectando desfavorablemente al funcionamiento y eficiencia del contrato, no se hayan realizado maliciosamente, ni lleven unido peligros a personas, animales o cosas, ni reduzca la vida económica de los trabajos realizados, ni causen molestias a la ciudadanía. Entre otras serán las siguientes: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El incumplimiento de las visitas periódicas con el personal técnico.</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La inobservancia de la mecánica operativa inicial y normal en los trabajos.</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 xml:space="preserve">El retraso o interrupción de los trabajos, siempre que sea imputable a la empresa adjudicataria, por un tiempo inferior a tres días, negligencia o descuido en </w:t>
      </w:r>
      <w:proofErr w:type="gramStart"/>
      <w:r>
        <w:rPr>
          <w:rFonts w:ascii="Palatino Linotype" w:eastAsia="Palatino Linotype" w:hAnsi="Palatino Linotype" w:cs="Palatino Linotype"/>
          <w:sz w:val="21"/>
          <w:szCs w:val="21"/>
        </w:rPr>
        <w:t>el cumplimientos</w:t>
      </w:r>
      <w:proofErr w:type="gramEnd"/>
      <w:r>
        <w:rPr>
          <w:rFonts w:ascii="Palatino Linotype" w:eastAsia="Palatino Linotype" w:hAnsi="Palatino Linotype" w:cs="Palatino Linotype"/>
          <w:sz w:val="21"/>
          <w:szCs w:val="21"/>
        </w:rPr>
        <w:t xml:space="preserve"> de sus obligaciones.</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Originar molestias innecesarias a la ciudadanía.</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La no retirada inmediata de escombros o materiales sobrantes una vez acabada la obra.</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El incumplimiento de cualquier obligación de las establecidas en este pliego que no esté calificado con mayor gravedad.</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r>
      <w:r>
        <w:rPr>
          <w:rFonts w:ascii="Palatino Linotype" w:eastAsia="Palatino Linotype" w:hAnsi="Palatino Linotype" w:cs="Palatino Linotype"/>
          <w:b/>
          <w:sz w:val="21"/>
          <w:szCs w:val="21"/>
        </w:rPr>
        <w:t>Grave</w:t>
      </w:r>
      <w:r>
        <w:rPr>
          <w:rFonts w:ascii="Palatino Linotype" w:eastAsia="Palatino Linotype" w:hAnsi="Palatino Linotype" w:cs="Palatino Linotype"/>
          <w:sz w:val="21"/>
          <w:szCs w:val="21"/>
        </w:rPr>
        <w:t>: Son clasificadas como graves aquellas actuaciones que como consecuencia de realización deficiente de las inspecciones o de los distintos trabajos exigidos o de las prestaciones y exigencias contractuales, puedan influir negativamente en la vida económica de los trabajos realizados o causar molestias y peligros a la ciudadanía, o causen un grave perjuicio al control o a la inspección municipal de los trabajos contratados.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La existencia de tres incumplimientos leves durante la ejecución del contrato.</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La reiteración de cualquier incumplimiento leve.</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La inobservancia de medidas de seguridad y salud en los trabajos.</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La no prestación de alguna de las operaciones o servicios contratados.</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Incumplimiento de las órdenes recibidas por parte de la unidad gestora del contrato en las cuestiones relativas a la ejecución del mismo.</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Incumplimiento del compromiso de dedicar o adscribir a la ejecución del contrato los medios personales o materiales incluidos en la oferta.</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No guardar la debida discreción respecto de los asuntos que se conozcan en razón del contrato prestado.</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Incumplimiento parcial de la ejecución de las prestaciones definidas en el contrato.</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El retraso o interrupción de la prestación del contrato igual o superior a tres días e inferior a quince días, siempre que sea imputable al contratista, la negligencia o descuido continuado.</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La no formalización del contrato en plazo por causa imputable al contratista.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r>
      <w:r>
        <w:rPr>
          <w:rFonts w:ascii="Palatino Linotype" w:eastAsia="Palatino Linotype" w:hAnsi="Palatino Linotype" w:cs="Palatino Linotype"/>
          <w:b/>
          <w:sz w:val="21"/>
          <w:szCs w:val="21"/>
        </w:rPr>
        <w:t>Muy grave</w:t>
      </w:r>
      <w:r>
        <w:rPr>
          <w:rFonts w:ascii="Palatino Linotype" w:eastAsia="Palatino Linotype" w:hAnsi="Palatino Linotype" w:cs="Palatino Linotype"/>
          <w:sz w:val="21"/>
          <w:szCs w:val="21"/>
        </w:rPr>
        <w:t>:</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La existencia de tres incumplimientos graves durante la ejecución del contrato.</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La reiteración de cualquier incumplimiento grave.</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El incumplimiento de normativa en materia de igualdad entre hombres y mujeres</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El fraude económico al Concejo, mediante certificación o facturas no acordes con la realidad, o a través de cualquier medio, sin que sea necesaria la existencia de dolo.</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La prestación incorrecta y defectuosa del contrato, tanto en su calidad como en la cantidad.</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Presentación a la documentación de la convocatoria informes falsos relacionados con los criterios sociales o medioambientales de adjudicación o ejecución.</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Infracción de las condiciones establecidas para la subcontratación.</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El retraso o interrupción de la prestación del contrato igual o superior a quince días, siempre que sea imputable al contratista, o el abandono de la obra.</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La inobservancia de la obligación de secreto profesional o incumplimiento de la normativa de protección de datos.</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La falsedad en los informes.</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La actitud deliberada de permitir el deterioro de un elemento o instalación.</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Incumplimiento de los criterios sociales y medioambientales presentados.</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El incumplimiento de las condiciones especiales de ejecución establecidas en el presente pliego.</w:t>
      </w:r>
    </w:p>
    <w:p w:rsidR="00226E05" w:rsidRDefault="003A6503">
      <w:pPr>
        <w:tabs>
          <w:tab w:val="left" w:pos="567"/>
          <w:tab w:val="left" w:pos="993"/>
          <w:tab w:val="left" w:pos="1418"/>
          <w:tab w:val="left" w:pos="1843"/>
        </w:tabs>
        <w:ind w:left="708"/>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La cesión de los derechos y obligaciones del contrato sin autorización expresa del órgano de contratación.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incumplimiento de las obligaciones contractuales por parte de la empresa contratista, dará lugar a la incoación del oportuno expediente, en el que se dará audiencia al mismo con carácter previo a su resolución por el Órgano de Contratación, pudiéndose imponer las penalizaciones que a continuación se determinan, que serán deducidas de la siguiente certificación que se expida en la ejecución del contrato o, en su caso, de la fianza.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imposición de las penalidades no excluye la eventual indemnización a la Administración como consecuencia de la infracción.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29.3.- Cuantía de las penalidades.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Retraso: por cada día de retraso en el inicio de la ejecución del contrato o suspensión de la ejecución del contrato, se impondrá la sanción prevista en el artículo 147 de la Ley Foral de Contratos Públicos.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Además, se impondrán las siguientes penalidades: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w:t>
      </w:r>
      <w:r>
        <w:rPr>
          <w:rFonts w:ascii="Palatino Linotype" w:eastAsia="Palatino Linotype" w:hAnsi="Palatino Linotype" w:cs="Palatino Linotype"/>
          <w:sz w:val="21"/>
          <w:szCs w:val="21"/>
        </w:rPr>
        <w:tab/>
        <w:t>Incumplimientos leves, cada incumplimiento leve, podrá ser sancionado con un importe de hasta el 1% del importe de adjudicación.</w:t>
      </w:r>
    </w:p>
    <w:p w:rsidR="00226E05" w:rsidRDefault="00226E05">
      <w:pPr>
        <w:tabs>
          <w:tab w:val="left" w:pos="567"/>
          <w:tab w:val="left" w:pos="993"/>
          <w:tab w:val="left" w:pos="1418"/>
          <w:tab w:val="left" w:pos="1843"/>
        </w:tabs>
        <w:ind w:left="567"/>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b)</w:t>
      </w:r>
      <w:r>
        <w:rPr>
          <w:rFonts w:ascii="Palatino Linotype" w:eastAsia="Palatino Linotype" w:hAnsi="Palatino Linotype" w:cs="Palatino Linotype"/>
          <w:sz w:val="21"/>
          <w:szCs w:val="21"/>
        </w:rPr>
        <w:tab/>
        <w:t>Incumplimientos graves, cada incumplimiento grave podrá ser sancionado con un importe de entre el 1,01% hasta el 5% del importe de adjudicación.</w:t>
      </w:r>
    </w:p>
    <w:p w:rsidR="00226E05" w:rsidRDefault="00226E05">
      <w:pPr>
        <w:tabs>
          <w:tab w:val="left" w:pos="567"/>
          <w:tab w:val="left" w:pos="993"/>
          <w:tab w:val="left" w:pos="1418"/>
          <w:tab w:val="left" w:pos="1843"/>
        </w:tabs>
        <w:ind w:left="567"/>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c)</w:t>
      </w:r>
      <w:r>
        <w:rPr>
          <w:rFonts w:ascii="Palatino Linotype" w:eastAsia="Palatino Linotype" w:hAnsi="Palatino Linotype" w:cs="Palatino Linotype"/>
          <w:sz w:val="21"/>
          <w:szCs w:val="21"/>
        </w:rPr>
        <w:tab/>
        <w:t>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30.- RECEPCIÓN DE LAS OBRAS Y LIQUIDACIÓN FINAL.</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La extinción por cumplimiento de contrato implica la recepción de las obras, un plazo de garantía de éstas y su liquidación.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A) LIMPIEZA GENERAL Y DESESCOMBRO DE LAS OBRAS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Terminadas las obras el contratista realizará una limpieza total de las mismas y de su entorno, de manera que el día que se indique pueda ocuparse y ponerse en funcionamiento sin ninguna limpieza suplementaria.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dicha limpieza se considera incluida la retirada de todos los materiales sobrantes y la suciedad que haya podido originar cualquier empresa que haya participado en la ejecución de obra.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contratista deberá retirar los carteles de obra en el plazo de diez días naturales a contar desde la recepción de obra y retirar toda instalación fija o maquinaria. Transcurrido este plazo y sin intimación previa el Concejo podrá hacer dicha retirada y limpieza por sus medios o con otra empresa, deduciendo al contratista este importe y sin que pueda la misma exigir daños que por esta causa hayan sufrido, en su caso, los aludidos materiales. Será de aplicación además la tasa por ejecuciones sustitutorias conforme a la normativa municipal correspondiente.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Los gastos que de todo ello se deriven serán a cargo del contratista y se entienden repercutidos en las unidades de obra.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B) RECEPCIÓN DE LAS OBRAS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 recepción de las obras tendrá lugar dentro de los quince días siguientes a su terminación. A la recepción concurrirán la Administración contratante, la dirección facultativa y la empresa adjudicataria.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Si la obra se encuentra en buen estado y con arreglo a las prescripciones previstas, la Dirección Facultativa la dará por recibida, comenzando entonces el plazo de garantía.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Serán condiciones indispensables para proceder a la recepción: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 Haber ejecutado las obras de conformidad con el presente pliego y el de prescripciones técnicas, el proyecto de obras y de acuerdo con las modificaciones del mismo aprobadas. </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Haber realizado las pruebas con resultado satisfactorio de todas y cada una de las instalaciones. El contratista deberá prever y disponer de suministros y energía para la realización de las pruebas</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Haber entregado el contratista a la dirección facultativa y unidad gestora toda la documentación obligatoria y necesaria bajo su responsabilidad o de sus subcontratas, que faciliten la contratación de los diferentes servicios, incluidos todos los boletines.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Cuando la obra no se halle en estado de ser recibida se hará constar así y se darán las instrucciones precisas y detalladas por la dirección facultativa a la empresa adjudicataria para efectuar los trabajos correspondientes dentro de determinado plazo, expirado el cual se hará un nuevo reconocimiento para la recepción de la obra. Si la empresa adjudicataria no hubiese cumplido, se declarará resuelto el contrato con pérdida de la fianza por no terminar la obra en el plazo estipulado, a no ser que la Dirección Facultativa crea procedente concederle un nuevo plazo, que será improrrogable.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los casos en que proceda (instalaciones de equipos mecánicos o eléctricos) la empresa adjudicataria entregará toda la documentación adecuada para su mantenimiento. Se realizará, en el acto de la recepción, las pruebas que se consideren convenientes para comprobar su correcto funcionamiento.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Al acta de recepción de las obras, se adjuntará la última certificación de obra que tendrá el carácter de liquidación de la misma y cuya firma implica su aceptación por ambas partes. En el caso de no ser aceptada la liquidación por la empresa adjudicatario, el Concejo de Arre podrá aprobarla de oficio.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Se considerará que una instalación está terminada cuando: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r>
        <w:rPr>
          <w:rFonts w:ascii="Palatino Linotype" w:eastAsia="Palatino Linotype" w:hAnsi="Palatino Linotype" w:cs="Palatino Linotype"/>
          <w:sz w:val="21"/>
          <w:szCs w:val="21"/>
        </w:rPr>
        <w:tab/>
        <w:t>1. Se ha realizado la puesta en marcha.</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r>
        <w:rPr>
          <w:rFonts w:ascii="Palatino Linotype" w:eastAsia="Palatino Linotype" w:hAnsi="Palatino Linotype" w:cs="Palatino Linotype"/>
          <w:sz w:val="21"/>
          <w:szCs w:val="21"/>
        </w:rPr>
        <w:tab/>
        <w:t>2. Se han realizado las pruebas reglamentarias con resultado satisfactorio.</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r>
        <w:rPr>
          <w:rFonts w:ascii="Palatino Linotype" w:eastAsia="Palatino Linotype" w:hAnsi="Palatino Linotype" w:cs="Palatino Linotype"/>
          <w:sz w:val="21"/>
          <w:szCs w:val="21"/>
        </w:rPr>
        <w:tab/>
        <w:t>3. Ha sido legalizada.</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r>
      <w:r>
        <w:rPr>
          <w:rFonts w:ascii="Palatino Linotype" w:eastAsia="Palatino Linotype" w:hAnsi="Palatino Linotype" w:cs="Palatino Linotype"/>
          <w:sz w:val="21"/>
          <w:szCs w:val="21"/>
        </w:rPr>
        <w:tab/>
        <w:t>4. Ha sido entregada la documentación final de la instalación.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Especialmente deberá entregarse la siguiente documentación: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 Colección completa de planos “as </w:t>
      </w:r>
      <w:proofErr w:type="spellStart"/>
      <w:r>
        <w:rPr>
          <w:rFonts w:ascii="Palatino Linotype" w:eastAsia="Palatino Linotype" w:hAnsi="Palatino Linotype" w:cs="Palatino Linotype"/>
          <w:sz w:val="21"/>
          <w:szCs w:val="21"/>
        </w:rPr>
        <w:t>Built</w:t>
      </w:r>
      <w:proofErr w:type="spellEnd"/>
      <w:r>
        <w:rPr>
          <w:rFonts w:ascii="Palatino Linotype" w:eastAsia="Palatino Linotype" w:hAnsi="Palatino Linotype" w:cs="Palatino Linotype"/>
          <w:sz w:val="21"/>
          <w:szCs w:val="21"/>
        </w:rPr>
        <w:t xml:space="preserve">” de la totalidad de las obras (si así lo requiriese la dirección facultativa o el Concejo), en papel y en formato informático compatible con </w:t>
      </w:r>
      <w:proofErr w:type="spellStart"/>
      <w:r>
        <w:rPr>
          <w:rFonts w:ascii="Palatino Linotype" w:eastAsia="Palatino Linotype" w:hAnsi="Palatino Linotype" w:cs="Palatino Linotype"/>
          <w:sz w:val="21"/>
          <w:szCs w:val="21"/>
        </w:rPr>
        <w:t>Autocad</w:t>
      </w:r>
      <w:proofErr w:type="spellEnd"/>
      <w:r>
        <w:rPr>
          <w:rFonts w:ascii="Palatino Linotype" w:eastAsia="Palatino Linotype" w:hAnsi="Palatino Linotype" w:cs="Palatino Linotype"/>
          <w:sz w:val="21"/>
          <w:szCs w:val="21"/>
        </w:rPr>
        <w:t xml:space="preserve">, Word y Presto. Esta misma documentación será entregada en formato </w:t>
      </w:r>
      <w:proofErr w:type="spellStart"/>
      <w:r>
        <w:rPr>
          <w:rFonts w:ascii="Palatino Linotype" w:eastAsia="Palatino Linotype" w:hAnsi="Palatino Linotype" w:cs="Palatino Linotype"/>
          <w:sz w:val="21"/>
          <w:szCs w:val="21"/>
        </w:rPr>
        <w:t>pdf</w:t>
      </w:r>
      <w:proofErr w:type="spellEnd"/>
      <w:r>
        <w:rPr>
          <w:rFonts w:ascii="Palatino Linotype" w:eastAsia="Palatino Linotype" w:hAnsi="Palatino Linotype" w:cs="Palatino Linotype"/>
          <w:sz w:val="21"/>
          <w:szCs w:val="21"/>
        </w:rPr>
        <w:t xml:space="preserve">. En cualquier caso, deberá entregar una colección completa de fotografía digital (con imágenes de tamaño superior a 2 Mb) en formato digital, del desarrollo de la obra, con fotografías generales semanales y todas aquellas de detalle que se consideren oportunas. </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Documentación sobre todos los materiales instalados: fichas técnicas, suministradores, catálogos, instrucciones de uso y mantenimiento, etc.</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Instrucciones de uso y mantenimiento.</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Salvedades y recomendaciones.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Esta documentación se presentará por duplicado y en soporte papel e informático. Al acto de recepción de las obras concurrirá un facultativo designado por el Concejo y en representación de ésta, el facultativo encargado de la dirección de las obras y el contratista o su representante, asistido si lo estima oportuno, de su facultativo.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Si se encuentran las obras en buen estado y con arreglo a las prescripciones previstas, se levantará la correspondiente acta comenzando entonces el plazo de garantía y servicio post construcción.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Cuando las obras no se hallen en estado de ser recibidas se hará constar así en el acta y la dirección de obra de las mismas señalará los defectos observados y detallará las instrucciones precisas fijando un plazo para remediar aquéllos, y si no lo hace a su debido tiempo se ejecutará por el Concejo con cargo al contratista.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Sin perjuicio de lo anterior, la no recepción en plazo de las obras sin culpa del Concejo llevará consigo la imposición de penalidades por demora, de conformidad con lo dispuesto en este pliego, y en la legislación aplicable.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Si por excepcionales razones de interés público, debidamente acreditadas en el expediente, se acordase la ocupación efectiva de las obras o su utilización pública sin el previo acto de recepción formal, dichas obras se tendrán por recibidas por la Administración, a los efectos de cómputo del periodo de garantía.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estos supuestos se levantará un acta de comprobación de obras, suscrita por el responsable del contrato, la dirección de obras y el contratista.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C) CERTIFICACIÓN FINAL DE LAS OBRAS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Recibidas las obras se procederá seguidamente a su medición general con asistencia del contratista, o de la persona que lo represente, formulándose por la dirección de la obra, en el plazo de un mes desde la recepción, la medición de las realmente ejecutadas de acuerdo con el proyecto y anexo.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Dentro del plazo de dos meses a contar desde la fecha del acta de recepción, deberá ser acordada y notificada al contratista la certificación final correspondiente y abonársele el saldo resultante, en su caso.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D) RECEPCIÓN PARCIAL DE LAS OBRAS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Podrán efectuarse recepciones parciales sobre aquellas partes de la obra susceptibles de ser ejecutadas por fases que puedan ser entregadas al uso público, que </w:t>
      </w:r>
      <w:proofErr w:type="gramStart"/>
      <w:r>
        <w:rPr>
          <w:rFonts w:ascii="Palatino Linotype" w:eastAsia="Palatino Linotype" w:hAnsi="Palatino Linotype" w:cs="Palatino Linotype"/>
          <w:sz w:val="21"/>
          <w:szCs w:val="21"/>
        </w:rPr>
        <w:t>puedan  ser</w:t>
      </w:r>
      <w:proofErr w:type="gramEnd"/>
      <w:r>
        <w:rPr>
          <w:rFonts w:ascii="Palatino Linotype" w:eastAsia="Palatino Linotype" w:hAnsi="Palatino Linotype" w:cs="Palatino Linotype"/>
          <w:sz w:val="21"/>
          <w:szCs w:val="21"/>
        </w:rPr>
        <w:t xml:space="preserve"> utilizadas de forma independiente.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31.- RESOLUCIÓN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Las causas de resolución de los contratos serán las generales señaladas en el artículo 160 de la Ley Foral de Contratos Públicos, además de las específicas establecidas en el artículo 175 de dicha ley.</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32.- RÉGIMEN JURÍDICO Y PRERROGATIVAS.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desconocimiento de las cláusulas del contrato en cualquiera de sus términos, del resto de documentos contractuales y de las instrucciones o de la normativa que resulten de aplicación en la ejecución, no exime a la empresa adjudicataria de la obligación de cumplirlas.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33.- RECURSOS Y RECLAMACIONES.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El presente contrato es de naturaleza administrativa, por lo que cuantas incidencias se deriven del cumplimiento de las obligaciones y de la interpretación de estas disposiciones, serán resueltas en primer término por el órgano de contratación.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Contra este pliego y las resoluciones que se dicten en ejecución del mismo podrán interponerse potestativamente, los siguientes recursos: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Recurso de reposición ante el órgano del Concejo de Arre autor del acto administrativo, en el plazo de un mes a partir del día siguiente de la notificación o, en su caso, publicación del acto que se recurra.</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Reclamación en materia de contratación pública ante el Tribunal de Contratos Públicos conforme a lo dispuesto en los artículos 121 y siguientes de la ley Foral de Contratos Públicos, para lo que es requisito imprescindible que las entidades licitadoras faciliten un correo electrónico para la realización de notificaciones a través de medios telemáticos.</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Recurso de Alzada ante el Tribunal Administrativos, en el plazo de un mes siguiente a la notificación o publicación del acto que se recurra.</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Recurso contencioso-administrativo ante el Juzgado de lo Contencioso-Administrativo de Pamplona en el plazo de dos meses, a partir del día siguiente a la notificación o publicación del acto que se recurra.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34.- PROTECCIÓN DE DATOS.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ab/>
        <w:t xml:space="preserve">De acuerdo con lo dispuesto en la normativa de protección de datos se informa a las entidades que el Concejo es el responsable de tratamiento de sus datos que serán tratados con la finalidad de gestionar la participación en la licitación y en el caso de resultar adjudicatario/a se emplearán para el control y ejecución de la relación jurídica que surja entre las partes. Igualmente, se informa que tanto los datos de las entidades licitadoras como de las adjudicatarias son objeto de publicación a través de los medios que el Concejo considere oportunos. </w:t>
      </w:r>
    </w:p>
    <w:p w:rsidR="00226E05" w:rsidRDefault="00226E05">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p>
    <w:p w:rsidR="00226E05" w:rsidRDefault="003A6503">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ab/>
        <w:t xml:space="preserve">El Concejo se encuentra legitimado para el tratamiento de los datos de las entidades licitadoras por el consentimiento prestado por estos mediante la presentación de la oferta, para el tratamiento de los datos de la adjudicataria se encuentra legitimado en virtud de la ejecución del contrato que regirá la prestación de los servicios objeto de la presente licitación y la publicación de los datos se encuentra autorizada por la Ley Foral 2/2018, de 13 de abril, de Contratos Públicos. </w:t>
      </w:r>
    </w:p>
    <w:p w:rsidR="00226E05" w:rsidRDefault="00226E05">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272727"/>
          <w:sz w:val="21"/>
          <w:szCs w:val="21"/>
          <w:highlight w:val="white"/>
        </w:rPr>
      </w:pPr>
    </w:p>
    <w:p w:rsidR="00226E05" w:rsidRDefault="003A6503">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272727"/>
          <w:sz w:val="21"/>
          <w:szCs w:val="21"/>
          <w:highlight w:val="white"/>
        </w:rPr>
        <w:tab/>
        <w:t xml:space="preserve">Los datos se conservarán el tiempo necesario para el cumplimiento de la finalidad señalada y se </w:t>
      </w:r>
      <w:proofErr w:type="gramStart"/>
      <w:r>
        <w:rPr>
          <w:rFonts w:ascii="Palatino Linotype" w:eastAsia="Palatino Linotype" w:hAnsi="Palatino Linotype" w:cs="Palatino Linotype"/>
          <w:color w:val="272727"/>
          <w:sz w:val="21"/>
          <w:szCs w:val="21"/>
          <w:highlight w:val="white"/>
        </w:rPr>
        <w:t>almacenaran</w:t>
      </w:r>
      <w:proofErr w:type="gramEnd"/>
      <w:r>
        <w:rPr>
          <w:rFonts w:ascii="Palatino Linotype" w:eastAsia="Palatino Linotype" w:hAnsi="Palatino Linotype" w:cs="Palatino Linotype"/>
          <w:color w:val="272727"/>
          <w:sz w:val="21"/>
          <w:szCs w:val="21"/>
          <w:highlight w:val="white"/>
        </w:rPr>
        <w:t xml:space="preserve"> mientras el Concejo pueda tener responsabilidades derivadas de su tratamiento. Igualmente deben cumplirse las normas de conservación establecidas en la Ley Foral 12/2007, de 4 de abril, de archivos y documentos.</w:t>
      </w:r>
    </w:p>
    <w:p w:rsidR="00226E05" w:rsidRDefault="00226E05">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highlight w:val="white"/>
        </w:rPr>
      </w:pPr>
    </w:p>
    <w:p w:rsidR="00226E05" w:rsidRDefault="003A6503">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272727"/>
          <w:sz w:val="21"/>
          <w:szCs w:val="21"/>
          <w:highlight w:val="white"/>
        </w:rPr>
      </w:pPr>
      <w:r>
        <w:rPr>
          <w:rFonts w:ascii="Palatino Linotype" w:eastAsia="Palatino Linotype" w:hAnsi="Palatino Linotype" w:cs="Palatino Linotype"/>
          <w:color w:val="000000"/>
          <w:sz w:val="21"/>
          <w:szCs w:val="21"/>
          <w:highlight w:val="white"/>
        </w:rPr>
        <w:tab/>
        <w:t xml:space="preserve">Las entidades licitadoras tienen derecho a acceder, rectificar y suprimir los datos, así como </w:t>
      </w:r>
      <w:r>
        <w:rPr>
          <w:rFonts w:ascii="Palatino Linotype" w:eastAsia="Palatino Linotype" w:hAnsi="Palatino Linotype" w:cs="Palatino Linotype"/>
          <w:color w:val="000000"/>
          <w:sz w:val="21"/>
          <w:szCs w:val="21"/>
        </w:rPr>
        <w:t>en determinadas circunstancias solicitar la limitación u oposición del tratamiento de sus datos</w:t>
      </w:r>
      <w:r>
        <w:rPr>
          <w:rFonts w:ascii="Palatino Linotype" w:eastAsia="Palatino Linotype" w:hAnsi="Palatino Linotype" w:cs="Palatino Linotype"/>
          <w:color w:val="000000"/>
          <w:sz w:val="21"/>
          <w:szCs w:val="21"/>
          <w:highlight w:val="white"/>
        </w:rPr>
        <w:t xml:space="preserve"> dirigiéndose a concejoarre@gmail.com</w:t>
      </w:r>
      <w:r>
        <w:rPr>
          <w:rFonts w:ascii="Palatino Linotype" w:eastAsia="Palatino Linotype" w:hAnsi="Palatino Linotype" w:cs="Palatino Linotype"/>
          <w:color w:val="0000FF"/>
          <w:sz w:val="21"/>
          <w:szCs w:val="21"/>
          <w:highlight w:val="white"/>
          <w:u w:val="single"/>
        </w:rPr>
        <w:t xml:space="preserve">. </w:t>
      </w:r>
      <w:r>
        <w:rPr>
          <w:rFonts w:ascii="Palatino Linotype" w:eastAsia="Palatino Linotype" w:hAnsi="Palatino Linotype" w:cs="Palatino Linotype"/>
          <w:color w:val="272727"/>
          <w:sz w:val="21"/>
          <w:szCs w:val="21"/>
          <w:highlight w:val="white"/>
        </w:rPr>
        <w:t xml:space="preserve">De las misma forma, le informamos de que pueden presentar una reclamación ante la Agencia Española de Protección de Datos mediante escrito dirigiéndose a C/ Jorge Juan, 6, 28001 (Madrid) o a través de su sede electrónica en </w:t>
      </w:r>
      <w:hyperlink r:id="rId8">
        <w:r>
          <w:rPr>
            <w:rFonts w:ascii="Palatino Linotype" w:eastAsia="Palatino Linotype" w:hAnsi="Palatino Linotype" w:cs="Palatino Linotype"/>
            <w:color w:val="0000FF"/>
            <w:sz w:val="21"/>
            <w:szCs w:val="21"/>
            <w:highlight w:val="white"/>
            <w:u w:val="single"/>
          </w:rPr>
          <w:t>www.agpd.es</w:t>
        </w:r>
      </w:hyperlink>
      <w:r>
        <w:rPr>
          <w:rFonts w:ascii="Palatino Linotype" w:eastAsia="Palatino Linotype" w:hAnsi="Palatino Linotype" w:cs="Palatino Linotype"/>
          <w:color w:val="272727"/>
          <w:sz w:val="21"/>
          <w:szCs w:val="21"/>
          <w:highlight w:val="white"/>
        </w:rPr>
        <w:t xml:space="preserve"> </w:t>
      </w:r>
    </w:p>
    <w:p w:rsidR="00226E05" w:rsidRDefault="00226E05">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highlight w:val="white"/>
        </w:rPr>
      </w:pPr>
    </w:p>
    <w:p w:rsidR="00226E05" w:rsidRDefault="003A6503">
      <w:pPr>
        <w:pBdr>
          <w:bottom w:val="single" w:sz="4" w:space="1" w:color="000000"/>
        </w:pBd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35.- CONFIDENCIALIDAD.</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 xml:space="preserve">La entidad adjudicataria se comprometerá a mantener en secreto todos los datos e informaciones facilitados por el Concejo y que sean concernientes a la prestación del contrato aquí regulado.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ab/>
        <w:t>En particular, será considerado como información confidencial todo el conocimiento o saber hacer resultante de la ejecución de las obras contratadas, debiendo la entidad adjudicataria mantener dicha información en reserva y secreto y no revelarla de ninguna forma, en todo o en parte, a ninguna persona física o jurídica que no sea parte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w:t>
      </w:r>
    </w:p>
    <w:p w:rsidR="00226E05" w:rsidRDefault="003A6503">
      <w:pPr>
        <w:spacing w:after="200" w:line="276" w:lineRule="auto"/>
        <w:rPr>
          <w:rFonts w:ascii="Palatino Linotype" w:eastAsia="Palatino Linotype" w:hAnsi="Palatino Linotype" w:cs="Palatino Linotype"/>
          <w:sz w:val="21"/>
          <w:szCs w:val="21"/>
        </w:rPr>
      </w:pPr>
      <w:r>
        <w:br w:type="page"/>
      </w:r>
    </w:p>
    <w:p w:rsidR="00226E05" w:rsidRDefault="003A6503">
      <w:pPr>
        <w:tabs>
          <w:tab w:val="left" w:pos="567"/>
          <w:tab w:val="left" w:pos="993"/>
          <w:tab w:val="left" w:pos="1418"/>
          <w:tab w:val="left" w:pos="1843"/>
        </w:tabs>
        <w:jc w:val="center"/>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ANEXO I</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center"/>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MODELO DE IDENTIFICACIÓN DE LA ENTIDAD LICITADORA O LICITADORAS Y DIRECCIÓN DE CORREO ELECTRÓNICO A EFECTOS DE NOTIFICACIONES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center"/>
        <w:rPr>
          <w:rFonts w:ascii="Palatino Linotype" w:eastAsia="Palatino Linotype" w:hAnsi="Palatino Linotype" w:cs="Palatino Linotype"/>
          <w:b/>
          <w:i/>
          <w:sz w:val="21"/>
          <w:szCs w:val="21"/>
        </w:rPr>
      </w:pPr>
      <w:r>
        <w:rPr>
          <w:rFonts w:ascii="Palatino Linotype" w:eastAsia="Palatino Linotype" w:hAnsi="Palatino Linotype" w:cs="Palatino Linotype"/>
          <w:b/>
          <w:i/>
          <w:sz w:val="21"/>
          <w:szCs w:val="21"/>
        </w:rPr>
        <w:t>CONTRATACIÓN DE LA RENOVACION DE INSTALACIÓN DE ALUMBRADO PÚBLICO EN ARRE - FASE 2</w:t>
      </w:r>
    </w:p>
    <w:p w:rsidR="00226E05" w:rsidRDefault="00226E05">
      <w:pPr>
        <w:tabs>
          <w:tab w:val="left" w:pos="567"/>
          <w:tab w:val="left" w:pos="993"/>
          <w:tab w:val="left" w:pos="1418"/>
          <w:tab w:val="left" w:pos="1843"/>
        </w:tabs>
        <w:rPr>
          <w:rFonts w:ascii="Palatino Linotype" w:eastAsia="Palatino Linotype" w:hAnsi="Palatino Linotype" w:cs="Palatino Linotype"/>
          <w:b/>
          <w:i/>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Don/</w:t>
      </w:r>
      <w:proofErr w:type="gramStart"/>
      <w:r>
        <w:rPr>
          <w:rFonts w:ascii="Palatino Linotype" w:eastAsia="Palatino Linotype" w:hAnsi="Palatino Linotype" w:cs="Palatino Linotype"/>
          <w:sz w:val="21"/>
          <w:szCs w:val="21"/>
        </w:rPr>
        <w:t>Doña  ...........................................................................................................................................</w:t>
      </w:r>
      <w:proofErr w:type="gramEnd"/>
      <w:r>
        <w:rPr>
          <w:rFonts w:ascii="Palatino Linotype" w:eastAsia="Palatino Linotype" w:hAnsi="Palatino Linotype" w:cs="Palatino Linotype"/>
          <w:sz w:val="21"/>
          <w:szCs w:val="21"/>
        </w:rPr>
        <w:t xml:space="preserve"> DNI/NIF ...................................................................................... con domicilio a efectos de notificación en ......................................... C.P .................., localidad .................................................., teléfonos ......................................., fax </w:t>
      </w:r>
      <w:proofErr w:type="gramStart"/>
      <w:r>
        <w:rPr>
          <w:rFonts w:ascii="Palatino Linotype" w:eastAsia="Palatino Linotype" w:hAnsi="Palatino Linotype" w:cs="Palatino Linotype"/>
          <w:sz w:val="21"/>
          <w:szCs w:val="21"/>
        </w:rPr>
        <w:t>…….</w:t>
      </w:r>
      <w:proofErr w:type="gramEnd"/>
      <w:r>
        <w:rPr>
          <w:rFonts w:ascii="Palatino Linotype" w:eastAsia="Palatino Linotype" w:hAnsi="Palatino Linotype" w:cs="Palatino Linotype"/>
          <w:sz w:val="21"/>
          <w:szCs w:val="21"/>
        </w:rPr>
        <w:t xml:space="preserve">………., en nombre propio o en representación de (táchese lo que no proceda) la sociedad ................................................................................................. CIF...................................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EXPONE:</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Que la dirección de correo electrónico a efectos de notificaciones a través de medios telemáticos, en el caso de reclamaciones en materia de contratación pública es la siguiente: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Que conociendo el Pliego que rige la contratación, se compromete a su realización con estricta sujeción al mismo, a la oferta presentada, adjuntando a tal efecto los siguientes sobres: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SOBRE Nº 1: “Documentación administrativa”.</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SOBRE Nº 2: “Documentación relativa a criterios no cuantificables mediante fórmulas”.</w:t>
      </w:r>
    </w:p>
    <w:p w:rsidR="00226E05" w:rsidRDefault="003A6503">
      <w:pPr>
        <w:tabs>
          <w:tab w:val="left" w:pos="567"/>
          <w:tab w:val="left" w:pos="993"/>
          <w:tab w:val="left" w:pos="1418"/>
          <w:tab w:val="left" w:pos="1843"/>
        </w:tabs>
        <w:ind w:left="567"/>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w:t>
      </w:r>
      <w:r>
        <w:rPr>
          <w:rFonts w:ascii="Palatino Linotype" w:eastAsia="Palatino Linotype" w:hAnsi="Palatino Linotype" w:cs="Palatino Linotype"/>
          <w:sz w:val="21"/>
          <w:szCs w:val="21"/>
        </w:rPr>
        <w:tab/>
        <w:t>SOBRE Nº 3: “Documentación relativa a criterios cuantificables mediante fórmulas”.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center"/>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Lugar, fecha y firma.</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xml:space="preserve"> </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spacing w:after="200" w:line="276" w:lineRule="auto"/>
        <w:rPr>
          <w:rFonts w:ascii="Palatino Linotype" w:eastAsia="Palatino Linotype" w:hAnsi="Palatino Linotype" w:cs="Palatino Linotype"/>
          <w:sz w:val="21"/>
          <w:szCs w:val="21"/>
        </w:rPr>
      </w:pPr>
      <w:r>
        <w:br w:type="page"/>
      </w:r>
    </w:p>
    <w:p w:rsidR="00226E05" w:rsidRDefault="003A6503">
      <w:pPr>
        <w:tabs>
          <w:tab w:val="left" w:pos="567"/>
          <w:tab w:val="left" w:pos="993"/>
          <w:tab w:val="left" w:pos="1418"/>
          <w:tab w:val="left" w:pos="1843"/>
        </w:tabs>
        <w:jc w:val="center"/>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ANEXO II</w:t>
      </w:r>
    </w:p>
    <w:p w:rsidR="00226E05" w:rsidRDefault="00226E05">
      <w:pPr>
        <w:tabs>
          <w:tab w:val="left" w:pos="567"/>
          <w:tab w:val="left" w:pos="993"/>
          <w:tab w:val="left" w:pos="1418"/>
          <w:tab w:val="left" w:pos="1843"/>
        </w:tabs>
        <w:jc w:val="center"/>
        <w:rPr>
          <w:rFonts w:ascii="Palatino Linotype" w:eastAsia="Palatino Linotype" w:hAnsi="Palatino Linotype" w:cs="Palatino Linotype"/>
          <w:b/>
          <w:sz w:val="21"/>
          <w:szCs w:val="21"/>
        </w:rPr>
      </w:pPr>
    </w:p>
    <w:p w:rsidR="00226E05" w:rsidRDefault="003A6503">
      <w:pPr>
        <w:tabs>
          <w:tab w:val="left" w:pos="567"/>
          <w:tab w:val="left" w:pos="993"/>
          <w:tab w:val="left" w:pos="1418"/>
          <w:tab w:val="left" w:pos="1843"/>
        </w:tabs>
        <w:jc w:val="center"/>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MODELO DE DECLARACIÓN RESPONSABLE DEL CUMPLIMIENTO DE LAS CONDICIONES EXIGIDAS PARA CONTRATAR</w:t>
      </w:r>
    </w:p>
    <w:p w:rsidR="00226E05" w:rsidRDefault="00226E05">
      <w:pPr>
        <w:tabs>
          <w:tab w:val="left" w:pos="567"/>
          <w:tab w:val="left" w:pos="993"/>
          <w:tab w:val="left" w:pos="1418"/>
          <w:tab w:val="left" w:pos="1843"/>
        </w:tabs>
        <w:rPr>
          <w:rFonts w:ascii="Palatino Linotype" w:eastAsia="Palatino Linotype" w:hAnsi="Palatino Linotype" w:cs="Palatino Linotype"/>
          <w:b/>
          <w:i/>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center"/>
        <w:rPr>
          <w:rFonts w:ascii="Palatino Linotype" w:eastAsia="Palatino Linotype" w:hAnsi="Palatino Linotype" w:cs="Palatino Linotype"/>
          <w:b/>
          <w:i/>
          <w:sz w:val="21"/>
          <w:szCs w:val="21"/>
        </w:rPr>
      </w:pPr>
      <w:r>
        <w:rPr>
          <w:rFonts w:ascii="Palatino Linotype" w:eastAsia="Palatino Linotype" w:hAnsi="Palatino Linotype" w:cs="Palatino Linotype"/>
          <w:b/>
          <w:i/>
          <w:sz w:val="21"/>
          <w:szCs w:val="21"/>
        </w:rPr>
        <w:t>CONTRATACIÓN DE LA RENOVACION DE INSTALACIÓN DE ALUMBRADO PÚBLICO EN ARRE - FASE 2</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Don/</w:t>
      </w:r>
      <w:proofErr w:type="gramStart"/>
      <w:r>
        <w:rPr>
          <w:rFonts w:ascii="Palatino Linotype" w:eastAsia="Palatino Linotype" w:hAnsi="Palatino Linotype" w:cs="Palatino Linotype"/>
          <w:sz w:val="21"/>
          <w:szCs w:val="21"/>
        </w:rPr>
        <w:t>Doña  ...........................................................................................................................................</w:t>
      </w:r>
      <w:proofErr w:type="gramEnd"/>
      <w:r>
        <w:rPr>
          <w:rFonts w:ascii="Palatino Linotype" w:eastAsia="Palatino Linotype" w:hAnsi="Palatino Linotype" w:cs="Palatino Linotype"/>
          <w:sz w:val="21"/>
          <w:szCs w:val="21"/>
        </w:rPr>
        <w:t xml:space="preserve"> DNI/NIF ...................................................................................... con domicilio a efectos de notificación en ......................................... C.P .................., localidad .................................................., teléfonos ......................................., fax </w:t>
      </w:r>
      <w:proofErr w:type="gramStart"/>
      <w:r>
        <w:rPr>
          <w:rFonts w:ascii="Palatino Linotype" w:eastAsia="Palatino Linotype" w:hAnsi="Palatino Linotype" w:cs="Palatino Linotype"/>
          <w:sz w:val="21"/>
          <w:szCs w:val="21"/>
        </w:rPr>
        <w:t>…….</w:t>
      </w:r>
      <w:proofErr w:type="gramEnd"/>
      <w:r>
        <w:rPr>
          <w:rFonts w:ascii="Palatino Linotype" w:eastAsia="Palatino Linotype" w:hAnsi="Palatino Linotype" w:cs="Palatino Linotype"/>
          <w:sz w:val="21"/>
          <w:szCs w:val="21"/>
        </w:rPr>
        <w:t xml:space="preserve">………., en nombre propio o en representación de (táchese lo que no proceda) la sociedad ................................................................................................. CIF...................................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18"/>
          <w:szCs w:val="18"/>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18"/>
          <w:szCs w:val="18"/>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Declara bajo su responsabilidad:</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18"/>
          <w:szCs w:val="18"/>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Que reúne/que la entidad por mi representada reúne (indíquese según proceda) las condiciones para contratar y no estar incursa en ninguna de las prohibiciones para contratar enumeradas en los artículos 22 a 26 de la Ley Foral 2/2018, de 13 de abril, de Contratos Públicos.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18"/>
          <w:szCs w:val="18"/>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xml:space="preserve">- Que se compromete, en caso de obtener la adjudicación, a acreditar la posesión y validez de los documentos exigidos en el presente pliego en el plazo máximo de siete días desde la notificación de la misma.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18"/>
          <w:szCs w:val="18"/>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Que se compromete a presentar los documentos exigidos antes de la firma del contrato, conforme lo estipulado en el Pliego de Cláusulas Administrativas Particulares que rige la contratación.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18"/>
          <w:szCs w:val="18"/>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Que su finalidad o actividad tiene relación directa con el objeto del contrato y dispone de elementos personales y materiales suficientes para la debida ejecución del contrato.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18"/>
          <w:szCs w:val="18"/>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Que se halla al corriente del cumplimiento de las obligaciones tributarias, de la Seguridad Social y de Seguridad y salud en el trabajo y prevención de riesgos laborales, así como de Igualdad entre mujeres y hombres impuestas por las disposiciones legales vigentes.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18"/>
          <w:szCs w:val="18"/>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Que reúne la solvencia económica y financiera, técnica y profesional exigida en el presente pliego.</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18"/>
          <w:szCs w:val="18"/>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Que declara como documentación confidencial la siguiente: ………</w:t>
      </w:r>
      <w:proofErr w:type="gramStart"/>
      <w:r>
        <w:rPr>
          <w:rFonts w:ascii="Palatino Linotype" w:eastAsia="Palatino Linotype" w:hAnsi="Palatino Linotype" w:cs="Palatino Linotype"/>
          <w:sz w:val="21"/>
          <w:szCs w:val="21"/>
        </w:rPr>
        <w:t>…….</w:t>
      </w:r>
      <w:proofErr w:type="gramEnd"/>
      <w:r>
        <w:rPr>
          <w:rFonts w:ascii="Palatino Linotype" w:eastAsia="Palatino Linotype" w:hAnsi="Palatino Linotype" w:cs="Palatino Linotype"/>
          <w:sz w:val="21"/>
          <w:szCs w:val="21"/>
        </w:rPr>
        <w:t>.</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center"/>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Lugar, fecha y firma.</w:t>
      </w:r>
    </w:p>
    <w:p w:rsidR="00226E05" w:rsidRDefault="00226E05">
      <w:pPr>
        <w:tabs>
          <w:tab w:val="left" w:pos="567"/>
          <w:tab w:val="left" w:pos="993"/>
          <w:tab w:val="left" w:pos="1418"/>
          <w:tab w:val="left" w:pos="1843"/>
        </w:tabs>
        <w:jc w:val="center"/>
        <w:rPr>
          <w:rFonts w:ascii="Palatino Linotype" w:eastAsia="Palatino Linotype" w:hAnsi="Palatino Linotype" w:cs="Palatino Linotype"/>
          <w:b/>
          <w:sz w:val="21"/>
          <w:szCs w:val="21"/>
        </w:rPr>
      </w:pPr>
    </w:p>
    <w:p w:rsidR="00226E05" w:rsidRDefault="00226E05">
      <w:pPr>
        <w:tabs>
          <w:tab w:val="left" w:pos="567"/>
          <w:tab w:val="left" w:pos="993"/>
          <w:tab w:val="left" w:pos="1418"/>
          <w:tab w:val="left" w:pos="1843"/>
        </w:tabs>
        <w:jc w:val="center"/>
        <w:rPr>
          <w:rFonts w:ascii="Palatino Linotype" w:eastAsia="Palatino Linotype" w:hAnsi="Palatino Linotype" w:cs="Palatino Linotype"/>
          <w:b/>
          <w:sz w:val="21"/>
          <w:szCs w:val="21"/>
        </w:rPr>
      </w:pPr>
    </w:p>
    <w:p w:rsidR="00226E05" w:rsidRDefault="003A6503">
      <w:pPr>
        <w:tabs>
          <w:tab w:val="left" w:pos="567"/>
          <w:tab w:val="left" w:pos="993"/>
          <w:tab w:val="left" w:pos="1418"/>
          <w:tab w:val="left" w:pos="1843"/>
        </w:tabs>
        <w:jc w:val="center"/>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ANEXO III</w:t>
      </w:r>
    </w:p>
    <w:p w:rsidR="00226E05" w:rsidRDefault="00226E05">
      <w:pPr>
        <w:tabs>
          <w:tab w:val="left" w:pos="567"/>
          <w:tab w:val="left" w:pos="993"/>
          <w:tab w:val="left" w:pos="1418"/>
          <w:tab w:val="left" w:pos="1843"/>
        </w:tabs>
        <w:jc w:val="center"/>
        <w:rPr>
          <w:rFonts w:ascii="Palatino Linotype" w:eastAsia="Palatino Linotype" w:hAnsi="Palatino Linotype" w:cs="Palatino Linotype"/>
          <w:b/>
          <w:sz w:val="21"/>
          <w:szCs w:val="21"/>
        </w:rPr>
      </w:pPr>
    </w:p>
    <w:p w:rsidR="00226E05" w:rsidRDefault="003A6503">
      <w:pPr>
        <w:tabs>
          <w:tab w:val="left" w:pos="567"/>
          <w:tab w:val="left" w:pos="993"/>
          <w:tab w:val="left" w:pos="1418"/>
          <w:tab w:val="left" w:pos="1843"/>
        </w:tabs>
        <w:jc w:val="center"/>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MODELO DE OFERTA CUANTIFICABLE MEDIANTE FÓRMULAS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center"/>
        <w:rPr>
          <w:rFonts w:ascii="Palatino Linotype" w:eastAsia="Palatino Linotype" w:hAnsi="Palatino Linotype" w:cs="Palatino Linotype"/>
          <w:b/>
          <w:i/>
          <w:sz w:val="21"/>
          <w:szCs w:val="21"/>
        </w:rPr>
      </w:pPr>
      <w:r>
        <w:rPr>
          <w:rFonts w:ascii="Palatino Linotype" w:eastAsia="Palatino Linotype" w:hAnsi="Palatino Linotype" w:cs="Palatino Linotype"/>
          <w:b/>
          <w:i/>
          <w:sz w:val="21"/>
          <w:szCs w:val="21"/>
        </w:rPr>
        <w:t>CONTRATACIÓN DE LA RENOVACION DE INSTALACIÓN DE ALUMBRADO PÚBLICO EN ARRE - FASE 2</w:t>
      </w:r>
    </w:p>
    <w:p w:rsidR="00226E05" w:rsidRDefault="00226E05">
      <w:pPr>
        <w:tabs>
          <w:tab w:val="left" w:pos="567"/>
          <w:tab w:val="left" w:pos="993"/>
          <w:tab w:val="left" w:pos="1418"/>
          <w:tab w:val="left" w:pos="1843"/>
        </w:tabs>
        <w:jc w:val="center"/>
        <w:rPr>
          <w:rFonts w:ascii="Palatino Linotype" w:eastAsia="Palatino Linotype" w:hAnsi="Palatino Linotype" w:cs="Palatino Linotype"/>
          <w:b/>
          <w:i/>
          <w:sz w:val="21"/>
          <w:szCs w:val="21"/>
        </w:rPr>
      </w:pPr>
    </w:p>
    <w:p w:rsidR="00226E05" w:rsidRDefault="00226E05">
      <w:pPr>
        <w:tabs>
          <w:tab w:val="left" w:pos="567"/>
          <w:tab w:val="left" w:pos="993"/>
          <w:tab w:val="left" w:pos="1418"/>
          <w:tab w:val="left" w:pos="1843"/>
        </w:tabs>
        <w:jc w:val="center"/>
        <w:rPr>
          <w:rFonts w:ascii="Palatino Linotype" w:eastAsia="Palatino Linotype" w:hAnsi="Palatino Linotype" w:cs="Palatino Linotype"/>
          <w:b/>
          <w:i/>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xml:space="preserve">Don/Doña ........................................................................................................................................ DNI/NIF ...................................................................................... con domicilio a efectos de notificación en ......................................... C.P .................., localidad .................................................., teléfonos ......................................., fax </w:t>
      </w:r>
      <w:proofErr w:type="gramStart"/>
      <w:r>
        <w:rPr>
          <w:rFonts w:ascii="Palatino Linotype" w:eastAsia="Palatino Linotype" w:hAnsi="Palatino Linotype" w:cs="Palatino Linotype"/>
          <w:sz w:val="21"/>
          <w:szCs w:val="21"/>
        </w:rPr>
        <w:t>…….</w:t>
      </w:r>
      <w:proofErr w:type="gramEnd"/>
      <w:r>
        <w:rPr>
          <w:rFonts w:ascii="Palatino Linotype" w:eastAsia="Palatino Linotype" w:hAnsi="Palatino Linotype" w:cs="Palatino Linotype"/>
          <w:sz w:val="21"/>
          <w:szCs w:val="21"/>
        </w:rPr>
        <w:t xml:space="preserve">………., en nombre propio o en representación de (táchese lo que no proceda) la sociedad ................................................................................................. CIF...................................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Se compromete a ejecutar las obras indicadas de acuerdo con las ofertas que se hacen a continuación:</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Garantía complementaria (plazo de garantía por encima del establecido en el pliego): ………… meses.</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xml:space="preserve">- Porcentaje del precio de adjudicación que se subcontratará con Centros Especiales de Empleo y/o Empresas de Inserción: ……… %. </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Criterio de igualdad entre mujeres y hombres: …… horas de formación.</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Oferta económica: …………………………………. (consignar en número y letra) -sin IVA-.</w:t>
      </w: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 Plazo de entrega: ………………… días.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226E05">
      <w:pPr>
        <w:tabs>
          <w:tab w:val="left" w:pos="567"/>
          <w:tab w:val="left" w:pos="993"/>
          <w:tab w:val="left" w:pos="1418"/>
          <w:tab w:val="left" w:pos="1843"/>
        </w:tabs>
        <w:jc w:val="both"/>
        <w:rPr>
          <w:rFonts w:ascii="Palatino Linotype" w:eastAsia="Palatino Linotype" w:hAnsi="Palatino Linotype" w:cs="Palatino Linotype"/>
          <w:sz w:val="21"/>
          <w:szCs w:val="21"/>
        </w:rPr>
      </w:pPr>
    </w:p>
    <w:p w:rsidR="00226E05" w:rsidRDefault="003A6503">
      <w:pPr>
        <w:tabs>
          <w:tab w:val="left" w:pos="567"/>
          <w:tab w:val="left" w:pos="993"/>
          <w:tab w:val="left" w:pos="1418"/>
          <w:tab w:val="left" w:pos="1843"/>
        </w:tabs>
        <w:jc w:val="center"/>
        <w:rPr>
          <w:rFonts w:ascii="Palatino Linotype" w:eastAsia="Palatino Linotype" w:hAnsi="Palatino Linotype" w:cs="Palatino Linotype"/>
          <w:sz w:val="21"/>
          <w:szCs w:val="21"/>
        </w:rPr>
      </w:pPr>
      <w:r>
        <w:rPr>
          <w:rFonts w:ascii="Palatino Linotype" w:eastAsia="Palatino Linotype" w:hAnsi="Palatino Linotype" w:cs="Palatino Linotype"/>
          <w:sz w:val="21"/>
          <w:szCs w:val="21"/>
        </w:rPr>
        <w:t>Lugar, fecha y firma.</w:t>
      </w:r>
    </w:p>
    <w:p w:rsidR="00226E05" w:rsidRDefault="003A6503">
      <w:pPr>
        <w:spacing w:after="200" w:line="276" w:lineRule="auto"/>
        <w:rPr>
          <w:rFonts w:ascii="Palatino Linotype" w:eastAsia="Palatino Linotype" w:hAnsi="Palatino Linotype" w:cs="Palatino Linotype"/>
          <w:sz w:val="21"/>
          <w:szCs w:val="21"/>
        </w:rPr>
      </w:pPr>
      <w:r>
        <w:br w:type="page"/>
      </w:r>
    </w:p>
    <w:p w:rsidR="00226E05" w:rsidRDefault="003A6503">
      <w:pPr>
        <w:pBdr>
          <w:top w:val="nil"/>
          <w:left w:val="nil"/>
          <w:bottom w:val="nil"/>
          <w:right w:val="nil"/>
          <w:between w:val="nil"/>
        </w:pBdr>
        <w:tabs>
          <w:tab w:val="left" w:pos="567"/>
          <w:tab w:val="left" w:pos="993"/>
          <w:tab w:val="left" w:pos="1418"/>
          <w:tab w:val="left" w:pos="1843"/>
        </w:tabs>
        <w:jc w:val="center"/>
        <w:rPr>
          <w:rFonts w:ascii="Palatino Linotype" w:eastAsia="Palatino Linotype" w:hAnsi="Palatino Linotype" w:cs="Palatino Linotype"/>
          <w:b/>
          <w:color w:val="000000"/>
          <w:sz w:val="21"/>
          <w:szCs w:val="21"/>
        </w:rPr>
      </w:pPr>
      <w:r>
        <w:rPr>
          <w:rFonts w:ascii="Palatino Linotype" w:eastAsia="Palatino Linotype" w:hAnsi="Palatino Linotype" w:cs="Palatino Linotype"/>
          <w:b/>
          <w:color w:val="000000"/>
          <w:sz w:val="21"/>
          <w:szCs w:val="21"/>
        </w:rPr>
        <w:t>ANEXO IV “TRATAMIENTO DE DATOS PERSONALES”</w:t>
      </w:r>
    </w:p>
    <w:p w:rsidR="00226E05" w:rsidRDefault="00226E05">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p>
    <w:p w:rsidR="00226E05" w:rsidRDefault="003A6503">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b/>
          <w:color w:val="000000"/>
          <w:sz w:val="21"/>
          <w:szCs w:val="21"/>
        </w:rPr>
      </w:pPr>
      <w:r>
        <w:rPr>
          <w:rFonts w:ascii="Palatino Linotype" w:eastAsia="Palatino Linotype" w:hAnsi="Palatino Linotype" w:cs="Palatino Linotype"/>
          <w:b/>
          <w:color w:val="000000"/>
          <w:sz w:val="21"/>
          <w:szCs w:val="21"/>
        </w:rPr>
        <w:t>COLECTIVOS Y DATOS TRATADOS</w:t>
      </w:r>
    </w:p>
    <w:p w:rsidR="00226E05" w:rsidRDefault="00226E05">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p>
    <w:p w:rsidR="00226E05" w:rsidRDefault="003A6503">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ab/>
        <w:t>Las categorías de interesados/as cuyos datos serán tratados por el ENCARGADO DE TRATAMIENTO son las siguientes:</w:t>
      </w:r>
    </w:p>
    <w:p w:rsidR="00226E05" w:rsidRDefault="00226E05">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p>
    <w:p w:rsidR="00226E05" w:rsidRDefault="003A6503">
      <w:pPr>
        <w:numPr>
          <w:ilvl w:val="0"/>
          <w:numId w:val="2"/>
        </w:numPr>
        <w:pBdr>
          <w:top w:val="nil"/>
          <w:left w:val="nil"/>
          <w:bottom w:val="nil"/>
          <w:right w:val="nil"/>
          <w:between w:val="nil"/>
        </w:pBdr>
        <w:tabs>
          <w:tab w:val="left" w:pos="567"/>
          <w:tab w:val="left" w:pos="993"/>
          <w:tab w:val="left" w:pos="1418"/>
          <w:tab w:val="left" w:pos="1843"/>
        </w:tabs>
        <w:ind w:left="240" w:firstLine="0"/>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Proveedores. </w:t>
      </w:r>
    </w:p>
    <w:p w:rsidR="00226E05" w:rsidRDefault="003A6503">
      <w:pPr>
        <w:numPr>
          <w:ilvl w:val="0"/>
          <w:numId w:val="2"/>
        </w:numPr>
        <w:pBdr>
          <w:top w:val="nil"/>
          <w:left w:val="nil"/>
          <w:bottom w:val="nil"/>
          <w:right w:val="nil"/>
          <w:between w:val="nil"/>
        </w:pBdr>
        <w:tabs>
          <w:tab w:val="left" w:pos="567"/>
          <w:tab w:val="left" w:pos="993"/>
          <w:tab w:val="left" w:pos="1418"/>
          <w:tab w:val="left" w:pos="1843"/>
        </w:tabs>
        <w:ind w:left="240" w:firstLine="0"/>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Personas de contacto. </w:t>
      </w:r>
    </w:p>
    <w:p w:rsidR="00226E05" w:rsidRDefault="003A6503">
      <w:pPr>
        <w:numPr>
          <w:ilvl w:val="0"/>
          <w:numId w:val="2"/>
        </w:numPr>
        <w:pBdr>
          <w:top w:val="nil"/>
          <w:left w:val="nil"/>
          <w:bottom w:val="nil"/>
          <w:right w:val="nil"/>
          <w:between w:val="nil"/>
        </w:pBdr>
        <w:tabs>
          <w:tab w:val="left" w:pos="567"/>
          <w:tab w:val="left" w:pos="993"/>
          <w:tab w:val="left" w:pos="1418"/>
          <w:tab w:val="left" w:pos="1843"/>
        </w:tabs>
        <w:ind w:left="240" w:firstLine="0"/>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Empleados/as.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color w:val="000000"/>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ab/>
        <w:t>Para la ejecución del contrato objeto de este pliego el Concejo pone a disposición de la entidad adjudicataria los siguientes tipos de datos: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color w:val="000000"/>
          <w:sz w:val="21"/>
          <w:szCs w:val="21"/>
        </w:rPr>
      </w:pPr>
    </w:p>
    <w:p w:rsidR="00226E05" w:rsidRDefault="003A6503">
      <w:pPr>
        <w:numPr>
          <w:ilvl w:val="0"/>
          <w:numId w:val="3"/>
        </w:numPr>
        <w:pBdr>
          <w:top w:val="nil"/>
          <w:left w:val="nil"/>
          <w:bottom w:val="nil"/>
          <w:right w:val="nil"/>
          <w:between w:val="nil"/>
        </w:pBdr>
        <w:tabs>
          <w:tab w:val="left" w:pos="567"/>
          <w:tab w:val="left" w:pos="993"/>
          <w:tab w:val="left" w:pos="1418"/>
          <w:tab w:val="left" w:pos="1843"/>
        </w:tabs>
        <w:ind w:left="240" w:firstLine="0"/>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Datos identificativos (nombre y apellidos, NIF/DNI, dirección, teléfono, firma). </w:t>
      </w:r>
    </w:p>
    <w:p w:rsidR="00226E05" w:rsidRDefault="003A6503">
      <w:pPr>
        <w:numPr>
          <w:ilvl w:val="0"/>
          <w:numId w:val="4"/>
        </w:numPr>
        <w:pBdr>
          <w:top w:val="nil"/>
          <w:left w:val="nil"/>
          <w:bottom w:val="nil"/>
          <w:right w:val="nil"/>
          <w:between w:val="nil"/>
        </w:pBdr>
        <w:tabs>
          <w:tab w:val="left" w:pos="567"/>
          <w:tab w:val="left" w:pos="993"/>
          <w:tab w:val="left" w:pos="1418"/>
          <w:tab w:val="left" w:pos="1843"/>
        </w:tabs>
        <w:ind w:left="240" w:firstLine="0"/>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Datos de información comercial (actividades o negocios, licencias comerciales, suscripciones a publicaciones o medios de comunicación, creaciones literarias, artísticas, científicas o técnicas). </w:t>
      </w:r>
    </w:p>
    <w:p w:rsidR="00226E05" w:rsidRDefault="003A6503">
      <w:pPr>
        <w:numPr>
          <w:ilvl w:val="0"/>
          <w:numId w:val="5"/>
        </w:numPr>
        <w:pBdr>
          <w:top w:val="nil"/>
          <w:left w:val="nil"/>
          <w:bottom w:val="nil"/>
          <w:right w:val="nil"/>
          <w:between w:val="nil"/>
        </w:pBdr>
        <w:tabs>
          <w:tab w:val="left" w:pos="567"/>
          <w:tab w:val="left" w:pos="993"/>
          <w:tab w:val="left" w:pos="1418"/>
          <w:tab w:val="left" w:pos="1843"/>
        </w:tabs>
        <w:ind w:left="240" w:firstLine="0"/>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Datos de transacciones de bienes y servicios (bienes y servicios suministrados por el afectado, bienes y servicios recibidos por el afectado, transacciones financieras, compensaciones e indemnizaciones). </w:t>
      </w:r>
    </w:p>
    <w:p w:rsidR="00226E05" w:rsidRDefault="00226E05">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p>
    <w:p w:rsidR="00226E05" w:rsidRDefault="003A6503">
      <w:p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ab/>
        <w:t>Este acceso se realizará en los locales del RESPONSABLE DEL TRATAMIENTO. Teniendo la prohibición expresa de incorporar los datos a sistemas y soportes distintos de los del RESPONSABLE DEL TRATAMIENTO sin el consentimiento de éste.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color w:val="000000"/>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b/>
          <w:color w:val="000000"/>
          <w:sz w:val="21"/>
          <w:szCs w:val="21"/>
        </w:rPr>
      </w:pPr>
      <w:r>
        <w:rPr>
          <w:rFonts w:ascii="Palatino Linotype" w:eastAsia="Palatino Linotype" w:hAnsi="Palatino Linotype" w:cs="Palatino Linotype"/>
          <w:b/>
          <w:color w:val="000000"/>
          <w:sz w:val="21"/>
          <w:szCs w:val="21"/>
        </w:rPr>
        <w:t>MEDIDAS DE SEGURIDAD</w:t>
      </w:r>
    </w:p>
    <w:p w:rsidR="00226E05" w:rsidRDefault="00226E05">
      <w:pPr>
        <w:tabs>
          <w:tab w:val="left" w:pos="567"/>
          <w:tab w:val="left" w:pos="993"/>
          <w:tab w:val="left" w:pos="1418"/>
          <w:tab w:val="left" w:pos="1843"/>
        </w:tabs>
        <w:jc w:val="both"/>
        <w:rPr>
          <w:rFonts w:ascii="Palatino Linotype" w:eastAsia="Palatino Linotype" w:hAnsi="Palatino Linotype" w:cs="Palatino Linotype"/>
          <w:color w:val="000000"/>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ab/>
        <w:t xml:space="preserve">Los datos deben protegerse empleando las medidas para evitar que dichos datos pierdan su razonable confidencialidad, integridad y disponibilidad. De acuerdo con el análisis de riesgos realizado, se deben implantar, al menos, las medidas de seguridad siguientes: </w:t>
      </w:r>
    </w:p>
    <w:p w:rsidR="00226E05" w:rsidRDefault="00226E05">
      <w:pPr>
        <w:tabs>
          <w:tab w:val="left" w:pos="567"/>
          <w:tab w:val="left" w:pos="993"/>
          <w:tab w:val="left" w:pos="1418"/>
          <w:tab w:val="left" w:pos="1843"/>
        </w:tabs>
        <w:jc w:val="both"/>
        <w:rPr>
          <w:rFonts w:ascii="Palatino Linotype" w:eastAsia="Palatino Linotype" w:hAnsi="Palatino Linotype" w:cs="Palatino Linotype"/>
          <w:color w:val="000000"/>
          <w:sz w:val="21"/>
          <w:szCs w:val="21"/>
        </w:rPr>
      </w:pPr>
    </w:p>
    <w:p w:rsidR="00226E05" w:rsidRDefault="003A6503">
      <w:pPr>
        <w:numPr>
          <w:ilvl w:val="0"/>
          <w:numId w:val="1"/>
        </w:num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Identificación y autenticación en los sistemas de tratamiento: Denegación, a las personas no autorizadas, al acceso a cualesquiera sistemas de tratamiento vinculados al tratamiento de los datos de carácter personal.</w:t>
      </w:r>
    </w:p>
    <w:p w:rsidR="00226E05" w:rsidRDefault="003A6503">
      <w:pPr>
        <w:numPr>
          <w:ilvl w:val="0"/>
          <w:numId w:val="1"/>
        </w:num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Gestión de soportes: Implementación de medidas orientadas a impedir la lectura, modificación, copia o sustracción de soportes sin autorización.</w:t>
      </w:r>
    </w:p>
    <w:p w:rsidR="00226E05" w:rsidRDefault="003A6503">
      <w:pPr>
        <w:numPr>
          <w:ilvl w:val="0"/>
          <w:numId w:val="1"/>
        </w:num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Control de acceso a los datos: Garantizar que el personal autorizado tiene acceso únicamente a los datos correspondientes a su rol o perfil de usuario.  Establecer un sistema de gestión de usuarios.</w:t>
      </w:r>
    </w:p>
    <w:p w:rsidR="00226E05" w:rsidRDefault="003A6503">
      <w:pPr>
        <w:numPr>
          <w:ilvl w:val="0"/>
          <w:numId w:val="1"/>
        </w:num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 xml:space="preserve">Control de las comunicaciones: Medidas orientadas a verificar e identificar a qué personas se han proporcionado los datos, o han podido tener acceso a ellos mediante los sistemas telemáticos de la compañía (sistemas de comunicación o almacenamiento en la nube, VPN, etc.). </w:t>
      </w:r>
    </w:p>
    <w:p w:rsidR="00226E05" w:rsidRDefault="003A6503">
      <w:pPr>
        <w:numPr>
          <w:ilvl w:val="0"/>
          <w:numId w:val="1"/>
        </w:num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 xml:space="preserve">Sistema de copias de seguridad que permita garantizar la disponibilidad y la </w:t>
      </w:r>
      <w:proofErr w:type="spellStart"/>
      <w:r>
        <w:rPr>
          <w:rFonts w:ascii="Palatino Linotype" w:eastAsia="Palatino Linotype" w:hAnsi="Palatino Linotype" w:cs="Palatino Linotype"/>
          <w:color w:val="000000"/>
          <w:sz w:val="21"/>
          <w:szCs w:val="21"/>
        </w:rPr>
        <w:t>resilencia</w:t>
      </w:r>
      <w:proofErr w:type="spellEnd"/>
      <w:r>
        <w:rPr>
          <w:rFonts w:ascii="Palatino Linotype" w:eastAsia="Palatino Linotype" w:hAnsi="Palatino Linotype" w:cs="Palatino Linotype"/>
          <w:color w:val="000000"/>
          <w:sz w:val="21"/>
          <w:szCs w:val="21"/>
        </w:rPr>
        <w:t xml:space="preserve"> de los sistemas.</w:t>
      </w:r>
    </w:p>
    <w:p w:rsidR="00226E05" w:rsidRDefault="003A6503">
      <w:pPr>
        <w:numPr>
          <w:ilvl w:val="0"/>
          <w:numId w:val="1"/>
        </w:num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Establecer un procedimiento de control para garantizar la protección de la información, mediante la revisión, valoración y evaluación periódica de la efectividad de las medidas técnicas y organizativas y así garantizar la seguridad del tratamiento.</w:t>
      </w:r>
    </w:p>
    <w:p w:rsidR="00226E05" w:rsidRDefault="003A6503">
      <w:pPr>
        <w:numPr>
          <w:ilvl w:val="0"/>
          <w:numId w:val="1"/>
        </w:numPr>
        <w:pBdr>
          <w:top w:val="nil"/>
          <w:left w:val="nil"/>
          <w:bottom w:val="nil"/>
          <w:right w:val="nil"/>
          <w:between w:val="nil"/>
        </w:pBd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 xml:space="preserve">Emitir instrucciones de </w:t>
      </w:r>
      <w:proofErr w:type="gramStart"/>
      <w:r>
        <w:rPr>
          <w:rFonts w:ascii="Palatino Linotype" w:eastAsia="Palatino Linotype" w:hAnsi="Palatino Linotype" w:cs="Palatino Linotype"/>
          <w:color w:val="000000"/>
          <w:sz w:val="21"/>
          <w:szCs w:val="21"/>
        </w:rPr>
        <w:t>trabajo  al</w:t>
      </w:r>
      <w:proofErr w:type="gramEnd"/>
      <w:r>
        <w:rPr>
          <w:rFonts w:ascii="Palatino Linotype" w:eastAsia="Palatino Linotype" w:hAnsi="Palatino Linotype" w:cs="Palatino Linotype"/>
          <w:color w:val="000000"/>
          <w:sz w:val="21"/>
          <w:szCs w:val="21"/>
        </w:rPr>
        <w:t xml:space="preserve"> personal que tiene acceso a los datos personales para garantizar que se tratan conforme con la normativa de protección de datos, en las instrucciones se incluirán las medidas técnicas y organizativas.</w:t>
      </w:r>
    </w:p>
    <w:p w:rsidR="00226E05" w:rsidRDefault="00226E05">
      <w:pPr>
        <w:tabs>
          <w:tab w:val="left" w:pos="567"/>
          <w:tab w:val="left" w:pos="993"/>
          <w:tab w:val="left" w:pos="1418"/>
          <w:tab w:val="left" w:pos="1843"/>
        </w:tabs>
        <w:jc w:val="both"/>
        <w:rPr>
          <w:rFonts w:ascii="Palatino Linotype" w:eastAsia="Palatino Linotype" w:hAnsi="Palatino Linotype" w:cs="Palatino Linotype"/>
          <w:color w:val="000000"/>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ab/>
        <w:t>Mediante el empleo de un análisis de riesgos o evaluación de impacto, la entidad adjudicataria no dejará de implementar las medidas indicadas, salvo que, previamente justifique, ante el Concejo, la no necesidad de aplicarlas y obtenga la aprobación expresa.</w:t>
      </w:r>
    </w:p>
    <w:p w:rsidR="00226E05" w:rsidRDefault="003A6503">
      <w:pPr>
        <w:spacing w:after="200" w:line="276" w:lineRule="auto"/>
        <w:rPr>
          <w:rFonts w:ascii="Palatino Linotype" w:eastAsia="Palatino Linotype" w:hAnsi="Palatino Linotype" w:cs="Palatino Linotype"/>
          <w:color w:val="000000"/>
          <w:sz w:val="21"/>
          <w:szCs w:val="21"/>
        </w:rPr>
      </w:pPr>
      <w:r>
        <w:br w:type="page"/>
      </w:r>
    </w:p>
    <w:p w:rsidR="00226E05" w:rsidRDefault="003A6503">
      <w:pPr>
        <w:tabs>
          <w:tab w:val="left" w:pos="567"/>
          <w:tab w:val="left" w:pos="993"/>
          <w:tab w:val="left" w:pos="1418"/>
          <w:tab w:val="left" w:pos="1843"/>
        </w:tabs>
        <w:jc w:val="both"/>
        <w:rPr>
          <w:rFonts w:ascii="Palatino Linotype" w:eastAsia="Palatino Linotype" w:hAnsi="Palatino Linotype" w:cs="Palatino Linotype"/>
          <w:b/>
          <w:sz w:val="21"/>
          <w:szCs w:val="21"/>
        </w:rPr>
      </w:pPr>
      <w:r>
        <w:rPr>
          <w:rFonts w:ascii="Palatino Linotype" w:eastAsia="Palatino Linotype" w:hAnsi="Palatino Linotype" w:cs="Palatino Linotype"/>
          <w:b/>
          <w:sz w:val="21"/>
          <w:szCs w:val="21"/>
        </w:rPr>
        <w:t>II.- CLÁUSULAS TÉCNICAS QUE HAN DE REGIR LA CONTRATACIÓN DE LA RENOVACION DE INSTALACIÓN DE ALUMBRADO PÚBLICO EN ARRE - FASE 2.</w:t>
      </w:r>
    </w:p>
    <w:p w:rsidR="00226E05" w:rsidRDefault="00226E05">
      <w:pPr>
        <w:tabs>
          <w:tab w:val="left" w:pos="567"/>
          <w:tab w:val="left" w:pos="993"/>
          <w:tab w:val="left" w:pos="1418"/>
          <w:tab w:val="left" w:pos="1843"/>
        </w:tabs>
        <w:jc w:val="both"/>
        <w:rPr>
          <w:rFonts w:ascii="Palatino Linotype" w:eastAsia="Palatino Linotype" w:hAnsi="Palatino Linotype" w:cs="Palatino Linotype"/>
          <w:color w:val="000000"/>
          <w:sz w:val="21"/>
          <w:szCs w:val="21"/>
        </w:rPr>
      </w:pPr>
    </w:p>
    <w:p w:rsidR="00226E05" w:rsidRDefault="003A6503">
      <w:pPr>
        <w:tabs>
          <w:tab w:val="left" w:pos="567"/>
          <w:tab w:val="left" w:pos="993"/>
          <w:tab w:val="left" w:pos="1418"/>
          <w:tab w:val="left" w:pos="1843"/>
        </w:tabs>
        <w:jc w:val="both"/>
        <w:rPr>
          <w:rFonts w:ascii="Palatino Linotype" w:eastAsia="Palatino Linotype" w:hAnsi="Palatino Linotype" w:cs="Palatino Linotype"/>
          <w:sz w:val="21"/>
          <w:szCs w:val="21"/>
        </w:rPr>
      </w:pPr>
      <w:r>
        <w:rPr>
          <w:rFonts w:ascii="Palatino Linotype" w:eastAsia="Palatino Linotype" w:hAnsi="Palatino Linotype" w:cs="Palatino Linotype"/>
          <w:color w:val="000000"/>
          <w:sz w:val="21"/>
          <w:szCs w:val="21"/>
        </w:rPr>
        <w:tab/>
        <w:t xml:space="preserve">Son las recogidas en las </w:t>
      </w:r>
      <w:r>
        <w:rPr>
          <w:rFonts w:ascii="Palatino Linotype" w:eastAsia="Palatino Linotype" w:hAnsi="Palatino Linotype" w:cs="Palatino Linotype"/>
          <w:sz w:val="21"/>
          <w:szCs w:val="21"/>
        </w:rPr>
        <w:t>prescripciones técnicas que figuran en el proyecto redactado por los ingenieros D. David Gordejuela Gutiérrez y D. Javier Gordejuela Gutiérrez y que se incorporan como documentación anexa en PLENA.</w:t>
      </w:r>
    </w:p>
    <w:sectPr w:rsidR="00226E05">
      <w:headerReference w:type="default" r:id="rId9"/>
      <w:footerReference w:type="default" r:id="rId10"/>
      <w:pgSz w:w="11906" w:h="16838"/>
      <w:pgMar w:top="2552" w:right="1418" w:bottom="1134" w:left="1418" w:header="709"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6503" w:rsidRDefault="003A6503">
      <w:r>
        <w:separator/>
      </w:r>
    </w:p>
  </w:endnote>
  <w:endnote w:type="continuationSeparator" w:id="0">
    <w:p w:rsidR="003A6503" w:rsidRDefault="003A6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503" w:rsidRDefault="003A6503">
    <w:pPr>
      <w:pBdr>
        <w:top w:val="nil"/>
        <w:left w:val="nil"/>
        <w:bottom w:val="nil"/>
        <w:right w:val="nil"/>
        <w:between w:val="nil"/>
      </w:pBdr>
      <w:tabs>
        <w:tab w:val="center" w:pos="4252"/>
        <w:tab w:val="right" w:pos="8504"/>
      </w:tabs>
      <w:jc w:val="right"/>
      <w:rPr>
        <w:color w:val="000000"/>
      </w:rPr>
    </w:pPr>
    <w:r>
      <w:rPr>
        <w:rFonts w:ascii="Palatino Linotype" w:eastAsia="Palatino Linotype" w:hAnsi="Palatino Linotype" w:cs="Palatino Linotype"/>
        <w:color w:val="000000"/>
        <w:sz w:val="18"/>
        <w:szCs w:val="18"/>
      </w:rPr>
      <w:fldChar w:fldCharType="begin"/>
    </w:r>
    <w:r>
      <w:rPr>
        <w:rFonts w:ascii="Palatino Linotype" w:eastAsia="Palatino Linotype" w:hAnsi="Palatino Linotype" w:cs="Palatino Linotype"/>
        <w:color w:val="000000"/>
        <w:sz w:val="18"/>
        <w:szCs w:val="18"/>
      </w:rPr>
      <w:instrText>PAGE</w:instrText>
    </w:r>
    <w:r>
      <w:rPr>
        <w:rFonts w:ascii="Palatino Linotype" w:eastAsia="Palatino Linotype" w:hAnsi="Palatino Linotype" w:cs="Palatino Linotype"/>
        <w:color w:val="000000"/>
        <w:sz w:val="18"/>
        <w:szCs w:val="18"/>
      </w:rPr>
      <w:fldChar w:fldCharType="separate"/>
    </w:r>
    <w:r w:rsidR="0045295C">
      <w:rPr>
        <w:rFonts w:ascii="Palatino Linotype" w:eastAsia="Palatino Linotype" w:hAnsi="Palatino Linotype" w:cs="Palatino Linotype"/>
        <w:noProof/>
        <w:color w:val="000000"/>
        <w:sz w:val="18"/>
        <w:szCs w:val="18"/>
      </w:rPr>
      <w:t>22</w:t>
    </w:r>
    <w:r>
      <w:rPr>
        <w:rFonts w:ascii="Palatino Linotype" w:eastAsia="Palatino Linotype" w:hAnsi="Palatino Linotype" w:cs="Palatino Linotype"/>
        <w:color w:val="000000"/>
        <w:sz w:val="18"/>
        <w:szCs w:val="18"/>
      </w:rPr>
      <w:fldChar w:fldCharType="end"/>
    </w:r>
  </w:p>
  <w:p w:rsidR="003A6503" w:rsidRDefault="003A6503">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6503" w:rsidRDefault="003A6503">
      <w:r>
        <w:separator/>
      </w:r>
    </w:p>
  </w:footnote>
  <w:footnote w:type="continuationSeparator" w:id="0">
    <w:p w:rsidR="003A6503" w:rsidRDefault="003A65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503" w:rsidRDefault="003A6503">
    <w:pPr>
      <w:widowControl w:val="0"/>
      <w:pBdr>
        <w:top w:val="nil"/>
        <w:left w:val="nil"/>
        <w:bottom w:val="nil"/>
        <w:right w:val="nil"/>
        <w:between w:val="nil"/>
      </w:pBdr>
      <w:spacing w:line="276" w:lineRule="auto"/>
      <w:rPr>
        <w:rFonts w:ascii="Palatino Linotype" w:eastAsia="Palatino Linotype" w:hAnsi="Palatino Linotype" w:cs="Palatino Linotype"/>
        <w:sz w:val="21"/>
        <w:szCs w:val="21"/>
      </w:rPr>
    </w:pPr>
  </w:p>
  <w:tbl>
    <w:tblPr>
      <w:tblStyle w:val="a3"/>
      <w:tblW w:w="10908" w:type="dxa"/>
      <w:jc w:val="center"/>
      <w:tblInd w:w="0" w:type="dxa"/>
      <w:tblBorders>
        <w:top w:val="nil"/>
        <w:left w:val="nil"/>
        <w:bottom w:val="nil"/>
        <w:right w:val="nil"/>
        <w:insideH w:val="nil"/>
        <w:insideV w:val="nil"/>
      </w:tblBorders>
      <w:tblLayout w:type="fixed"/>
      <w:tblLook w:val="0000" w:firstRow="0" w:lastRow="0" w:firstColumn="0" w:lastColumn="0" w:noHBand="0" w:noVBand="0"/>
    </w:tblPr>
    <w:tblGrid>
      <w:gridCol w:w="1813"/>
      <w:gridCol w:w="5093"/>
      <w:gridCol w:w="4002"/>
    </w:tblGrid>
    <w:tr w:rsidR="003A6503">
      <w:trPr>
        <w:trHeight w:val="1875"/>
        <w:jc w:val="center"/>
      </w:trPr>
      <w:tc>
        <w:tcPr>
          <w:tcW w:w="1813" w:type="dxa"/>
          <w:vAlign w:val="center"/>
        </w:tcPr>
        <w:p w:rsidR="003A6503" w:rsidRDefault="003A6503">
          <w:pPr>
            <w:jc w:val="right"/>
          </w:pPr>
        </w:p>
      </w:tc>
      <w:tc>
        <w:tcPr>
          <w:tcW w:w="5093" w:type="dxa"/>
        </w:tcPr>
        <w:p w:rsidR="003A6503" w:rsidRDefault="003A6503">
          <w:pPr>
            <w:jc w:val="both"/>
            <w:rPr>
              <w:i/>
              <w:color w:val="999999"/>
            </w:rPr>
          </w:pPr>
        </w:p>
      </w:tc>
      <w:tc>
        <w:tcPr>
          <w:tcW w:w="4002" w:type="dxa"/>
          <w:vAlign w:val="center"/>
        </w:tcPr>
        <w:p w:rsidR="003A6503" w:rsidRDefault="003A6503">
          <w:pPr>
            <w:jc w:val="right"/>
            <w:rPr>
              <w:rFonts w:ascii="Palatino Linotype" w:eastAsia="Palatino Linotype" w:hAnsi="Palatino Linotype" w:cs="Palatino Linotype"/>
              <w:color w:val="333333"/>
              <w:sz w:val="14"/>
              <w:szCs w:val="14"/>
            </w:rPr>
          </w:pPr>
        </w:p>
        <w:p w:rsidR="003A6503" w:rsidRDefault="003A6503">
          <w:pPr>
            <w:jc w:val="right"/>
            <w:rPr>
              <w:rFonts w:ascii="Palatino Linotype" w:eastAsia="Palatino Linotype" w:hAnsi="Palatino Linotype" w:cs="Palatino Linotype"/>
              <w:color w:val="333333"/>
              <w:sz w:val="14"/>
              <w:szCs w:val="14"/>
            </w:rPr>
          </w:pPr>
        </w:p>
        <w:p w:rsidR="003A6503" w:rsidRDefault="003A6503">
          <w:pPr>
            <w:jc w:val="right"/>
            <w:rPr>
              <w:rFonts w:ascii="Palatino Linotype" w:eastAsia="Palatino Linotype" w:hAnsi="Palatino Linotype" w:cs="Palatino Linotype"/>
              <w:color w:val="333333"/>
              <w:sz w:val="16"/>
              <w:szCs w:val="16"/>
            </w:rPr>
          </w:pPr>
          <w:r>
            <w:rPr>
              <w:rFonts w:ascii="Palatino Linotype" w:eastAsia="Palatino Linotype" w:hAnsi="Palatino Linotype" w:cs="Palatino Linotype"/>
              <w:color w:val="333333"/>
              <w:sz w:val="16"/>
              <w:szCs w:val="16"/>
            </w:rPr>
            <w:t xml:space="preserve"> </w:t>
          </w:r>
        </w:p>
        <w:p w:rsidR="003A6503" w:rsidRDefault="003A6503">
          <w:pPr>
            <w:jc w:val="right"/>
            <w:rPr>
              <w:rFonts w:ascii="Palatino Linotype" w:eastAsia="Palatino Linotype" w:hAnsi="Palatino Linotype" w:cs="Palatino Linotype"/>
              <w:color w:val="333333"/>
              <w:sz w:val="14"/>
              <w:szCs w:val="14"/>
            </w:rPr>
          </w:pPr>
        </w:p>
      </w:tc>
    </w:tr>
  </w:tbl>
  <w:p w:rsidR="003A6503" w:rsidRDefault="003A6503">
    <w:pPr>
      <w:pBdr>
        <w:top w:val="nil"/>
        <w:left w:val="nil"/>
        <w:bottom w:val="nil"/>
        <w:right w:val="nil"/>
        <w:between w:val="nil"/>
      </w:pBdr>
      <w:tabs>
        <w:tab w:val="center" w:pos="4252"/>
        <w:tab w:val="right" w:pos="8504"/>
      </w:tabs>
      <w:rPr>
        <w:color w:val="00000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61F9E"/>
    <w:multiLevelType w:val="multilevel"/>
    <w:tmpl w:val="32E84E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67D6B1A"/>
    <w:multiLevelType w:val="multilevel"/>
    <w:tmpl w:val="345E84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B793903"/>
    <w:multiLevelType w:val="multilevel"/>
    <w:tmpl w:val="BB6818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CCC6DB4"/>
    <w:multiLevelType w:val="multilevel"/>
    <w:tmpl w:val="D9F881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1032A1C"/>
    <w:multiLevelType w:val="multilevel"/>
    <w:tmpl w:val="460249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E05"/>
    <w:rsid w:val="00226E05"/>
    <w:rsid w:val="003A6503"/>
    <w:rsid w:val="004063C4"/>
    <w:rsid w:val="004529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F74CF"/>
  <w15:docId w15:val="{2E63178D-4C62-41B2-B490-ECAD42AEB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inespaciado">
    <w:name w:val="No Spacing"/>
    <w:uiPriority w:val="1"/>
    <w:qFormat/>
    <w:rsid w:val="00002AA8"/>
  </w:style>
  <w:style w:type="paragraph" w:styleId="Encabezado">
    <w:name w:val="header"/>
    <w:basedOn w:val="Normal"/>
    <w:link w:val="EncabezadoCar"/>
    <w:uiPriority w:val="99"/>
    <w:unhideWhenUsed/>
    <w:rsid w:val="00E66D81"/>
    <w:pPr>
      <w:tabs>
        <w:tab w:val="center" w:pos="4252"/>
        <w:tab w:val="right" w:pos="8504"/>
      </w:tabs>
    </w:pPr>
  </w:style>
  <w:style w:type="character" w:customStyle="1" w:styleId="EncabezadoCar">
    <w:name w:val="Encabezado Car"/>
    <w:basedOn w:val="Fuentedeprrafopredeter"/>
    <w:link w:val="Encabezado"/>
    <w:uiPriority w:val="99"/>
    <w:rsid w:val="00E66D81"/>
    <w:rPr>
      <w:rFonts w:ascii="Times New Roman" w:hAnsi="Times New Roman"/>
      <w:sz w:val="24"/>
    </w:rPr>
  </w:style>
  <w:style w:type="paragraph" w:styleId="Piedepgina">
    <w:name w:val="footer"/>
    <w:basedOn w:val="Normal"/>
    <w:link w:val="PiedepginaCar"/>
    <w:uiPriority w:val="99"/>
    <w:unhideWhenUsed/>
    <w:rsid w:val="00E66D81"/>
    <w:pPr>
      <w:tabs>
        <w:tab w:val="center" w:pos="4252"/>
        <w:tab w:val="right" w:pos="8504"/>
      </w:tabs>
    </w:pPr>
  </w:style>
  <w:style w:type="character" w:customStyle="1" w:styleId="PiedepginaCar">
    <w:name w:val="Pie de página Car"/>
    <w:basedOn w:val="Fuentedeprrafopredeter"/>
    <w:link w:val="Piedepgina"/>
    <w:uiPriority w:val="99"/>
    <w:rsid w:val="00E66D81"/>
    <w:rPr>
      <w:rFonts w:ascii="Times New Roman" w:hAnsi="Times New Roman"/>
      <w:sz w:val="24"/>
    </w:rPr>
  </w:style>
  <w:style w:type="table" w:styleId="Tablaconcuadrcula">
    <w:name w:val="Table Grid"/>
    <w:basedOn w:val="Tablanormal"/>
    <w:rsid w:val="00E66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E66D81"/>
    <w:pPr>
      <w:tabs>
        <w:tab w:val="left" w:pos="3337"/>
        <w:tab w:val="right" w:leader="dot" w:pos="9656"/>
      </w:tabs>
      <w:spacing w:line="360" w:lineRule="auto"/>
      <w:jc w:val="both"/>
    </w:pPr>
    <w:rPr>
      <w:rFonts w:ascii="Arial" w:hAnsi="Arial"/>
      <w:sz w:val="32"/>
      <w:szCs w:val="20"/>
    </w:rPr>
  </w:style>
  <w:style w:type="character" w:customStyle="1" w:styleId="TextoindependienteCar">
    <w:name w:val="Texto independiente Car"/>
    <w:basedOn w:val="Fuentedeprrafopredeter"/>
    <w:link w:val="Textoindependiente"/>
    <w:uiPriority w:val="99"/>
    <w:rsid w:val="00E66D81"/>
    <w:rPr>
      <w:rFonts w:ascii="Arial" w:eastAsia="Times New Roman" w:hAnsi="Arial" w:cs="Times New Roman"/>
      <w:sz w:val="32"/>
      <w:szCs w:val="20"/>
      <w:lang w:eastAsia="es-ES"/>
    </w:rPr>
  </w:style>
  <w:style w:type="character" w:styleId="Textodelmarcadordeposicin">
    <w:name w:val="Placeholder Text"/>
    <w:basedOn w:val="Fuentedeprrafopredeter"/>
    <w:uiPriority w:val="99"/>
    <w:semiHidden/>
    <w:rsid w:val="00A32185"/>
    <w:rPr>
      <w:color w:val="808080"/>
    </w:rPr>
  </w:style>
  <w:style w:type="paragraph" w:styleId="Textodeglobo">
    <w:name w:val="Balloon Text"/>
    <w:basedOn w:val="Normal"/>
    <w:link w:val="TextodegloboCar"/>
    <w:uiPriority w:val="99"/>
    <w:semiHidden/>
    <w:unhideWhenUsed/>
    <w:rsid w:val="00A32185"/>
    <w:rPr>
      <w:rFonts w:ascii="Tahoma" w:hAnsi="Tahoma" w:cs="Tahoma"/>
      <w:sz w:val="16"/>
      <w:szCs w:val="16"/>
    </w:rPr>
  </w:style>
  <w:style w:type="character" w:customStyle="1" w:styleId="TextodegloboCar">
    <w:name w:val="Texto de globo Car"/>
    <w:basedOn w:val="Fuentedeprrafopredeter"/>
    <w:link w:val="Textodeglobo"/>
    <w:uiPriority w:val="99"/>
    <w:semiHidden/>
    <w:rsid w:val="00A32185"/>
    <w:rPr>
      <w:rFonts w:ascii="Tahoma" w:hAnsi="Tahoma" w:cs="Tahoma"/>
      <w:sz w:val="16"/>
      <w:szCs w:val="16"/>
    </w:rPr>
  </w:style>
  <w:style w:type="table" w:styleId="Sombreadoclaro">
    <w:name w:val="Light Shading"/>
    <w:basedOn w:val="Tablanormal"/>
    <w:uiPriority w:val="60"/>
    <w:rsid w:val="00082D7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Prrafodelista">
    <w:name w:val="List Paragraph"/>
    <w:basedOn w:val="Normal"/>
    <w:uiPriority w:val="99"/>
    <w:qFormat/>
    <w:rsid w:val="00E571C0"/>
    <w:pPr>
      <w:ind w:left="720"/>
      <w:contextualSpacing/>
    </w:pPr>
  </w:style>
  <w:style w:type="paragraph" w:customStyle="1" w:styleId="Default">
    <w:name w:val="Default"/>
    <w:uiPriority w:val="99"/>
    <w:rsid w:val="00E571C0"/>
    <w:pPr>
      <w:autoSpaceDE w:val="0"/>
      <w:autoSpaceDN w:val="0"/>
      <w:adjustRightInd w:val="0"/>
    </w:pPr>
    <w:rPr>
      <w:rFonts w:ascii="Arial" w:eastAsia="Calibri" w:hAnsi="Arial" w:cs="Arial"/>
      <w:color w:val="000000"/>
    </w:rPr>
  </w:style>
  <w:style w:type="character" w:customStyle="1" w:styleId="normaltextrun">
    <w:name w:val="normaltextrun"/>
    <w:basedOn w:val="Fuentedeprrafopredeter"/>
    <w:uiPriority w:val="99"/>
    <w:rsid w:val="00E571C0"/>
  </w:style>
  <w:style w:type="paragraph" w:customStyle="1" w:styleId="paragraph">
    <w:name w:val="paragraph"/>
    <w:basedOn w:val="Normal"/>
    <w:uiPriority w:val="99"/>
    <w:rsid w:val="00E571C0"/>
    <w:pPr>
      <w:spacing w:before="100" w:beforeAutospacing="1" w:after="100" w:afterAutospacing="1"/>
    </w:pPr>
    <w:rPr>
      <w:lang w:val="es-ES_tradnl" w:eastAsia="es-ES_tradnl"/>
    </w:rPr>
  </w:style>
  <w:style w:type="character" w:customStyle="1" w:styleId="eop">
    <w:name w:val="eop"/>
    <w:basedOn w:val="Fuentedeprrafopredeter"/>
    <w:uiPriority w:val="99"/>
    <w:rsid w:val="00E571C0"/>
  </w:style>
  <w:style w:type="character" w:styleId="Hipervnculo">
    <w:name w:val="Hyperlink"/>
    <w:basedOn w:val="Fuentedeprrafopredeter"/>
    <w:uiPriority w:val="99"/>
    <w:rsid w:val="00040D81"/>
    <w:rPr>
      <w:color w:val="0000FF"/>
      <w:u w:val="single"/>
    </w:rPr>
  </w:style>
  <w:style w:type="character" w:customStyle="1" w:styleId="UnresolvedMention">
    <w:name w:val="Unresolved Mention"/>
    <w:basedOn w:val="Fuentedeprrafopredeter"/>
    <w:uiPriority w:val="99"/>
    <w:semiHidden/>
    <w:unhideWhenUsed/>
    <w:rsid w:val="0009517C"/>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rPr>
      <w:color w:val="000000"/>
    </w:rPr>
    <w:tblPr>
      <w:tblStyleRowBandSize w:val="1"/>
      <w:tblStyleColBandSize w:val="1"/>
      <w:tblCellMar>
        <w:top w:w="0" w:type="dxa"/>
        <w:left w:w="108" w:type="dxa"/>
        <w:bottom w:w="0" w:type="dxa"/>
        <w:right w:w="108" w:type="dxa"/>
      </w:tblCellMar>
    </w:tblPr>
  </w:style>
  <w:style w:type="table" w:customStyle="1" w:styleId="a0">
    <w:basedOn w:val="TableNormal"/>
    <w:rPr>
      <w:color w:val="000000"/>
    </w:rPr>
    <w:tblPr>
      <w:tblStyleRowBandSize w:val="1"/>
      <w:tblStyleColBandSize w:val="1"/>
      <w:tblCellMar>
        <w:top w:w="0" w:type="dxa"/>
        <w:left w:w="108" w:type="dxa"/>
        <w:bottom w:w="0" w:type="dxa"/>
        <w:right w:w="108" w:type="dxa"/>
      </w:tblCellMar>
    </w:tblPr>
    <w:tblStylePr w:type="fir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1">
    <w:basedOn w:val="TableNormal"/>
    <w:rPr>
      <w:color w:val="000000"/>
    </w:rPr>
    <w:tblPr>
      <w:tblStyleRowBandSize w:val="1"/>
      <w:tblStyleColBandSize w:val="1"/>
      <w:tblCellMar>
        <w:top w:w="0" w:type="dxa"/>
        <w:left w:w="108" w:type="dxa"/>
        <w:bottom w:w="0" w:type="dxa"/>
        <w:right w:w="108" w:type="dxa"/>
      </w:tblCellMar>
    </w:tblPr>
  </w:style>
  <w:style w:type="table" w:customStyle="1" w:styleId="a2">
    <w:basedOn w:val="TableNormal"/>
    <w:rPr>
      <w:color w:val="000000"/>
    </w:rPr>
    <w:tblPr>
      <w:tblStyleRowBandSize w:val="1"/>
      <w:tblStyleColBandSize w:val="1"/>
      <w:tblCellMar>
        <w:top w:w="0" w:type="dxa"/>
        <w:left w:w="108" w:type="dxa"/>
        <w:bottom w:w="0" w:type="dxa"/>
        <w:right w:w="108" w:type="dxa"/>
      </w:tblCellMar>
    </w:tblPr>
  </w:style>
  <w:style w:type="table" w:customStyle="1" w:styleId="a3">
    <w:basedOn w:val="TableNormal"/>
    <w:rPr>
      <w:color w:val="000000"/>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agpd.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OXD/TB51PkhV2tnLEVDB5ZgdkQ==">AMUW2mXAnrgKMh60nETvPU7k5ybJNErP/Re03H2Va1J4QnRg7eYms64XEScYCWMUdhIOC91NiSmJBCUADJy2hMKdVytiUHmYnNjC65UitRKVFzH29TLlhOU=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38</Pages>
  <Words>13707</Words>
  <Characters>75392</Characters>
  <Application>Microsoft Office Word</Application>
  <DocSecurity>0</DocSecurity>
  <Lines>628</Lines>
  <Paragraphs>177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Isaak Valencia Alzueta</dc:creator>
  <cp:lastModifiedBy>Joaquín Lizarraga Sanz</cp:lastModifiedBy>
  <cp:revision>2</cp:revision>
  <dcterms:created xsi:type="dcterms:W3CDTF">2021-12-22T07:23:00Z</dcterms:created>
  <dcterms:modified xsi:type="dcterms:W3CDTF">2022-07-24T17:01:00Z</dcterms:modified>
</cp:coreProperties>
</file>