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6B" w:rsidRPr="009F086B" w:rsidRDefault="009F086B" w:rsidP="009F086B">
      <w:pPr>
        <w:keepNext/>
        <w:suppressAutoHyphens/>
        <w:jc w:val="center"/>
        <w:outlineLvl w:val="0"/>
        <w:rPr>
          <w:rFonts w:eastAsia="Arial" w:cs="Arial"/>
          <w:bCs/>
          <w:color w:val="000000"/>
          <w:sz w:val="24"/>
          <w:szCs w:val="24"/>
          <w:lang w:val="es-ES" w:eastAsia="es-ES"/>
        </w:rPr>
      </w:pPr>
      <w:bookmarkStart w:id="0" w:name="_Toc101867827"/>
      <w:bookmarkStart w:id="1" w:name="_GoBack"/>
      <w:r w:rsidRPr="009F086B"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  <w:t xml:space="preserve">ANEXO </w:t>
      </w:r>
      <w:r w:rsidRPr="009F086B">
        <w:rPr>
          <w:rFonts w:eastAsia="Arial" w:cs="Arial"/>
          <w:b/>
          <w:color w:val="000000"/>
          <w:sz w:val="24"/>
          <w:szCs w:val="24"/>
          <w:lang w:val="es-ES" w:eastAsia="es-ES"/>
        </w:rPr>
        <w:t>IV:</w:t>
      </w:r>
      <w:r w:rsidRPr="009F086B">
        <w:rPr>
          <w:rFonts w:eastAsia="Arial" w:cs="Arial"/>
          <w:b/>
          <w:bCs/>
          <w:color w:val="000000"/>
          <w:sz w:val="24"/>
          <w:szCs w:val="24"/>
          <w:lang w:val="es-ES" w:eastAsia="es-ES"/>
        </w:rPr>
        <w:t xml:space="preserve"> MODELO DE DECLARACIÓN RESPONSABLE SOBRE EL CUMPLIMIENTO DEL PRINCIPIO DE NO CAUSAR PERJUICIO SIGNIFICATIVO A LOS SEIS OBJETIVOS MEDIOAMBIENTALES (DNSH) EN EL SENTIDO DEL ARTÍCULO 17 DEL REGLAMENTO (UE) 2020/852</w:t>
      </w:r>
      <w:bookmarkEnd w:id="0"/>
    </w:p>
    <w:bookmarkEnd w:id="1"/>
    <w:p w:rsidR="009F086B" w:rsidRPr="009F086B" w:rsidRDefault="009F086B" w:rsidP="009F086B">
      <w:pPr>
        <w:jc w:val="center"/>
        <w:rPr>
          <w:rFonts w:ascii="Calibri" w:eastAsia="Times New Roman" w:hAnsi="Calibri" w:cs="Calibri"/>
          <w:b/>
          <w:sz w:val="24"/>
          <w:szCs w:val="24"/>
          <w:lang w:val="es-ES"/>
        </w:rPr>
      </w:pPr>
    </w:p>
    <w:p w:rsidR="009F086B" w:rsidRPr="009F086B" w:rsidRDefault="009F086B" w:rsidP="009F086B">
      <w:pPr>
        <w:jc w:val="center"/>
        <w:rPr>
          <w:rFonts w:ascii="Calibri" w:eastAsia="Times New Roman" w:hAnsi="Calibri" w:cs="Calibri"/>
          <w:b/>
          <w:sz w:val="24"/>
          <w:szCs w:val="24"/>
          <w:lang w:val="es-ES"/>
        </w:rPr>
      </w:pPr>
      <w:r w:rsidRPr="009F086B">
        <w:rPr>
          <w:rFonts w:ascii="Calibri" w:eastAsia="Times New Roman" w:hAnsi="Calibri" w:cs="Calibri"/>
          <w:b/>
          <w:sz w:val="24"/>
          <w:szCs w:val="24"/>
          <w:lang w:val="es-ES"/>
        </w:rPr>
        <w:t>EL DECLARANTE: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6"/>
        <w:gridCol w:w="6118"/>
      </w:tblGrid>
      <w:tr w:rsidR="009F086B" w:rsidRPr="009F086B" w:rsidTr="00063D99">
        <w:trPr>
          <w:trHeight w:val="260"/>
        </w:trPr>
        <w:tc>
          <w:tcPr>
            <w:tcW w:w="2376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spacing w:line="240" w:lineRule="auto"/>
              <w:rPr>
                <w:rFonts w:ascii="Calibri" w:eastAsia="Times New Roman" w:hAnsi="Calibri" w:cs="Calibri"/>
                <w:sz w:val="22"/>
                <w:lang w:val="en-US"/>
              </w:rPr>
            </w:pPr>
            <w:r w:rsidRPr="009F086B">
              <w:rPr>
                <w:rFonts w:ascii="Calibri" w:eastAsia="Arial" w:hAnsi="Calibri" w:cs="Calibri"/>
                <w:color w:val="000000"/>
                <w:sz w:val="22"/>
                <w:lang w:val="en-US"/>
              </w:rPr>
              <w:t>Don/Doña</w:t>
            </w:r>
          </w:p>
        </w:tc>
        <w:tc>
          <w:tcPr>
            <w:tcW w:w="6118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rPr>
                <w:rFonts w:ascii="Calibri" w:eastAsia="Times New Roman" w:hAnsi="Calibri" w:cs="Calibri"/>
                <w:sz w:val="22"/>
                <w:lang w:val="en-US"/>
              </w:rPr>
            </w:pPr>
          </w:p>
        </w:tc>
      </w:tr>
      <w:tr w:rsidR="009F086B" w:rsidRPr="009F086B" w:rsidTr="00063D99">
        <w:trPr>
          <w:trHeight w:val="260"/>
        </w:trPr>
        <w:tc>
          <w:tcPr>
            <w:tcW w:w="2376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spacing w:line="240" w:lineRule="auto"/>
              <w:rPr>
                <w:rFonts w:ascii="Calibri" w:eastAsia="Times New Roman" w:hAnsi="Calibri" w:cs="Calibri"/>
                <w:sz w:val="22"/>
                <w:lang w:val="en-US"/>
              </w:rPr>
            </w:pPr>
            <w:proofErr w:type="spellStart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en</w:t>
            </w:r>
            <w:proofErr w:type="spellEnd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calidad</w:t>
            </w:r>
            <w:proofErr w:type="spellEnd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de</w:t>
            </w:r>
          </w:p>
        </w:tc>
        <w:tc>
          <w:tcPr>
            <w:tcW w:w="6118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rPr>
                <w:rFonts w:ascii="Calibri" w:eastAsia="Times New Roman" w:hAnsi="Calibri" w:cs="Calibri"/>
                <w:sz w:val="22"/>
                <w:lang w:val="en-US"/>
              </w:rPr>
            </w:pPr>
          </w:p>
        </w:tc>
      </w:tr>
      <w:tr w:rsidR="009F086B" w:rsidRPr="009F086B" w:rsidTr="00063D99">
        <w:trPr>
          <w:trHeight w:val="260"/>
        </w:trPr>
        <w:tc>
          <w:tcPr>
            <w:tcW w:w="2376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spacing w:line="240" w:lineRule="auto"/>
              <w:rPr>
                <w:rFonts w:ascii="Calibri" w:eastAsia="Times New Roman" w:hAnsi="Calibri" w:cs="Calibri"/>
                <w:sz w:val="22"/>
                <w:lang w:val="en-US"/>
              </w:rPr>
            </w:pPr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con NIF</w:t>
            </w:r>
          </w:p>
        </w:tc>
        <w:tc>
          <w:tcPr>
            <w:tcW w:w="6118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rPr>
                <w:rFonts w:ascii="Calibri" w:eastAsia="Times New Roman" w:hAnsi="Calibri" w:cs="Calibri"/>
                <w:sz w:val="22"/>
                <w:lang w:val="en-US"/>
              </w:rPr>
            </w:pPr>
          </w:p>
        </w:tc>
      </w:tr>
      <w:tr w:rsidR="009F086B" w:rsidRPr="009F086B" w:rsidTr="00063D99">
        <w:trPr>
          <w:trHeight w:val="260"/>
        </w:trPr>
        <w:tc>
          <w:tcPr>
            <w:tcW w:w="2376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spacing w:line="240" w:lineRule="auto"/>
              <w:rPr>
                <w:rFonts w:ascii="Calibri" w:eastAsia="Times New Roman" w:hAnsi="Calibri" w:cs="Calibri"/>
                <w:sz w:val="22"/>
                <w:lang w:val="en-US"/>
              </w:rPr>
            </w:pPr>
            <w:proofErr w:type="spellStart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en</w:t>
            </w:r>
            <w:proofErr w:type="spellEnd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representación</w:t>
            </w:r>
            <w:proofErr w:type="spellEnd"/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de</w:t>
            </w:r>
          </w:p>
        </w:tc>
        <w:tc>
          <w:tcPr>
            <w:tcW w:w="6118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rPr>
                <w:rFonts w:ascii="Calibri" w:eastAsia="Times New Roman" w:hAnsi="Calibri" w:cs="Calibri"/>
                <w:sz w:val="22"/>
                <w:lang w:val="es-ES"/>
              </w:rPr>
            </w:pPr>
          </w:p>
        </w:tc>
      </w:tr>
      <w:tr w:rsidR="009F086B" w:rsidRPr="009F086B" w:rsidTr="00063D99">
        <w:trPr>
          <w:trHeight w:val="260"/>
        </w:trPr>
        <w:tc>
          <w:tcPr>
            <w:tcW w:w="2376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spacing w:line="240" w:lineRule="auto"/>
              <w:rPr>
                <w:rFonts w:ascii="Calibri" w:eastAsia="Times New Roman" w:hAnsi="Calibri" w:cs="Calibri"/>
                <w:sz w:val="22"/>
                <w:lang w:val="en-US"/>
              </w:rPr>
            </w:pPr>
            <w:r w:rsidRPr="009F086B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con NIF</w:t>
            </w:r>
          </w:p>
        </w:tc>
        <w:tc>
          <w:tcPr>
            <w:tcW w:w="6118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F086B" w:rsidRPr="009F086B" w:rsidRDefault="009F086B" w:rsidP="009F086B">
            <w:pPr>
              <w:rPr>
                <w:rFonts w:ascii="Calibri" w:eastAsia="Times New Roman" w:hAnsi="Calibri" w:cs="Calibri"/>
                <w:sz w:val="22"/>
                <w:lang w:val="en-US"/>
              </w:rPr>
            </w:pPr>
            <w:r w:rsidRPr="009F086B">
              <w:rPr>
                <w:rFonts w:ascii="Calibri" w:eastAsia="Arial" w:hAnsi="Calibri" w:cs="Calibri"/>
                <w:color w:val="000000"/>
                <w:sz w:val="22"/>
                <w:lang w:val="en-US"/>
              </w:rPr>
              <w:t xml:space="preserve">   </w:t>
            </w:r>
          </w:p>
        </w:tc>
      </w:tr>
    </w:tbl>
    <w:p w:rsidR="009F086B" w:rsidRPr="009F086B" w:rsidRDefault="009F086B" w:rsidP="009F086B">
      <w:pPr>
        <w:jc w:val="center"/>
        <w:rPr>
          <w:rFonts w:ascii="Calibri" w:eastAsia="Arial" w:hAnsi="Calibri" w:cs="Calibri"/>
          <w:b/>
          <w:sz w:val="24"/>
          <w:lang w:val="es-ES"/>
        </w:rPr>
      </w:pPr>
    </w:p>
    <w:p w:rsidR="009F086B" w:rsidRPr="009F086B" w:rsidRDefault="009F086B" w:rsidP="009F086B">
      <w:pPr>
        <w:jc w:val="center"/>
        <w:rPr>
          <w:rFonts w:ascii="Calibri" w:eastAsia="Arial" w:hAnsi="Calibri" w:cs="Calibri"/>
          <w:sz w:val="24"/>
          <w:lang w:val="es-ES"/>
        </w:rPr>
      </w:pPr>
      <w:r w:rsidRPr="009F086B">
        <w:rPr>
          <w:rFonts w:ascii="Calibri" w:eastAsia="Arial" w:hAnsi="Calibri" w:cs="Calibri"/>
          <w:b/>
          <w:sz w:val="24"/>
          <w:lang w:val="es-ES"/>
        </w:rPr>
        <w:t>DECLARA BAJO SU RESPONSABILIDAD:</w:t>
      </w:r>
    </w:p>
    <w:p w:rsidR="009F086B" w:rsidRPr="009F086B" w:rsidRDefault="009F086B" w:rsidP="009F086B">
      <w:pPr>
        <w:spacing w:afterLines="120" w:after="288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sz w:val="22"/>
          <w:lang w:val="es-ES"/>
        </w:rPr>
        <w:t>Que la entidad a la cual representa, teniendo en cuenta todas las fases del ciclo de vida del proyecto o actividad a desarrollar, tanto durante su implantación como al final de su vida útil, cumplirá con el principio DNSH de «no causar un perjuicio significativo» exigido por el REGLAMENTO (UE) 2021/241, por el que se establece el Mecanismo de Recuperación y Resiliencia, de forma que:</w:t>
      </w:r>
    </w:p>
    <w:p w:rsidR="009F086B" w:rsidRPr="009F086B" w:rsidRDefault="009F086B" w:rsidP="009F086B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Lines="120" w:after="288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b/>
          <w:sz w:val="22"/>
          <w:u w:val="single"/>
          <w:lang w:val="es-ES"/>
        </w:rPr>
        <w:t>NO CAUSA</w:t>
      </w:r>
      <w:r w:rsidRPr="009F086B">
        <w:rPr>
          <w:rFonts w:ascii="Calibri" w:eastAsia="Arial" w:hAnsi="Calibri" w:cs="Calibri"/>
          <w:b/>
          <w:sz w:val="32"/>
          <w:lang w:val="es-ES"/>
        </w:rPr>
        <w:t xml:space="preserve"> </w:t>
      </w:r>
      <w:r w:rsidRPr="009F086B">
        <w:rPr>
          <w:rFonts w:ascii="Calibri" w:eastAsia="Arial" w:hAnsi="Calibri" w:cs="Calibri"/>
          <w:b/>
          <w:sz w:val="22"/>
          <w:lang w:val="es-ES"/>
        </w:rPr>
        <w:t xml:space="preserve">UN PERJUICIO SIGNIFICATIVO A LOS SEIS OBJETIVOS MEDIOAMBIENTALES </w:t>
      </w:r>
      <w:r w:rsidRPr="009F086B">
        <w:rPr>
          <w:rFonts w:ascii="Calibri" w:eastAsia="Arial" w:hAnsi="Calibri" w:cs="Calibri"/>
          <w:sz w:val="22"/>
          <w:lang w:val="es-ES"/>
        </w:rPr>
        <w:t>del artículo 17 del Reglamento (UE) 2020/852, que se enumeran a continuación:</w:t>
      </w:r>
    </w:p>
    <w:p w:rsidR="009F086B" w:rsidRPr="009F086B" w:rsidRDefault="009F086B" w:rsidP="009F086B">
      <w:pPr>
        <w:numPr>
          <w:ilvl w:val="0"/>
          <w:numId w:val="6"/>
        </w:numPr>
        <w:spacing w:before="120" w:after="120"/>
        <w:ind w:left="567" w:hanging="357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Mitigación del cambio climático</w:t>
      </w:r>
      <w:r w:rsidRPr="009F086B">
        <w:rPr>
          <w:rFonts w:ascii="Calibri" w:eastAsia="Arial" w:hAnsi="Calibri" w:cs="Calibri"/>
          <w:sz w:val="22"/>
          <w:lang w:val="es-ES"/>
        </w:rPr>
        <w:t xml:space="preserve"> - se considera que una actividad causa un perjuicio significativo a la mitigación del cambio climático si da lugar a considerables emisiones de gases de efecto invernadero (GEI).</w:t>
      </w:r>
    </w:p>
    <w:p w:rsidR="009F086B" w:rsidRPr="009F086B" w:rsidRDefault="009F086B" w:rsidP="009F086B">
      <w:pPr>
        <w:numPr>
          <w:ilvl w:val="0"/>
          <w:numId w:val="6"/>
        </w:numPr>
        <w:spacing w:before="120" w:after="120"/>
        <w:ind w:left="567" w:hanging="357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Adaptación al cambio climático</w:t>
      </w:r>
      <w:r w:rsidRPr="009F086B">
        <w:rPr>
          <w:rFonts w:ascii="Calibri" w:eastAsia="Arial" w:hAnsi="Calibri" w:cs="Calibri"/>
          <w:sz w:val="22"/>
          <w:lang w:val="es-ES"/>
        </w:rPr>
        <w:t xml:space="preserve"> 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:rsidR="009F086B" w:rsidRPr="009F086B" w:rsidRDefault="009F086B" w:rsidP="009F086B">
      <w:pPr>
        <w:numPr>
          <w:ilvl w:val="0"/>
          <w:numId w:val="6"/>
        </w:numPr>
        <w:spacing w:before="120" w:after="120"/>
        <w:ind w:left="567" w:hanging="357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Uso sostenible y protección de los recursos hídricos y marinos</w:t>
      </w:r>
      <w:r w:rsidRPr="009F086B">
        <w:rPr>
          <w:rFonts w:ascii="Calibri" w:eastAsia="Arial" w:hAnsi="Calibri" w:cs="Calibri"/>
          <w:sz w:val="22"/>
          <w:lang w:val="es-ES"/>
        </w:rPr>
        <w:t xml:space="preserve"> - se considera que una </w:t>
      </w:r>
      <w:r w:rsidRPr="009F086B">
        <w:rPr>
          <w:rFonts w:ascii="Calibri" w:eastAsia="Arial" w:hAnsi="Calibri" w:cs="Calibri"/>
          <w:b/>
          <w:sz w:val="22"/>
          <w:lang w:val="es-ES"/>
        </w:rPr>
        <w:t>actividad causa un perjuicio significativo</w:t>
      </w:r>
      <w:r w:rsidRPr="009F086B">
        <w:rPr>
          <w:rFonts w:ascii="Calibri" w:eastAsia="Arial" w:hAnsi="Calibri" w:cs="Calibri"/>
          <w:sz w:val="22"/>
          <w:lang w:val="es-ES"/>
        </w:rPr>
        <w:t xml:space="preserve"> a la utilización y protección sostenibles de los recursos hídricos y marinos si va en detrimento del buen estado o del buen potencial ecológico de las masas de agua, incluidas las superficiales y subterráneas, y del buen estado ecológico de las aguas marinas.</w:t>
      </w:r>
    </w:p>
    <w:p w:rsidR="009F086B" w:rsidRPr="009F086B" w:rsidRDefault="009F086B" w:rsidP="009F086B">
      <w:pPr>
        <w:numPr>
          <w:ilvl w:val="0"/>
          <w:numId w:val="6"/>
        </w:numPr>
        <w:spacing w:before="120" w:after="120"/>
        <w:ind w:left="567" w:hanging="283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lastRenderedPageBreak/>
        <w:t>Economía circular, incluidos la prevención y el reciclado de residuos</w:t>
      </w:r>
      <w:r w:rsidRPr="009F086B">
        <w:rPr>
          <w:rFonts w:ascii="Calibri" w:eastAsia="Arial" w:hAnsi="Calibri" w:cs="Calibri"/>
          <w:sz w:val="22"/>
          <w:lang w:val="es-ES"/>
        </w:rPr>
        <w:t xml:space="preserve"> - 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</w:t>
      </w:r>
      <w:r w:rsidRPr="009F086B">
        <w:rPr>
          <w:rFonts w:ascii="Calibri" w:eastAsia="Calibri" w:hAnsi="Calibri"/>
          <w:sz w:val="22"/>
          <w:szCs w:val="22"/>
          <w:lang w:val="es-ES"/>
        </w:rPr>
        <w:t xml:space="preserve"> </w:t>
      </w:r>
      <w:r w:rsidRPr="009F086B">
        <w:rPr>
          <w:rFonts w:ascii="Calibri" w:eastAsia="Arial" w:hAnsi="Calibri" w:cs="Calibri"/>
          <w:sz w:val="22"/>
          <w:lang w:val="es-ES"/>
        </w:rPr>
        <w:t xml:space="preserve">de residuos, el tratamiento mecánico-biológico, incineración o depósito en vertedero de residuos; o si la eliminación de residuos a largo plazo puede causar un perjuicio significativo y a largo plazo para el medio ambiente. </w:t>
      </w:r>
    </w:p>
    <w:p w:rsidR="009F086B" w:rsidRPr="009F086B" w:rsidRDefault="009F086B" w:rsidP="009F086B">
      <w:pPr>
        <w:numPr>
          <w:ilvl w:val="0"/>
          <w:numId w:val="6"/>
        </w:numPr>
        <w:spacing w:before="120" w:after="120"/>
        <w:ind w:left="567" w:hanging="357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Prevención y control de la contaminación a la atmósfera, el agua o el suelo</w:t>
      </w:r>
      <w:r w:rsidRPr="009F086B">
        <w:rPr>
          <w:rFonts w:ascii="Calibri" w:eastAsia="Arial" w:hAnsi="Calibri" w:cs="Calibri"/>
          <w:sz w:val="22"/>
          <w:lang w:val="es-ES"/>
        </w:rPr>
        <w:t xml:space="preserve"> - se considera que una actividad causa un perjuicio significativo a la prevención y el control de la contaminación cuando da lugar a un aumento significativo de las emisiones de contaminantes a la atmósfera, el agua o el suelo. </w:t>
      </w:r>
    </w:p>
    <w:p w:rsidR="009F086B" w:rsidRPr="009F086B" w:rsidRDefault="009F086B" w:rsidP="009F086B">
      <w:pPr>
        <w:numPr>
          <w:ilvl w:val="0"/>
          <w:numId w:val="6"/>
        </w:numPr>
        <w:spacing w:before="120" w:after="120"/>
        <w:ind w:left="567" w:hanging="357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Protección y restauración de la biodiversidad y los ecosistemas</w:t>
      </w:r>
      <w:r w:rsidRPr="009F086B">
        <w:rPr>
          <w:rFonts w:ascii="Calibri" w:eastAsia="Arial" w:hAnsi="Calibri" w:cs="Calibri"/>
          <w:sz w:val="22"/>
          <w:lang w:val="es-ES"/>
        </w:rPr>
        <w:t xml:space="preserve"> 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</w:t>
      </w:r>
    </w:p>
    <w:p w:rsidR="009F086B" w:rsidRPr="009F086B" w:rsidRDefault="009F086B" w:rsidP="009F086B">
      <w:pPr>
        <w:spacing w:after="200" w:line="276" w:lineRule="auto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sz w:val="22"/>
          <w:lang w:val="es-ES"/>
        </w:rPr>
        <w:br w:type="page"/>
      </w:r>
    </w:p>
    <w:p w:rsidR="009F086B" w:rsidRPr="009F086B" w:rsidRDefault="009F086B" w:rsidP="009F086B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Lines="120" w:after="288"/>
        <w:ind w:left="357" w:hanging="357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b/>
          <w:sz w:val="22"/>
          <w:lang w:val="es-ES"/>
        </w:rPr>
        <w:lastRenderedPageBreak/>
        <w:t xml:space="preserve">LA ENTIDAD </w:t>
      </w:r>
      <w:r w:rsidRPr="009F086B">
        <w:rPr>
          <w:rFonts w:ascii="Calibri" w:eastAsia="Arial" w:hAnsi="Calibri" w:cs="Calibri"/>
          <w:b/>
          <w:sz w:val="22"/>
          <w:u w:val="single"/>
          <w:lang w:val="es-ES"/>
        </w:rPr>
        <w:t>NO DESARROLLA ACTIVIDADES EXCLUIDAS</w:t>
      </w:r>
      <w:r w:rsidRPr="009F086B">
        <w:rPr>
          <w:rFonts w:ascii="Calibri" w:eastAsia="Arial" w:hAnsi="Calibri" w:cs="Calibri"/>
          <w:sz w:val="22"/>
          <w:lang w:val="es-ES"/>
        </w:rPr>
        <w:t xml:space="preserve"> según lo indicado por la Guía técnica sobre la aplicación del principio de «no causar un perjuicio significativo» en virtud del Reglamento relativo al Mecanismo de Recuperación y Resiliencia.</w:t>
      </w:r>
    </w:p>
    <w:p w:rsidR="009F086B" w:rsidRPr="009F086B" w:rsidRDefault="009F086B" w:rsidP="009F086B">
      <w:pPr>
        <w:spacing w:afterLines="50" w:after="120"/>
        <w:jc w:val="both"/>
        <w:rPr>
          <w:rFonts w:ascii="Calibri" w:eastAsia="Arial" w:hAnsi="Calibri" w:cs="Calibri"/>
          <w:sz w:val="22"/>
          <w:lang w:val="es-ES"/>
        </w:rPr>
      </w:pPr>
      <w:r w:rsidRPr="009F086B">
        <w:rPr>
          <w:rFonts w:ascii="Calibri" w:eastAsia="Arial" w:hAnsi="Calibri" w:cs="Calibri"/>
          <w:sz w:val="22"/>
          <w:lang w:val="es-ES"/>
        </w:rPr>
        <w:t xml:space="preserve">Las actividades excluidas son: </w:t>
      </w:r>
    </w:p>
    <w:p w:rsidR="009F086B" w:rsidRPr="009F086B" w:rsidRDefault="009F086B" w:rsidP="009F086B">
      <w:pPr>
        <w:numPr>
          <w:ilvl w:val="0"/>
          <w:numId w:val="7"/>
        </w:numPr>
        <w:ind w:left="567" w:hanging="357"/>
        <w:jc w:val="both"/>
        <w:rPr>
          <w:rFonts w:ascii="Calibri" w:eastAsia="Arial" w:hAnsi="Calibri" w:cs="Calibri"/>
          <w:i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Refinerías de petróleo</w:t>
      </w:r>
    </w:p>
    <w:p w:rsidR="009F086B" w:rsidRPr="009F086B" w:rsidRDefault="009F086B" w:rsidP="009F086B">
      <w:pPr>
        <w:numPr>
          <w:ilvl w:val="0"/>
          <w:numId w:val="7"/>
        </w:numPr>
        <w:ind w:left="567" w:hanging="357"/>
        <w:jc w:val="both"/>
        <w:rPr>
          <w:rFonts w:ascii="Calibri" w:eastAsia="Arial" w:hAnsi="Calibri" w:cs="Calibri"/>
          <w:i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Centrales térmicas de carbón y extracción de combustibles fósiles</w:t>
      </w:r>
    </w:p>
    <w:p w:rsidR="009F086B" w:rsidRPr="009F086B" w:rsidRDefault="009F086B" w:rsidP="009F086B">
      <w:pPr>
        <w:numPr>
          <w:ilvl w:val="0"/>
          <w:numId w:val="7"/>
        </w:numPr>
        <w:ind w:left="567" w:hanging="357"/>
        <w:jc w:val="both"/>
        <w:rPr>
          <w:rFonts w:ascii="Calibri" w:eastAsia="Arial" w:hAnsi="Calibri" w:cs="Calibri"/>
          <w:i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Generación de electricidad y/o calor utilizando combustibles fósiles y relacionados con su infraestructura de transporte y distribución</w:t>
      </w:r>
    </w:p>
    <w:p w:rsidR="009F086B" w:rsidRPr="009F086B" w:rsidRDefault="009F086B" w:rsidP="009F086B">
      <w:pPr>
        <w:numPr>
          <w:ilvl w:val="0"/>
          <w:numId w:val="7"/>
        </w:numPr>
        <w:ind w:left="567" w:hanging="357"/>
        <w:jc w:val="both"/>
        <w:rPr>
          <w:rFonts w:ascii="Calibri" w:eastAsia="Arial" w:hAnsi="Calibri" w:cs="Calibri"/>
          <w:i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Eliminación de desechos (por ejemplo, nucleares, que puedan causar daños a largo plazo al medioambiente)</w:t>
      </w:r>
    </w:p>
    <w:p w:rsidR="009F086B" w:rsidRPr="009F086B" w:rsidRDefault="009F086B" w:rsidP="009F086B">
      <w:pPr>
        <w:numPr>
          <w:ilvl w:val="0"/>
          <w:numId w:val="7"/>
        </w:numPr>
        <w:ind w:left="567" w:hanging="357"/>
        <w:jc w:val="both"/>
        <w:rPr>
          <w:rFonts w:ascii="Calibri" w:eastAsia="Arial" w:hAnsi="Calibri" w:cs="Calibri"/>
          <w:i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Inversiones en instalaciones para la deposición de residuos en vertedero o inversiones en plantas de tratamiento biológico mecánico (MBT) que impliquen un aumento de su capacidad o de su vida útil (salvo plantas de tratamiento de residuos peligrosos no reciclables)</w:t>
      </w:r>
    </w:p>
    <w:p w:rsidR="009F086B" w:rsidRPr="009F086B" w:rsidRDefault="009F086B" w:rsidP="009F086B">
      <w:pPr>
        <w:numPr>
          <w:ilvl w:val="0"/>
          <w:numId w:val="7"/>
        </w:numPr>
        <w:ind w:left="567" w:hanging="357"/>
        <w:jc w:val="both"/>
        <w:rPr>
          <w:rFonts w:ascii="Calibri" w:eastAsia="Arial" w:hAnsi="Calibri" w:cs="Calibri"/>
          <w:i/>
          <w:sz w:val="22"/>
          <w:lang w:val="es-ES"/>
        </w:rPr>
      </w:pPr>
      <w:r w:rsidRPr="009F086B">
        <w:rPr>
          <w:rFonts w:ascii="Calibri" w:eastAsia="Arial" w:hAnsi="Calibri" w:cs="Calibri"/>
          <w:i/>
          <w:sz w:val="22"/>
          <w:lang w:val="es-ES"/>
        </w:rPr>
        <w:t>actividades cubiertas por el régimen de comercio de derechos de emisión de la UE (según el Anexo I de la Ley 1/2005 de 9 de marzo, por la que se regula el régimen del comercio de derechos de emisión de gases de efecto invernadero.</w:t>
      </w:r>
    </w:p>
    <w:p w:rsidR="009F086B" w:rsidRPr="009F086B" w:rsidRDefault="009F086B" w:rsidP="009F086B">
      <w:pPr>
        <w:ind w:left="567"/>
        <w:jc w:val="both"/>
        <w:rPr>
          <w:rFonts w:ascii="Calibri" w:eastAsia="Arial" w:hAnsi="Calibri" w:cs="Calibri"/>
          <w:i/>
          <w:sz w:val="22"/>
          <w:lang w:val="es-ES"/>
        </w:rPr>
      </w:pPr>
    </w:p>
    <w:p w:rsidR="009F086B" w:rsidRPr="009F086B" w:rsidRDefault="009F086B" w:rsidP="009F086B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Lines="120" w:after="288"/>
        <w:contextualSpacing/>
        <w:jc w:val="both"/>
        <w:rPr>
          <w:rFonts w:ascii="Calibri" w:eastAsia="Arial" w:hAnsi="Calibri" w:cs="Calibri"/>
          <w:b/>
          <w:sz w:val="22"/>
          <w:lang w:val="es-ES"/>
        </w:rPr>
      </w:pPr>
      <w:r w:rsidRPr="009F086B">
        <w:rPr>
          <w:rFonts w:ascii="Calibri" w:eastAsia="Arial" w:hAnsi="Calibri" w:cs="Calibri"/>
          <w:b/>
          <w:sz w:val="22"/>
          <w:lang w:val="es-ES"/>
        </w:rPr>
        <w:t xml:space="preserve">LA ENTIDAD </w:t>
      </w:r>
      <w:r w:rsidRPr="009F086B">
        <w:rPr>
          <w:rFonts w:ascii="Calibri" w:eastAsia="Arial" w:hAnsi="Calibri" w:cs="Calibri"/>
          <w:b/>
          <w:sz w:val="22"/>
          <w:u w:val="single"/>
          <w:lang w:val="es-ES"/>
        </w:rPr>
        <w:t>NO PREVÉ EFECTOS DIRECTOS</w:t>
      </w:r>
      <w:r w:rsidRPr="009F086B">
        <w:rPr>
          <w:rFonts w:ascii="Calibri" w:eastAsia="Arial" w:hAnsi="Calibri" w:cs="Calibri"/>
          <w:b/>
          <w:sz w:val="22"/>
          <w:lang w:val="es-ES"/>
        </w:rPr>
        <w:t xml:space="preserve"> DEL PROYECTO O ACTIVIDAD SOBRE EL MEDIOAMBIENTE, NI </w:t>
      </w:r>
      <w:r w:rsidRPr="009F086B">
        <w:rPr>
          <w:rFonts w:ascii="Calibri" w:eastAsia="Arial" w:hAnsi="Calibri" w:cs="Calibri"/>
          <w:b/>
          <w:sz w:val="22"/>
          <w:u w:val="single"/>
          <w:lang w:val="es-ES"/>
        </w:rPr>
        <w:t>EFECTOS INDIRECTOS PRIMARIOS</w:t>
      </w:r>
      <w:r w:rsidRPr="009F086B">
        <w:rPr>
          <w:rFonts w:ascii="Calibri" w:eastAsia="Arial" w:hAnsi="Calibri" w:cs="Calibri"/>
          <w:sz w:val="22"/>
          <w:lang w:val="es-ES"/>
        </w:rPr>
        <w:t>, entendiendo como tales aquéllos que pudieran materializarse</w:t>
      </w:r>
      <w:r w:rsidRPr="009F086B">
        <w:rPr>
          <w:rFonts w:ascii="Calibri" w:eastAsia="Arial" w:hAnsi="Calibri" w:cs="Calibri"/>
          <w:b/>
          <w:sz w:val="22"/>
          <w:u w:val="single"/>
          <w:lang w:val="es-ES"/>
        </w:rPr>
        <w:t xml:space="preserve"> </w:t>
      </w:r>
      <w:r w:rsidRPr="009F086B">
        <w:rPr>
          <w:rFonts w:ascii="Calibri" w:eastAsia="Arial" w:hAnsi="Calibri" w:cs="Calibri"/>
          <w:sz w:val="22"/>
          <w:lang w:val="es-ES"/>
        </w:rPr>
        <w:t>tras su finalización, una vez realizado el proyecto o actividad.</w:t>
      </w:r>
    </w:p>
    <w:p w:rsidR="009F086B" w:rsidRPr="009F086B" w:rsidRDefault="009F086B" w:rsidP="009F086B">
      <w:pPr>
        <w:spacing w:afterLines="120" w:after="288"/>
        <w:jc w:val="both"/>
        <w:rPr>
          <w:rFonts w:ascii="Calibri" w:eastAsia="Arial" w:hAnsi="Calibri" w:cs="Calibri"/>
          <w:sz w:val="22"/>
          <w:lang w:val="es-ES"/>
        </w:rPr>
      </w:pPr>
    </w:p>
    <w:p w:rsidR="009F086B" w:rsidRPr="009F086B" w:rsidRDefault="009F086B" w:rsidP="009F086B">
      <w:pPr>
        <w:ind w:firstLine="708"/>
        <w:jc w:val="center"/>
        <w:rPr>
          <w:rFonts w:cs="Arial"/>
          <w:sz w:val="22"/>
          <w:szCs w:val="22"/>
        </w:rPr>
      </w:pPr>
      <w:r w:rsidRPr="009F086B">
        <w:rPr>
          <w:rFonts w:cs="Arial"/>
          <w:color w:val="000000"/>
        </w:rPr>
        <w:t>(Fecha y firma electrónica)</w:t>
      </w:r>
    </w:p>
    <w:p w:rsidR="009F086B" w:rsidRPr="009F086B" w:rsidRDefault="009F086B" w:rsidP="009F086B">
      <w:pPr>
        <w:ind w:firstLine="708"/>
        <w:jc w:val="center"/>
        <w:rPr>
          <w:rFonts w:cs="Arial"/>
          <w:sz w:val="22"/>
          <w:szCs w:val="22"/>
        </w:rPr>
      </w:pPr>
    </w:p>
    <w:p w:rsidR="009F086B" w:rsidRPr="009F086B" w:rsidRDefault="009F086B" w:rsidP="009F086B">
      <w:pPr>
        <w:ind w:firstLine="708"/>
        <w:jc w:val="center"/>
        <w:rPr>
          <w:rFonts w:cs="Arial"/>
          <w:sz w:val="22"/>
          <w:szCs w:val="22"/>
        </w:rPr>
      </w:pPr>
    </w:p>
    <w:p w:rsidR="009F086B" w:rsidRPr="009F086B" w:rsidRDefault="009F086B" w:rsidP="009F086B">
      <w:pPr>
        <w:ind w:firstLine="708"/>
        <w:jc w:val="center"/>
        <w:rPr>
          <w:rFonts w:cs="Arial"/>
          <w:sz w:val="22"/>
          <w:szCs w:val="22"/>
        </w:rPr>
      </w:pPr>
    </w:p>
    <w:p w:rsidR="009F086B" w:rsidRPr="009F086B" w:rsidRDefault="009F086B" w:rsidP="009F086B">
      <w:pPr>
        <w:ind w:firstLine="708"/>
        <w:jc w:val="center"/>
        <w:rPr>
          <w:rFonts w:cs="Arial"/>
          <w:sz w:val="22"/>
          <w:szCs w:val="22"/>
        </w:rPr>
      </w:pPr>
    </w:p>
    <w:p w:rsidR="001C3CA1" w:rsidRPr="009F086B" w:rsidRDefault="001C3CA1" w:rsidP="009F086B"/>
    <w:sectPr w:rsidR="001C3CA1" w:rsidRPr="009F086B" w:rsidSect="004C7CFB">
      <w:headerReference w:type="default" r:id="rId7"/>
      <w:pgSz w:w="11906" w:h="16838"/>
      <w:pgMar w:top="1702" w:right="1701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19D" w:rsidRDefault="0073419D" w:rsidP="002C407F">
      <w:r>
        <w:separator/>
      </w:r>
    </w:p>
  </w:endnote>
  <w:endnote w:type="continuationSeparator" w:id="0">
    <w:p w:rsidR="0073419D" w:rsidRDefault="0073419D" w:rsidP="002C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19D" w:rsidRDefault="0073419D" w:rsidP="002C407F">
      <w:r>
        <w:separator/>
      </w:r>
    </w:p>
  </w:footnote>
  <w:footnote w:type="continuationSeparator" w:id="0">
    <w:p w:rsidR="0073419D" w:rsidRDefault="0073419D" w:rsidP="002C4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CFB" w:rsidRDefault="004C7CFB" w:rsidP="004C7CFB">
    <w:pPr>
      <w:pStyle w:val="Encabezado"/>
      <w:ind w:left="-284"/>
    </w:pPr>
    <w:r>
      <w:rPr>
        <w:noProof/>
        <w:lang w:val="es-ES" w:eastAsia="es-ES"/>
      </w:rPr>
      <w:drawing>
        <wp:anchor distT="0" distB="0" distL="114300" distR="114300" simplePos="0" relativeHeight="251665408" behindDoc="1" locked="0" layoutInCell="1" allowOverlap="1" wp14:anchorId="457E4390" wp14:editId="17F2D5DD">
          <wp:simplePos x="0" y="0"/>
          <wp:positionH relativeFrom="column">
            <wp:posOffset>4576445</wp:posOffset>
          </wp:positionH>
          <wp:positionV relativeFrom="paragraph">
            <wp:posOffset>25400</wp:posOffset>
          </wp:positionV>
          <wp:extent cx="1650365" cy="519430"/>
          <wp:effectExtent l="0" t="0" r="6985" b="0"/>
          <wp:wrapTight wrapText="bothSides">
            <wp:wrapPolygon edited="0">
              <wp:start x="0" y="0"/>
              <wp:lineTo x="0" y="20597"/>
              <wp:lineTo x="21442" y="20597"/>
              <wp:lineTo x="21442" y="0"/>
              <wp:lineTo x="0" y="0"/>
            </wp:wrapPolygon>
          </wp:wrapTight>
          <wp:docPr id="2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036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 wp14:anchorId="154FDC63" wp14:editId="33C671FF">
          <wp:simplePos x="0" y="0"/>
          <wp:positionH relativeFrom="column">
            <wp:posOffset>2910840</wp:posOffset>
          </wp:positionH>
          <wp:positionV relativeFrom="paragraph">
            <wp:posOffset>-13335</wp:posOffset>
          </wp:positionV>
          <wp:extent cx="1590675" cy="570230"/>
          <wp:effectExtent l="0" t="0" r="9525" b="1270"/>
          <wp:wrapTight wrapText="bothSides">
            <wp:wrapPolygon edited="0">
              <wp:start x="0" y="0"/>
              <wp:lineTo x="0" y="20927"/>
              <wp:lineTo x="21471" y="20927"/>
              <wp:lineTo x="21471" y="0"/>
              <wp:lineTo x="0" y="0"/>
            </wp:wrapPolygon>
          </wp:wrapTight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25F13A72" wp14:editId="325BF09F">
          <wp:simplePos x="0" y="0"/>
          <wp:positionH relativeFrom="column">
            <wp:posOffset>982557</wp:posOffset>
          </wp:positionH>
          <wp:positionV relativeFrom="paragraph">
            <wp:posOffset>-254000</wp:posOffset>
          </wp:positionV>
          <wp:extent cx="1981200" cy="1047750"/>
          <wp:effectExtent l="0" t="0" r="0" b="0"/>
          <wp:wrapTight wrapText="bothSides">
            <wp:wrapPolygon edited="0">
              <wp:start x="0" y="0"/>
              <wp:lineTo x="0" y="21207"/>
              <wp:lineTo x="21392" y="21207"/>
              <wp:lineTo x="21392" y="0"/>
              <wp:lineTo x="0" y="0"/>
            </wp:wrapPolygon>
          </wp:wrapTight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6025A5B" wp14:editId="63513DF5">
          <wp:simplePos x="0" y="0"/>
          <wp:positionH relativeFrom="column">
            <wp:posOffset>0</wp:posOffset>
          </wp:positionH>
          <wp:positionV relativeFrom="paragraph">
            <wp:posOffset>173355</wp:posOffset>
          </wp:positionV>
          <wp:extent cx="981075" cy="257175"/>
          <wp:effectExtent l="0" t="0" r="9525" b="9525"/>
          <wp:wrapTight wrapText="bothSides">
            <wp:wrapPolygon edited="0">
              <wp:start x="0" y="0"/>
              <wp:lineTo x="0" y="20800"/>
              <wp:lineTo x="21390" y="20800"/>
              <wp:lineTo x="21390" y="0"/>
              <wp:lineTo x="0" y="0"/>
            </wp:wrapPolygon>
          </wp:wrapTight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0B91"/>
    <w:multiLevelType w:val="hybridMultilevel"/>
    <w:tmpl w:val="B80E7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F86"/>
    <w:multiLevelType w:val="multilevel"/>
    <w:tmpl w:val="711244E6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15E364CA"/>
    <w:multiLevelType w:val="multilevel"/>
    <w:tmpl w:val="ECF299A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" w15:restartNumberingAfterBreak="0">
    <w:nsid w:val="2620488F"/>
    <w:multiLevelType w:val="hybridMultilevel"/>
    <w:tmpl w:val="B0D68656"/>
    <w:lvl w:ilvl="0" w:tplc="A5EA8810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  <w:color w:val="002060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E4D29"/>
    <w:multiLevelType w:val="hybridMultilevel"/>
    <w:tmpl w:val="19B21B2C"/>
    <w:lvl w:ilvl="0" w:tplc="CC821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B214B9"/>
    <w:multiLevelType w:val="hybridMultilevel"/>
    <w:tmpl w:val="28A25674"/>
    <w:lvl w:ilvl="0" w:tplc="CC821D36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3779F"/>
    <w:multiLevelType w:val="hybridMultilevel"/>
    <w:tmpl w:val="23B8D6C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07F"/>
    <w:rsid w:val="0019388C"/>
    <w:rsid w:val="001C3CA1"/>
    <w:rsid w:val="002C407F"/>
    <w:rsid w:val="002C67EE"/>
    <w:rsid w:val="004C7CFB"/>
    <w:rsid w:val="00623D5D"/>
    <w:rsid w:val="0073419D"/>
    <w:rsid w:val="009F086B"/>
    <w:rsid w:val="00C06632"/>
    <w:rsid w:val="00E6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27DB85-9DA9-489D-A03C-0CBE1FBD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632"/>
    <w:pPr>
      <w:spacing w:line="360" w:lineRule="auto"/>
    </w:pPr>
    <w:rPr>
      <w:rFonts w:ascii="Arial" w:eastAsia="Cambria" w:hAnsi="Arial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C066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C40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C407F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2C40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C407F"/>
    <w:rPr>
      <w:sz w:val="24"/>
      <w:szCs w:val="24"/>
    </w:rPr>
  </w:style>
  <w:style w:type="paragraph" w:styleId="Ttulo">
    <w:name w:val="Title"/>
    <w:basedOn w:val="Ttulo1"/>
    <w:link w:val="TtuloCar"/>
    <w:qFormat/>
    <w:rsid w:val="00C06632"/>
    <w:pPr>
      <w:keepLines w:val="0"/>
      <w:suppressAutoHyphens/>
      <w:spacing w:before="840" w:after="360"/>
      <w:jc w:val="both"/>
    </w:pPr>
    <w:rPr>
      <w:rFonts w:ascii="Arial" w:eastAsia="Times New Roman" w:hAnsi="Arial" w:cs="Arial"/>
      <w:b/>
      <w:bCs/>
      <w:color w:val="auto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06632"/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34"/>
    <w:qFormat/>
    <w:rsid w:val="00C06632"/>
    <w:pPr>
      <w:ind w:left="708"/>
    </w:pPr>
    <w:rPr>
      <w:rFonts w:ascii="Times New Roman" w:eastAsia="Times New Roman" w:hAnsi="Times New Roman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C0663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3825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2</cp:revision>
  <dcterms:created xsi:type="dcterms:W3CDTF">2022-05-06T08:34:00Z</dcterms:created>
  <dcterms:modified xsi:type="dcterms:W3CDTF">2022-05-06T08:34:00Z</dcterms:modified>
</cp:coreProperties>
</file>