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5BC" w:rsidRPr="002225BC" w:rsidRDefault="002225BC" w:rsidP="002225BC">
      <w:pPr>
        <w:tabs>
          <w:tab w:val="left" w:pos="567"/>
          <w:tab w:val="left" w:pos="993"/>
          <w:tab w:val="left" w:pos="1418"/>
          <w:tab w:val="left" w:pos="1843"/>
        </w:tabs>
        <w:rPr>
          <w:rFonts w:ascii="Palatino Linotype" w:eastAsia="Calibri" w:hAnsi="Palatino Linotype"/>
          <w:b/>
          <w:i/>
          <w:sz w:val="21"/>
          <w:szCs w:val="21"/>
        </w:rPr>
      </w:pPr>
      <w:bookmarkStart w:id="0" w:name="_GoBack"/>
      <w:bookmarkEnd w:id="0"/>
    </w:p>
    <w:p w:rsidR="002225BC" w:rsidRPr="002225BC" w:rsidRDefault="002225BC" w:rsidP="002225BC">
      <w:pPr>
        <w:pBdr>
          <w:top w:val="single" w:sz="4" w:space="1" w:color="auto"/>
          <w:left w:val="single" w:sz="4" w:space="4" w:color="auto"/>
          <w:bottom w:val="single" w:sz="4" w:space="1" w:color="auto"/>
          <w:right w:val="single" w:sz="4" w:space="4" w:color="auto"/>
        </w:pBdr>
        <w:tabs>
          <w:tab w:val="left" w:pos="567"/>
          <w:tab w:val="left" w:pos="992"/>
          <w:tab w:val="left" w:pos="1417"/>
          <w:tab w:val="left" w:pos="1843"/>
        </w:tabs>
        <w:autoSpaceDE w:val="0"/>
        <w:autoSpaceDN w:val="0"/>
        <w:adjustRightInd w:val="0"/>
        <w:jc w:val="center"/>
        <w:rPr>
          <w:rFonts w:ascii="Palatino Linotype" w:eastAsia="Times New Roman" w:hAnsi="Palatino Linotype" w:cs="Arial"/>
          <w:b/>
          <w:bCs/>
          <w:i/>
          <w:sz w:val="21"/>
          <w:szCs w:val="21"/>
          <w:lang w:val="es-ES_tradnl" w:eastAsia="es-ES"/>
        </w:rPr>
      </w:pPr>
      <w:r w:rsidRPr="002225BC">
        <w:rPr>
          <w:rFonts w:ascii="Palatino Linotype" w:eastAsia="Calibri" w:hAnsi="Palatino Linotype"/>
          <w:b/>
          <w:i/>
          <w:sz w:val="21"/>
          <w:szCs w:val="21"/>
        </w:rPr>
        <w:t xml:space="preserve">CUADRO RESUMEN DEL PLIEGO DE CONTRATACIÓN DEL SERVICIO </w:t>
      </w:r>
      <w:r w:rsidRPr="002225BC">
        <w:rPr>
          <w:rFonts w:ascii="Palatino Linotype" w:eastAsia="Times New Roman" w:hAnsi="Palatino Linotype" w:cs="Arial"/>
          <w:b/>
          <w:bCs/>
          <w:i/>
          <w:sz w:val="21"/>
          <w:szCs w:val="21"/>
          <w:lang w:val="es-ES_tradnl" w:eastAsia="es-ES"/>
        </w:rPr>
        <w:t>DE REVISIÓN Y MANTENIMIENTO DE LOS EQUIPOS DE PROTECCIÓN CONTRA INCENDIOS DE LAS DEPENDENCIAS MUNICIPALES</w:t>
      </w:r>
    </w:p>
    <w:p w:rsidR="002225BC" w:rsidRPr="002225BC" w:rsidRDefault="002225BC" w:rsidP="002225BC">
      <w:pPr>
        <w:tabs>
          <w:tab w:val="left" w:pos="567"/>
          <w:tab w:val="left" w:pos="993"/>
          <w:tab w:val="left" w:pos="1418"/>
          <w:tab w:val="left" w:pos="1843"/>
        </w:tabs>
        <w:rPr>
          <w:rFonts w:ascii="Palatino Linotype" w:eastAsia="Calibri" w:hAnsi="Palatino Linotype"/>
          <w:b/>
          <w:i/>
          <w:sz w:val="21"/>
          <w:szCs w:val="21"/>
        </w:rPr>
      </w:pPr>
    </w:p>
    <w:p w:rsidR="002225BC" w:rsidRPr="002225BC" w:rsidRDefault="002225BC" w:rsidP="002225BC">
      <w:pPr>
        <w:tabs>
          <w:tab w:val="left" w:pos="567"/>
          <w:tab w:val="left" w:pos="993"/>
          <w:tab w:val="left" w:pos="1418"/>
          <w:tab w:val="left" w:pos="1843"/>
        </w:tabs>
        <w:rPr>
          <w:rFonts w:ascii="Palatino Linotype" w:eastAsia="Calibri" w:hAnsi="Palatino Linotype"/>
          <w:b/>
          <w:i/>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tbl>
      <w:tblPr>
        <w:tblStyle w:val="Sombreadoclaro1"/>
        <w:tblW w:w="0" w:type="auto"/>
        <w:tblBorders>
          <w:top w:val="none" w:sz="0" w:space="0" w:color="auto"/>
          <w:bottom w:val="none" w:sz="0" w:space="0" w:color="auto"/>
        </w:tblBorders>
        <w:shd w:val="clear" w:color="auto" w:fill="FFFFFF" w:themeFill="background1"/>
        <w:tblLook w:val="00A0" w:firstRow="1" w:lastRow="0" w:firstColumn="1" w:lastColumn="0" w:noHBand="0" w:noVBand="0"/>
      </w:tblPr>
      <w:tblGrid>
        <w:gridCol w:w="4361"/>
        <w:gridCol w:w="4849"/>
      </w:tblGrid>
      <w:tr w:rsidR="002225BC" w:rsidRPr="002225BC" w:rsidTr="005F4E2E">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top w:val="none" w:sz="0" w:space="0" w:color="auto"/>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OBJETO DEL CONTRATO</w:t>
            </w:r>
          </w:p>
          <w:p w:rsidR="002225BC" w:rsidRPr="002225BC" w:rsidRDefault="002225BC" w:rsidP="002225BC">
            <w:pPr>
              <w:rPr>
                <w:rFonts w:ascii="Palatino Linotype" w:hAnsi="Palatino Linotype"/>
                <w:sz w:val="21"/>
                <w:szCs w:val="21"/>
              </w:rPr>
            </w:pPr>
          </w:p>
          <w:p w:rsidR="002225BC" w:rsidRPr="002225BC" w:rsidRDefault="002225BC" w:rsidP="002225BC">
            <w:pPr>
              <w:rPr>
                <w:rFonts w:ascii="Palatino Linotype" w:hAnsi="Palatino Linotype"/>
                <w:sz w:val="21"/>
                <w:szCs w:val="21"/>
              </w:rPr>
            </w:pPr>
          </w:p>
        </w:tc>
        <w:tc>
          <w:tcPr>
            <w:cnfStyle w:val="000010000000" w:firstRow="0" w:lastRow="0" w:firstColumn="0" w:lastColumn="0" w:oddVBand="1" w:evenVBand="0" w:oddHBand="0" w:evenHBand="0" w:firstRowFirstColumn="0" w:firstRowLastColumn="0" w:lastRowFirstColumn="0" w:lastRowLastColumn="0"/>
            <w:tcW w:w="4849" w:type="dxa"/>
            <w:tcBorders>
              <w:top w:val="none" w:sz="0" w:space="0" w:color="auto"/>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lang w:val="es-ES_tradnl"/>
              </w:rPr>
            </w:pPr>
            <w:r w:rsidRPr="002225BC">
              <w:rPr>
                <w:rFonts w:ascii="Palatino Linotype" w:hAnsi="Palatino Linotype"/>
                <w:sz w:val="21"/>
                <w:szCs w:val="21"/>
              </w:rPr>
              <w:t xml:space="preserve">Servicio </w:t>
            </w:r>
            <w:r w:rsidRPr="002225BC">
              <w:rPr>
                <w:rFonts w:ascii="Palatino Linotype" w:hAnsi="Palatino Linotype"/>
                <w:sz w:val="21"/>
                <w:szCs w:val="21"/>
                <w:lang w:val="es-ES_tradnl"/>
              </w:rPr>
              <w:t>de revisión y mantenimiento de equipos de protección contra incendios de las dependencias municipales</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PRESUPUESTO DE LICITACIÓN</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FFFFFF" w:themeFill="background1"/>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ab/>
              <w:t>En cifras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FFFFF" w:themeFill="background1"/>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16.726,56 €</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FFFFF" w:themeFill="background1"/>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ab/>
              <w:t>En letras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FFFFF" w:themeFill="background1"/>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DIECISÉIS MIL SETECIENTOS VEINTISÉIS EUROS Y CINCUENTA Y SEIS CÉNTIMOS</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VALOR ESTIMADO</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ab/>
              <w:t>En cifras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16.726,56 €</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ab/>
              <w:t>En letras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DIECISÉIS MIL SETECIENTOS VEINTISÉIS EUROS Y CINCUENTA Y SEIS CÉNTIMOS</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DURACIÓN DEL CONTRATO</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 xml:space="preserve">CUATRO AÑOS </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PLAZO DE GARANTÍA</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 xml:space="preserve">1 año </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PROCEDIMIENTO</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ABIERTO SIN PUBLICIDAD COMUNITARIA</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TRAMITACIÓN</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384EF9" w:rsidP="002225BC">
            <w:pPr>
              <w:tabs>
                <w:tab w:val="left" w:pos="345"/>
                <w:tab w:val="left" w:pos="567"/>
                <w:tab w:val="left" w:pos="993"/>
                <w:tab w:val="left" w:pos="1418"/>
                <w:tab w:val="left" w:pos="1843"/>
              </w:tabs>
              <w:jc w:val="both"/>
              <w:rPr>
                <w:rFonts w:ascii="Palatino Linotype" w:hAnsi="Palatino Linotype"/>
                <w:sz w:val="21"/>
                <w:szCs w:val="21"/>
              </w:rPr>
            </w:pPr>
            <w:r>
              <w:rPr>
                <w:rFonts w:ascii="Palatino Linotype" w:hAnsi="Palatino Linotype"/>
                <w:sz w:val="21"/>
                <w:szCs w:val="21"/>
              </w:rPr>
              <w:t>ANTICIPADA</w:t>
            </w:r>
            <w:r w:rsidR="002225BC" w:rsidRPr="002225BC">
              <w:rPr>
                <w:rFonts w:ascii="Palatino Linotype" w:hAnsi="Palatino Linotype"/>
                <w:sz w:val="21"/>
                <w:szCs w:val="21"/>
              </w:rPr>
              <w:t xml:space="preserve"> </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SOLVENCIA ECONÓMICA</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Cláusula 7 del pliego de cláusulas administrativas.</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SOLVENCIA TÉCNICA</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Cláusula 7 del pliego de cláusulas administrativas.</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GARANTÍA PROVISIONAL</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 xml:space="preserve">NO. </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REVISIÓN DE PRECIOS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NO.</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DISEÑO LOTES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SÍ.</w:t>
            </w:r>
          </w:p>
          <w:p w:rsidR="002225BC" w:rsidRPr="002225BC" w:rsidRDefault="002225BC" w:rsidP="002225BC">
            <w:pPr>
              <w:numPr>
                <w:ilvl w:val="0"/>
                <w:numId w:val="17"/>
              </w:numPr>
              <w:tabs>
                <w:tab w:val="left" w:pos="345"/>
                <w:tab w:val="left" w:pos="567"/>
                <w:tab w:val="left" w:pos="1418"/>
                <w:tab w:val="left" w:pos="1843"/>
              </w:tabs>
              <w:contextualSpacing/>
              <w:jc w:val="both"/>
              <w:rPr>
                <w:rFonts w:ascii="Palatino Linotype" w:hAnsi="Palatino Linotype"/>
                <w:sz w:val="21"/>
                <w:szCs w:val="21"/>
              </w:rPr>
            </w:pPr>
            <w:r w:rsidRPr="002225BC">
              <w:rPr>
                <w:rFonts w:ascii="Palatino Linotype" w:hAnsi="Palatino Linotype"/>
                <w:sz w:val="21"/>
                <w:szCs w:val="21"/>
              </w:rPr>
              <w:t>Lote 1 (Ayuntamiento): 8.000,32 €.</w:t>
            </w:r>
          </w:p>
          <w:p w:rsidR="002225BC" w:rsidRPr="002225BC" w:rsidRDefault="002225BC" w:rsidP="002225BC">
            <w:pPr>
              <w:numPr>
                <w:ilvl w:val="0"/>
                <w:numId w:val="17"/>
              </w:numPr>
              <w:tabs>
                <w:tab w:val="left" w:pos="345"/>
                <w:tab w:val="left" w:pos="567"/>
                <w:tab w:val="left" w:pos="1418"/>
                <w:tab w:val="left" w:pos="1843"/>
              </w:tabs>
              <w:contextualSpacing/>
              <w:jc w:val="both"/>
              <w:rPr>
                <w:rFonts w:ascii="Palatino Linotype" w:hAnsi="Palatino Linotype"/>
                <w:sz w:val="21"/>
                <w:szCs w:val="21"/>
              </w:rPr>
            </w:pPr>
            <w:r w:rsidRPr="002225BC">
              <w:rPr>
                <w:rFonts w:ascii="Palatino Linotype" w:hAnsi="Palatino Linotype"/>
                <w:sz w:val="21"/>
                <w:szCs w:val="21"/>
              </w:rPr>
              <w:t>Lote 2 (Atabo Altsasu, S.L.): 4.486,00 €.</w:t>
            </w:r>
          </w:p>
          <w:p w:rsidR="002225BC" w:rsidRPr="002225BC" w:rsidRDefault="002225BC" w:rsidP="002225BC">
            <w:pPr>
              <w:numPr>
                <w:ilvl w:val="0"/>
                <w:numId w:val="17"/>
              </w:numPr>
              <w:tabs>
                <w:tab w:val="left" w:pos="345"/>
                <w:tab w:val="left" w:pos="567"/>
                <w:tab w:val="left" w:pos="1418"/>
                <w:tab w:val="left" w:pos="1843"/>
              </w:tabs>
              <w:contextualSpacing/>
              <w:jc w:val="both"/>
              <w:rPr>
                <w:rFonts w:ascii="Palatino Linotype" w:hAnsi="Palatino Linotype"/>
                <w:sz w:val="21"/>
                <w:szCs w:val="21"/>
              </w:rPr>
            </w:pPr>
            <w:r w:rsidRPr="002225BC">
              <w:rPr>
                <w:rFonts w:ascii="Palatino Linotype" w:hAnsi="Palatino Linotype"/>
                <w:sz w:val="21"/>
                <w:szCs w:val="21"/>
              </w:rPr>
              <w:t>Lote 3 (Escuela de Música): 772,72 €.</w:t>
            </w:r>
          </w:p>
          <w:p w:rsidR="002225BC" w:rsidRPr="002225BC" w:rsidRDefault="002225BC" w:rsidP="002225BC">
            <w:pPr>
              <w:numPr>
                <w:ilvl w:val="0"/>
                <w:numId w:val="17"/>
              </w:numPr>
              <w:tabs>
                <w:tab w:val="left" w:pos="345"/>
                <w:tab w:val="left" w:pos="567"/>
                <w:tab w:val="left" w:pos="1418"/>
                <w:tab w:val="left" w:pos="1843"/>
              </w:tabs>
              <w:contextualSpacing/>
              <w:jc w:val="both"/>
              <w:rPr>
                <w:rFonts w:ascii="Palatino Linotype" w:hAnsi="Palatino Linotype"/>
                <w:sz w:val="21"/>
                <w:szCs w:val="21"/>
              </w:rPr>
            </w:pPr>
            <w:r w:rsidRPr="002225BC">
              <w:rPr>
                <w:rFonts w:ascii="Palatino Linotype" w:hAnsi="Palatino Linotype"/>
                <w:sz w:val="21"/>
                <w:szCs w:val="21"/>
              </w:rPr>
              <w:t>Lote 4 (Residencia): 3.293,40 €.</w:t>
            </w:r>
          </w:p>
          <w:p w:rsidR="002225BC" w:rsidRPr="002225BC" w:rsidRDefault="002225BC" w:rsidP="002225BC">
            <w:pPr>
              <w:numPr>
                <w:ilvl w:val="0"/>
                <w:numId w:val="17"/>
              </w:numPr>
              <w:tabs>
                <w:tab w:val="left" w:pos="345"/>
                <w:tab w:val="left" w:pos="567"/>
                <w:tab w:val="left" w:pos="1418"/>
                <w:tab w:val="left" w:pos="1843"/>
              </w:tabs>
              <w:contextualSpacing/>
              <w:jc w:val="both"/>
              <w:rPr>
                <w:rFonts w:ascii="Palatino Linotype" w:hAnsi="Palatino Linotype"/>
                <w:sz w:val="21"/>
                <w:szCs w:val="21"/>
              </w:rPr>
            </w:pPr>
            <w:r w:rsidRPr="002225BC">
              <w:rPr>
                <w:rFonts w:ascii="Palatino Linotype" w:hAnsi="Palatino Linotype"/>
                <w:sz w:val="21"/>
                <w:szCs w:val="21"/>
              </w:rPr>
              <w:t>Lote 5 (Mancomunidad): 174,12 €.</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ADMISIÓN DE VARIANTES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No se admiten.</w:t>
            </w:r>
          </w:p>
        </w:tc>
      </w:tr>
      <w:tr w:rsidR="002225BC" w:rsidRPr="002225BC" w:rsidTr="005F4E2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61" w:type="dxa"/>
            <w:tcBorders>
              <w:left w:val="none" w:sz="0" w:space="0" w:color="auto"/>
              <w:right w:val="none" w:sz="0" w:space="0" w:color="auto"/>
            </w:tcBorders>
            <w:shd w:val="clear" w:color="auto" w:fill="F2F2F2" w:themeFill="background1" w:themeFillShade="F2"/>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LUGAR DE PRESENTACIÓN OFERTAS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bottom w:val="none" w:sz="0" w:space="0" w:color="auto"/>
              <w:right w:val="none" w:sz="0" w:space="0" w:color="auto"/>
            </w:tcBorders>
            <w:shd w:val="clear" w:color="auto" w:fill="F2F2F2" w:themeFill="background1" w:themeFillShade="F2"/>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Plataforma de Licitación Electrónica de Navarra (PLENA).</w:t>
            </w:r>
          </w:p>
        </w:tc>
      </w:tr>
      <w:tr w:rsidR="002225BC" w:rsidRPr="002225BC" w:rsidTr="005F4E2E">
        <w:trPr>
          <w:trHeight w:val="340"/>
        </w:trPr>
        <w:tc>
          <w:tcPr>
            <w:cnfStyle w:val="001000000000" w:firstRow="0" w:lastRow="0" w:firstColumn="1" w:lastColumn="0" w:oddVBand="0" w:evenVBand="0" w:oddHBand="0" w:evenHBand="0" w:firstRowFirstColumn="0" w:firstRowLastColumn="0" w:lastRowFirstColumn="0" w:lastRowLastColumn="0"/>
            <w:tcW w:w="4361" w:type="dxa"/>
            <w:shd w:val="clear" w:color="auto" w:fill="D9D9D9" w:themeFill="background1" w:themeFillShade="D9"/>
          </w:tcPr>
          <w:p w:rsidR="002225BC" w:rsidRPr="002225BC" w:rsidRDefault="002225BC" w:rsidP="002225BC">
            <w:pPr>
              <w:tabs>
                <w:tab w:val="left" w:pos="567"/>
                <w:tab w:val="left" w:pos="993"/>
                <w:tab w:val="left" w:pos="1418"/>
                <w:tab w:val="left" w:pos="1843"/>
              </w:tabs>
              <w:jc w:val="both"/>
              <w:rPr>
                <w:rFonts w:ascii="Palatino Linotype" w:hAnsi="Palatino Linotype"/>
                <w:i/>
                <w:sz w:val="21"/>
                <w:szCs w:val="21"/>
              </w:rPr>
            </w:pPr>
            <w:r w:rsidRPr="002225BC">
              <w:rPr>
                <w:rFonts w:ascii="Palatino Linotype" w:hAnsi="Palatino Linotype"/>
                <w:i/>
                <w:sz w:val="21"/>
                <w:szCs w:val="21"/>
              </w:rPr>
              <w:t>PLAZO PRESENTACIÓN OFERTAS</w:t>
            </w:r>
          </w:p>
        </w:tc>
        <w:tc>
          <w:tcPr>
            <w:cnfStyle w:val="000010000000" w:firstRow="0" w:lastRow="0" w:firstColumn="0" w:lastColumn="0" w:oddVBand="1" w:evenVBand="0" w:oddHBand="0" w:evenHBand="0" w:firstRowFirstColumn="0" w:firstRowLastColumn="0" w:lastRowFirstColumn="0" w:lastRowLastColumn="0"/>
            <w:tcW w:w="4849" w:type="dxa"/>
            <w:tcBorders>
              <w:left w:val="none" w:sz="0" w:space="0" w:color="auto"/>
              <w:right w:val="none" w:sz="0" w:space="0" w:color="auto"/>
            </w:tcBorders>
            <w:shd w:val="clear" w:color="auto" w:fill="D9D9D9" w:themeFill="background1" w:themeFillShade="D9"/>
          </w:tcPr>
          <w:p w:rsidR="002225BC" w:rsidRPr="002225BC" w:rsidRDefault="002225BC" w:rsidP="002225BC">
            <w:pPr>
              <w:tabs>
                <w:tab w:val="left" w:pos="345"/>
                <w:tab w:val="left" w:pos="567"/>
                <w:tab w:val="left" w:pos="993"/>
                <w:tab w:val="left" w:pos="1418"/>
                <w:tab w:val="left" w:pos="1843"/>
              </w:tabs>
              <w:jc w:val="both"/>
              <w:rPr>
                <w:rFonts w:ascii="Palatino Linotype" w:hAnsi="Palatino Linotype"/>
                <w:sz w:val="21"/>
                <w:szCs w:val="21"/>
              </w:rPr>
            </w:pPr>
            <w:r w:rsidRPr="002225BC">
              <w:rPr>
                <w:rFonts w:ascii="Palatino Linotype" w:hAnsi="Palatino Linotype"/>
                <w:sz w:val="21"/>
                <w:szCs w:val="21"/>
              </w:rPr>
              <w:t>15 días naturales contados a partir del día siguiente al de la publicación del anuncio de licitación en el Portal de Contratación.</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pBdr>
          <w:top w:val="single" w:sz="4" w:space="1" w:color="auto"/>
          <w:left w:val="single" w:sz="4" w:space="4" w:color="auto"/>
          <w:bottom w:val="single" w:sz="4" w:space="1" w:color="auto"/>
          <w:right w:val="single" w:sz="4" w:space="4" w:color="auto"/>
        </w:pBdr>
        <w:tabs>
          <w:tab w:val="left" w:pos="567"/>
          <w:tab w:val="left" w:pos="992"/>
          <w:tab w:val="left" w:pos="1417"/>
          <w:tab w:val="left" w:pos="1843"/>
        </w:tabs>
        <w:autoSpaceDE w:val="0"/>
        <w:autoSpaceDN w:val="0"/>
        <w:adjustRightInd w:val="0"/>
        <w:jc w:val="both"/>
        <w:rPr>
          <w:rFonts w:ascii="Palatino Linotype" w:eastAsia="Times New Roman" w:hAnsi="Palatino Linotype" w:cs="Arial"/>
          <w:b/>
          <w:bCs/>
          <w:sz w:val="22"/>
          <w:szCs w:val="21"/>
          <w:lang w:val="es-ES_tradnl" w:eastAsia="es-ES"/>
        </w:rPr>
      </w:pPr>
      <w:r w:rsidRPr="002225BC">
        <w:rPr>
          <w:rFonts w:ascii="Palatino Linotype" w:eastAsia="Calibri" w:hAnsi="Palatino Linotype"/>
          <w:b/>
          <w:sz w:val="21"/>
          <w:szCs w:val="21"/>
        </w:rPr>
        <w:lastRenderedPageBreak/>
        <w:t>I.- CLÁUSULAS ADMINISTRATIVAS QUE HAN DE REGIR LA CONTRATACIÓN DEL SERVICIO DE REVISIÓN Y MANTENIMIENTO DE LOS EQUIPOS DE PROTECCIÓN CONTRA INCENDIOS DE LAS DEPENDENCIAS MUNICIPALES.</w:t>
      </w:r>
    </w:p>
    <w:p w:rsidR="002225BC" w:rsidRPr="00B72900" w:rsidRDefault="002225BC" w:rsidP="002225BC">
      <w:pPr>
        <w:spacing w:after="200" w:line="276" w:lineRule="auto"/>
        <w:rPr>
          <w:rFonts w:ascii="Palatino Linotype" w:eastAsia="Calibri" w:hAnsi="Palatino Linotype"/>
          <w:b/>
          <w:sz w:val="12"/>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1.- OBJETO.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 xml:space="preserve">Es objeto del presente Pliego el establecimiento de los pactos y condiciones definidores de los derechos y obligaciones de las partes que han de regir en sus aspectos jurídicos, administrativos y económicos la contratación del servicio </w:t>
      </w:r>
      <w:r w:rsidRPr="002225BC">
        <w:rPr>
          <w:rFonts w:ascii="Palatino Linotype" w:eastAsia="Calibri" w:hAnsi="Palatino Linotype"/>
          <w:sz w:val="21"/>
          <w:szCs w:val="21"/>
          <w:lang w:val="es-ES_tradnl"/>
        </w:rPr>
        <w:t>de revisión y mantenimiento de los equipos de protección contra incendios de los servicios y edificios municipales</w:t>
      </w:r>
      <w:r w:rsidRPr="002225BC">
        <w:rPr>
          <w:rFonts w:ascii="Palatino Linotype" w:eastAsia="Calibri" w:hAnsi="Palatino Linotype"/>
          <w:sz w:val="21"/>
          <w:szCs w:val="21"/>
        </w:rPr>
        <w:t>, cuyo código CPV es 50413200-5, Servicios de reparación y mantenimiento de instalaciones contra incendios.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Los servicios objeto de este contrato se realizarán de conformidad con las especificaciones técnicas contenidas en las Prescripciones técnicas y con las normas técnicas de la buena práctica profesional.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 PROCEDIMIENTO DE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B72900" w:rsidRPr="00E66D81" w:rsidRDefault="00B72900" w:rsidP="00B72900">
      <w:pPr>
        <w:tabs>
          <w:tab w:val="left" w:pos="567"/>
          <w:tab w:val="left" w:pos="993"/>
          <w:tab w:val="left" w:pos="1418"/>
          <w:tab w:val="left" w:pos="1843"/>
        </w:tabs>
        <w:jc w:val="both"/>
        <w:rPr>
          <w:rFonts w:ascii="Palatino Linotype" w:hAnsi="Palatino Linotype"/>
          <w:sz w:val="21"/>
          <w:szCs w:val="21"/>
        </w:rPr>
      </w:pPr>
      <w:r w:rsidRPr="00E66D81">
        <w:rPr>
          <w:rFonts w:ascii="Palatino Linotype" w:hAnsi="Palatino Linotype"/>
          <w:sz w:val="21"/>
          <w:szCs w:val="21"/>
        </w:rPr>
        <w:tab/>
        <w:t>La contratación objeto del presente pliego será adjudicada, de conformidad con los dispuesto en la Ley Foral 2/2018, de 13 de abril, de Contratos Públicos, por procedimiento abierto inferior al umbral comunitario.</w:t>
      </w:r>
    </w:p>
    <w:p w:rsidR="00B72900" w:rsidRDefault="00B72900" w:rsidP="00B72900">
      <w:pPr>
        <w:tabs>
          <w:tab w:val="left" w:pos="3045"/>
        </w:tabs>
        <w:jc w:val="both"/>
        <w:rPr>
          <w:rFonts w:ascii="Palatino Linotype" w:hAnsi="Palatino Linotype"/>
          <w:sz w:val="21"/>
          <w:szCs w:val="21"/>
        </w:rPr>
      </w:pPr>
    </w:p>
    <w:p w:rsidR="00B72900" w:rsidRDefault="00B72900" w:rsidP="00B72900">
      <w:pPr>
        <w:tabs>
          <w:tab w:val="left" w:pos="567"/>
          <w:tab w:val="left" w:pos="993"/>
          <w:tab w:val="left" w:pos="1418"/>
        </w:tabs>
        <w:jc w:val="both"/>
        <w:rPr>
          <w:rFonts w:ascii="Palatino Linotype" w:eastAsia="CenturyGothic" w:hAnsi="Palatino Linotype"/>
          <w:sz w:val="21"/>
          <w:szCs w:val="21"/>
        </w:rPr>
      </w:pPr>
      <w:r>
        <w:rPr>
          <w:rFonts w:ascii="Palatino Linotype" w:eastAsia="CenturyGothic" w:hAnsi="Palatino Linotype"/>
          <w:sz w:val="21"/>
          <w:szCs w:val="21"/>
        </w:rPr>
        <w:tab/>
      </w:r>
      <w:r w:rsidRPr="007F440A">
        <w:rPr>
          <w:rFonts w:ascii="Palatino Linotype" w:eastAsia="CenturyGothic" w:hAnsi="Palatino Linotype"/>
          <w:sz w:val="21"/>
          <w:szCs w:val="21"/>
        </w:rPr>
        <w:t xml:space="preserve">Se aplica el expediente de tramitación anticipada que establece el art. </w:t>
      </w:r>
      <w:r>
        <w:rPr>
          <w:rFonts w:ascii="Palatino Linotype" w:eastAsia="CenturyGothic" w:hAnsi="Palatino Linotype"/>
          <w:sz w:val="21"/>
          <w:szCs w:val="21"/>
        </w:rPr>
        <w:t>139.1</w:t>
      </w:r>
      <w:r w:rsidRPr="007F440A">
        <w:rPr>
          <w:rFonts w:ascii="Palatino Linotype" w:eastAsia="CenturyGothic" w:hAnsi="Palatino Linotype"/>
          <w:sz w:val="21"/>
          <w:szCs w:val="21"/>
        </w:rPr>
        <w:t xml:space="preserve"> </w:t>
      </w:r>
      <w:r>
        <w:rPr>
          <w:rFonts w:ascii="Palatino Linotype" w:eastAsia="CenturyGothic" w:hAnsi="Palatino Linotype"/>
          <w:sz w:val="21"/>
          <w:szCs w:val="21"/>
        </w:rPr>
        <w:t>LFCP, por lo que</w:t>
      </w:r>
      <w:r w:rsidRPr="007F440A">
        <w:rPr>
          <w:rFonts w:ascii="Palatino Linotype" w:eastAsia="CenturyGothic" w:hAnsi="Palatino Linotype"/>
          <w:sz w:val="21"/>
          <w:szCs w:val="21"/>
        </w:rPr>
        <w:t xml:space="preserve"> se somete la adjudicación a la condición suspensiva de existencia de crédito adecuado y suficiente para financiar las obligaciones derivadas del contrato en el ejercicio correspondiente.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3.- PODERES ADJUDICADORES, ÓRGANO DE CONTRATACIÓN Y UNIDAD GESTORA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Los siguientes poderes adjudicadores han acordado la tramitación conjunta de la presente contratación en virtud del art. 11 de la Ley Foral de 2/2018, de 13 de abril de Contratos Públicos (en adelante, LFCP):</w:t>
      </w:r>
    </w:p>
    <w:p w:rsidR="002225BC" w:rsidRPr="002225BC" w:rsidRDefault="002225BC" w:rsidP="002225BC">
      <w:pPr>
        <w:tabs>
          <w:tab w:val="left" w:pos="1418"/>
          <w:tab w:val="left" w:pos="1843"/>
          <w:tab w:val="left" w:pos="4005"/>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r>
      <w:r w:rsidRPr="002225BC">
        <w:rPr>
          <w:rFonts w:ascii="Palatino Linotype" w:eastAsia="Calibri" w:hAnsi="Palatino Linotype"/>
          <w:sz w:val="21"/>
          <w:szCs w:val="21"/>
        </w:rPr>
        <w:tab/>
      </w:r>
    </w:p>
    <w:p w:rsidR="002225BC" w:rsidRPr="002225BC" w:rsidRDefault="002225BC" w:rsidP="002225BC">
      <w:pPr>
        <w:tabs>
          <w:tab w:val="left" w:pos="567"/>
          <w:tab w:val="left" w:pos="992"/>
          <w:tab w:val="left" w:pos="1418"/>
          <w:tab w:val="left" w:pos="1843"/>
          <w:tab w:val="left" w:pos="5955"/>
          <w:tab w:val="left" w:leader="dot" w:pos="6804"/>
        </w:tabs>
        <w:jc w:val="both"/>
        <w:rPr>
          <w:rFonts w:ascii="Palatino Linotype" w:eastAsia="Calibri" w:hAnsi="Palatino Linotype"/>
          <w:sz w:val="21"/>
        </w:rPr>
      </w:pPr>
      <w:r w:rsidRPr="002225BC">
        <w:rPr>
          <w:rFonts w:ascii="Palatino Linotype" w:eastAsia="Calibri" w:hAnsi="Palatino Linotype"/>
          <w:sz w:val="21"/>
        </w:rPr>
        <w:tab/>
      </w:r>
      <w:r w:rsidRPr="002225BC">
        <w:rPr>
          <w:rFonts w:ascii="Palatino Linotype" w:eastAsia="Calibri" w:hAnsi="Palatino Linotype"/>
          <w:sz w:val="21"/>
        </w:rPr>
        <w:tab/>
        <w:t>- Ayuntamiento de Altsasu/Alsasua.</w:t>
      </w:r>
      <w:r w:rsidRPr="002225BC">
        <w:rPr>
          <w:rFonts w:ascii="Palatino Linotype" w:eastAsia="Calibri" w:hAnsi="Palatino Linotype"/>
          <w:sz w:val="21"/>
        </w:rPr>
        <w:tab/>
      </w:r>
    </w:p>
    <w:p w:rsidR="007C497B" w:rsidRPr="002225BC" w:rsidRDefault="007C497B" w:rsidP="007C497B">
      <w:pPr>
        <w:tabs>
          <w:tab w:val="left" w:pos="567"/>
          <w:tab w:val="left" w:pos="992"/>
          <w:tab w:val="left" w:pos="1418"/>
          <w:tab w:val="left" w:pos="1843"/>
          <w:tab w:val="left" w:leader="dot" w:pos="6804"/>
        </w:tabs>
        <w:ind w:left="567"/>
        <w:jc w:val="both"/>
        <w:rPr>
          <w:rFonts w:ascii="Palatino Linotype" w:eastAsia="Calibri" w:hAnsi="Palatino Linotype"/>
          <w:sz w:val="21"/>
        </w:rPr>
      </w:pPr>
      <w:r>
        <w:rPr>
          <w:rFonts w:ascii="Palatino Linotype" w:eastAsia="Calibri" w:hAnsi="Palatino Linotype"/>
          <w:sz w:val="21"/>
        </w:rPr>
        <w:tab/>
      </w:r>
      <w:r w:rsidRPr="002225BC">
        <w:rPr>
          <w:rFonts w:ascii="Palatino Linotype" w:eastAsia="Calibri" w:hAnsi="Palatino Linotype"/>
          <w:sz w:val="21"/>
        </w:rPr>
        <w:t>- Atabo Altsasu, S.L.</w:t>
      </w:r>
    </w:p>
    <w:p w:rsidR="002225BC" w:rsidRPr="002225BC" w:rsidRDefault="007C497B" w:rsidP="002225BC">
      <w:pPr>
        <w:tabs>
          <w:tab w:val="left" w:pos="567"/>
          <w:tab w:val="left" w:pos="992"/>
          <w:tab w:val="left" w:pos="1418"/>
          <w:tab w:val="left" w:pos="1843"/>
          <w:tab w:val="left" w:pos="6450"/>
          <w:tab w:val="left" w:leader="dot" w:pos="6804"/>
        </w:tabs>
        <w:jc w:val="both"/>
        <w:rPr>
          <w:rFonts w:ascii="Palatino Linotype" w:eastAsia="Calibri" w:hAnsi="Palatino Linotype"/>
          <w:sz w:val="21"/>
        </w:rPr>
      </w:pPr>
      <w:r>
        <w:rPr>
          <w:rFonts w:ascii="Palatino Linotype" w:eastAsia="Calibri" w:hAnsi="Palatino Linotype"/>
          <w:sz w:val="21"/>
        </w:rPr>
        <w:tab/>
      </w:r>
      <w:r>
        <w:rPr>
          <w:rFonts w:ascii="Palatino Linotype" w:eastAsia="Calibri" w:hAnsi="Palatino Linotype"/>
          <w:sz w:val="21"/>
        </w:rPr>
        <w:tab/>
      </w:r>
      <w:r w:rsidR="002225BC" w:rsidRPr="002225BC">
        <w:rPr>
          <w:rFonts w:ascii="Palatino Linotype" w:eastAsia="Calibri" w:hAnsi="Palatino Linotype"/>
          <w:sz w:val="21"/>
        </w:rPr>
        <w:t>- Patronato de la Escuela de Música y Danza.</w:t>
      </w:r>
      <w:r w:rsidR="002225BC" w:rsidRPr="002225BC">
        <w:rPr>
          <w:rFonts w:ascii="Palatino Linotype" w:eastAsia="Calibri" w:hAnsi="Palatino Linotype"/>
          <w:sz w:val="21"/>
        </w:rPr>
        <w:tab/>
      </w:r>
    </w:p>
    <w:p w:rsidR="002225BC" w:rsidRPr="002225BC" w:rsidRDefault="002225BC" w:rsidP="002225BC">
      <w:pPr>
        <w:tabs>
          <w:tab w:val="left" w:pos="567"/>
          <w:tab w:val="left" w:pos="992"/>
          <w:tab w:val="left" w:pos="1418"/>
          <w:tab w:val="left" w:pos="1843"/>
          <w:tab w:val="left" w:pos="6075"/>
          <w:tab w:val="left" w:leader="dot" w:pos="6804"/>
        </w:tabs>
        <w:jc w:val="both"/>
        <w:rPr>
          <w:rFonts w:ascii="Palatino Linotype" w:eastAsia="Calibri" w:hAnsi="Palatino Linotype"/>
          <w:sz w:val="21"/>
        </w:rPr>
      </w:pPr>
      <w:r w:rsidRPr="002225BC">
        <w:rPr>
          <w:rFonts w:ascii="Palatino Linotype" w:eastAsia="Calibri" w:hAnsi="Palatino Linotype"/>
          <w:sz w:val="21"/>
        </w:rPr>
        <w:tab/>
      </w:r>
      <w:r w:rsidRPr="002225BC">
        <w:rPr>
          <w:rFonts w:ascii="Palatino Linotype" w:eastAsia="Calibri" w:hAnsi="Palatino Linotype"/>
          <w:sz w:val="21"/>
        </w:rPr>
        <w:tab/>
        <w:t>- Patronato de la Residencia “Aita Barandiaran”.</w:t>
      </w:r>
      <w:r w:rsidRPr="002225BC">
        <w:rPr>
          <w:rFonts w:ascii="Palatino Linotype" w:eastAsia="Calibri" w:hAnsi="Palatino Linotype"/>
          <w:sz w:val="21"/>
        </w:rPr>
        <w:tab/>
        <w:t xml:space="preserve"> </w:t>
      </w:r>
    </w:p>
    <w:p w:rsidR="002225BC" w:rsidRPr="002225BC" w:rsidRDefault="002225BC" w:rsidP="002225BC">
      <w:pPr>
        <w:tabs>
          <w:tab w:val="left" w:pos="567"/>
          <w:tab w:val="left" w:pos="992"/>
          <w:tab w:val="left" w:pos="1418"/>
          <w:tab w:val="left" w:pos="1843"/>
          <w:tab w:val="left" w:leader="dot" w:pos="6804"/>
        </w:tabs>
        <w:ind w:left="567"/>
        <w:jc w:val="both"/>
        <w:rPr>
          <w:rFonts w:ascii="Palatino Linotype" w:eastAsia="Calibri" w:hAnsi="Palatino Linotype"/>
          <w:sz w:val="21"/>
        </w:rPr>
      </w:pPr>
      <w:r w:rsidRPr="002225BC">
        <w:rPr>
          <w:rFonts w:ascii="Palatino Linotype" w:eastAsia="Calibri" w:hAnsi="Palatino Linotype"/>
          <w:sz w:val="21"/>
        </w:rPr>
        <w:tab/>
        <w:t>- Mancomunidad de Servicios Sociales de Base de Altsasu/Alsasua, Olazti/Olazagutía y Ziordia.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presente contratación conjunta implica, tal y como lo han acordado los 5 poderes adjudicadores, que el Ayuntamiento de Altsasu/Alsasua sea el que administre el procedimiento por cuenta propia y por cuenta del resto de poderes adjudicadores, lo que conlleva la tramitación por parte del Ayuntamiento de Altsasu/Alsasua del procedimiento de licitación incluida su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lastRenderedPageBreak/>
        <w:tab/>
        <w:t>El órgano de contratación del presente contrato de servicios es la Junta de Gobierno Local del Ayuntamiento de Altsasu/Alsasua y la unidad gestora del contrato es el Área de Urbanismo.</w:t>
      </w:r>
    </w:p>
    <w:p w:rsidR="00B72900" w:rsidRDefault="00B72900"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Posteriormente (sin perjuicio de lo anterior), el Ayuntamiento de Altsasu/Alsasua y los poderes adjudicadores restantes suscribirán el contrato con la persona adjudicataria de cada lote, lo que conllevará la responsabilidad conjunta del cumplimiento de sus obligaciones en virtud de la LFCP.</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4.- VALOR ESTIMADO Y PRECIO DE LICITACIÓN.</w:t>
      </w:r>
    </w:p>
    <w:p w:rsidR="002225BC" w:rsidRPr="002225BC" w:rsidRDefault="005F4E2E" w:rsidP="005F4E2E">
      <w:pPr>
        <w:tabs>
          <w:tab w:val="left" w:pos="5595"/>
        </w:tabs>
        <w:suppressAutoHyphens/>
        <w:jc w:val="both"/>
        <w:rPr>
          <w:rFonts w:ascii="Palatino Linotype" w:eastAsia="Calibri" w:hAnsi="Palatino Linotype"/>
          <w:sz w:val="21"/>
          <w:szCs w:val="21"/>
        </w:rPr>
      </w:pPr>
      <w:r>
        <w:rPr>
          <w:rFonts w:ascii="Palatino Linotype" w:eastAsia="Calibri" w:hAnsi="Palatino Linotype"/>
          <w:sz w:val="21"/>
          <w:szCs w:val="21"/>
        </w:rPr>
        <w:tab/>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El valor estimado del contrato asciende a 16.726,56 € (DIECISÉIS MIL SETECIENTOS VEINTISÉIS EUROS Y CINCUENTA Y SEIS CÉNTIMOS), IVA excluido.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El precio de licitación coincide con el valor estimado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highlight w:val="yellow"/>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Serán desestimadas las proposiciones económicas que superen dicho presupuesto.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En los precios ofertados se entenderán incluidos todos los gastos necesarios para la prestación del servicio, así como aquellos tributos que graven la operación, a excepción del impuesto sobre el valor añadido (IVA).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El número de prestaciones estimadas de retimbrado/recarga y reposición de extintores sirve únicamente a efectos orientativos para la estimación del valor del contrato, sin presuponer ningún compromiso para los poderes adjudicadores.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5.- LOTES Y RESERVA DE LOTES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objeto de contrato se divide en cinco lotes descritos en la correspondiente documentación técnica:</w:t>
      </w:r>
    </w:p>
    <w:p w:rsidR="002225BC" w:rsidRPr="002225BC" w:rsidRDefault="002225BC" w:rsidP="002225BC">
      <w:pPr>
        <w:tabs>
          <w:tab w:val="left" w:pos="3270"/>
        </w:tabs>
        <w:jc w:val="both"/>
        <w:rPr>
          <w:rFonts w:ascii="Palatino Linotype" w:eastAsia="Calibri" w:hAnsi="Palatino Linotype"/>
          <w:sz w:val="21"/>
          <w:szCs w:val="21"/>
        </w:rPr>
      </w:pPr>
      <w:r w:rsidRPr="002225BC">
        <w:rPr>
          <w:rFonts w:ascii="Palatino Linotype" w:eastAsia="Calibri" w:hAnsi="Palatino Linotype"/>
          <w:sz w:val="21"/>
          <w:szCs w:val="21"/>
        </w:rPr>
        <w:tab/>
      </w:r>
    </w:p>
    <w:p w:rsidR="002225BC" w:rsidRPr="002225BC" w:rsidRDefault="002225BC" w:rsidP="002225BC">
      <w:pPr>
        <w:tabs>
          <w:tab w:val="left" w:pos="567"/>
          <w:tab w:val="left" w:pos="993"/>
          <w:tab w:val="left" w:pos="1418"/>
          <w:tab w:val="left" w:pos="1843"/>
        </w:tab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Lote 1 (Ayuntamiento de Altsasu/Alsasua): 8.000,32 €.</w:t>
      </w:r>
    </w:p>
    <w:p w:rsidR="002225BC" w:rsidRPr="002225BC" w:rsidRDefault="002225BC" w:rsidP="002225BC">
      <w:pPr>
        <w:tabs>
          <w:tab w:val="left" w:pos="567"/>
          <w:tab w:val="left" w:pos="993"/>
          <w:tab w:val="left" w:pos="1418"/>
          <w:tab w:val="left" w:pos="1843"/>
        </w:tab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Lote 2 (Atabo Altsasu, S.L.): 4.486,00 €.</w:t>
      </w:r>
    </w:p>
    <w:p w:rsidR="002225BC" w:rsidRPr="002225BC" w:rsidRDefault="002225BC" w:rsidP="002225BC">
      <w:pPr>
        <w:tabs>
          <w:tab w:val="left" w:pos="567"/>
          <w:tab w:val="left" w:pos="993"/>
          <w:tab w:val="left" w:pos="1418"/>
          <w:tab w:val="left" w:pos="1843"/>
        </w:tab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Lote 3 (Escuela de Música y Danza): 772,72 €.</w:t>
      </w:r>
    </w:p>
    <w:p w:rsidR="002225BC" w:rsidRPr="002225BC" w:rsidRDefault="002225BC" w:rsidP="002225BC">
      <w:pPr>
        <w:tabs>
          <w:tab w:val="left" w:pos="567"/>
          <w:tab w:val="left" w:pos="993"/>
          <w:tab w:val="left" w:pos="1418"/>
          <w:tab w:val="left" w:pos="1843"/>
        </w:tab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Lote 4 (Residencia “Aita Barandiaran”): 3.293,40 €.</w:t>
      </w:r>
    </w:p>
    <w:p w:rsidR="002225BC" w:rsidRPr="002225BC" w:rsidRDefault="002225BC" w:rsidP="002225BC">
      <w:pPr>
        <w:tabs>
          <w:tab w:val="left" w:pos="567"/>
          <w:tab w:val="left" w:pos="993"/>
          <w:tab w:val="left" w:pos="1418"/>
          <w:tab w:val="left" w:pos="1843"/>
        </w:tab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Lote 5 (Mancomunidad de Servicios Sociales de Base de Altsasu/Alsasua, Olazti/Olazagutía y Ziordia): 174,12 €.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Será obligatoria la participación en la licitación de todos los lotes, pudiendo cualquier empresa resultar adjudicataria de la totalidad de los mismos.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Se ha decidido no realizar la reserva prevista en el artículo 36 de la Ley Foral de Contratos Públicos.</w:t>
      </w:r>
    </w:p>
    <w:p w:rsid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384EF9" w:rsidRDefault="00384EF9"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384EF9" w:rsidRPr="002225BC" w:rsidRDefault="00384EF9"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6.- DURACIÓN.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overflowPunct w:val="0"/>
        <w:autoSpaceDE w:val="0"/>
        <w:autoSpaceDN w:val="0"/>
        <w:adjustRightInd w:val="0"/>
        <w:jc w:val="both"/>
        <w:textAlignment w:val="baseline"/>
        <w:rPr>
          <w:rFonts w:ascii="Palatino Linotype" w:eastAsia="Times New Roman" w:hAnsi="Palatino Linotype"/>
          <w:sz w:val="21"/>
          <w:szCs w:val="21"/>
          <w:lang w:eastAsia="es-ES"/>
        </w:rPr>
      </w:pPr>
      <w:r w:rsidRPr="002225BC">
        <w:rPr>
          <w:rFonts w:ascii="Palatino Linotype" w:eastAsia="Times New Roman" w:hAnsi="Palatino Linotype"/>
          <w:sz w:val="21"/>
          <w:szCs w:val="21"/>
          <w:lang w:val="es-ES_tradnl" w:eastAsia="es-ES"/>
        </w:rPr>
        <w:tab/>
        <w:t>El plazo de duración del contrato será de 4 años.</w:t>
      </w:r>
    </w:p>
    <w:p w:rsidR="002225BC" w:rsidRPr="002225BC" w:rsidRDefault="002225BC" w:rsidP="002225BC">
      <w:pPr>
        <w:tabs>
          <w:tab w:val="left" w:pos="567"/>
          <w:tab w:val="left" w:pos="992"/>
          <w:tab w:val="left" w:pos="1417"/>
          <w:tab w:val="left" w:pos="1843"/>
        </w:tabs>
        <w:overflowPunct w:val="0"/>
        <w:autoSpaceDE w:val="0"/>
        <w:autoSpaceDN w:val="0"/>
        <w:adjustRightInd w:val="0"/>
        <w:jc w:val="both"/>
        <w:textAlignment w:val="baseline"/>
        <w:rPr>
          <w:rFonts w:ascii="Palatino Linotype" w:eastAsia="Times New Roman" w:hAnsi="Palatino Linotype"/>
          <w:sz w:val="21"/>
          <w:szCs w:val="21"/>
          <w:lang w:eastAsia="es-ES"/>
        </w:rPr>
      </w:pPr>
    </w:p>
    <w:p w:rsidR="002225BC" w:rsidRPr="002225BC" w:rsidRDefault="002225BC" w:rsidP="002225BC">
      <w:pPr>
        <w:tabs>
          <w:tab w:val="left" w:pos="567"/>
          <w:tab w:val="left" w:pos="992"/>
          <w:tab w:val="left" w:pos="1417"/>
          <w:tab w:val="left" w:pos="1843"/>
        </w:tabs>
        <w:overflowPunct w:val="0"/>
        <w:autoSpaceDE w:val="0"/>
        <w:autoSpaceDN w:val="0"/>
        <w:adjustRightInd w:val="0"/>
        <w:jc w:val="both"/>
        <w:textAlignment w:val="baseline"/>
        <w:rPr>
          <w:rFonts w:ascii="Palatino Linotype" w:eastAsia="Times New Roman" w:hAnsi="Palatino Linotype"/>
          <w:sz w:val="21"/>
          <w:szCs w:val="21"/>
          <w:lang w:val="es-ES_tradnl" w:eastAsia="es-ES"/>
        </w:rPr>
      </w:pPr>
      <w:r w:rsidRPr="002225BC">
        <w:rPr>
          <w:rFonts w:ascii="Palatino Linotype" w:eastAsia="Times New Roman" w:hAnsi="Palatino Linotype"/>
          <w:sz w:val="21"/>
          <w:szCs w:val="21"/>
          <w:lang w:eastAsia="es-ES"/>
        </w:rPr>
        <w:tab/>
      </w:r>
      <w:r w:rsidRPr="002225BC">
        <w:rPr>
          <w:rFonts w:ascii="Palatino Linotype" w:eastAsia="Times New Roman" w:hAnsi="Palatino Linotype"/>
          <w:sz w:val="21"/>
          <w:szCs w:val="21"/>
          <w:lang w:val="es-ES_tradnl" w:eastAsia="es-ES"/>
        </w:rPr>
        <w:t xml:space="preserve">No obstante, la empresa adjudicataria tendrá la obligación de continuar con la prestación del servicio, hasta que entre en vigor un nuevo contrato, siguiendo vigente este pliego, con un límite máximo de seis meses.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7.- CAPACIDAD Y SOLVENCIA DE LAS ENTIDADES LICITADORAS.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7.1.- Capacidad para participar en el procedimiento de contratación.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Podrán participar en el procedimiento de contratación las personas naturales o jurídicas, de naturaleza pública o privada y españolas o extranjeras, que tengan plena capacidad de obrar y acrediten su solvencia económica y financiera y técnica o profesional, y no se encuentren incursas en causa de prohibición de contratar, así como que su finalidad o actividad tenga relación directa con el objeto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Los mencionados requisitos deberán concurrir en el momento de finalización del plazo de presentación de proposiciones.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7.2.- Requisitos de solvencia económica y financiera.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La solvencia económica y financiera se justificará por alguno de los siguientes medios: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 Declaraciones positivas formuladas por entidades financieras.</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 Declaración de volumen de negocios del licitador en cada uno de los últimos tres ejercicios, referido al ámbito del contrato, que deberá ser igual o superior al del presupuesto de licitación.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7.3.- Requisitos de solvencia técnica y profesional.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La solvencia técnica y profesional se justificará mediante la presentación de una relación de los principales contratos de revisión y mantenimiento de equipos de protección contra incendios realizados en los últimos tres años, indicando fechas y clientes, por un importe igual o superior al del presupuesto de licitación, acompañado de certificado de cumplimiento satisfactorio de los mismos.</w:t>
      </w:r>
    </w:p>
    <w:p w:rsidR="002225BC" w:rsidRPr="002225BC" w:rsidRDefault="002225BC" w:rsidP="002225BC">
      <w:pPr>
        <w:tabs>
          <w:tab w:val="left" w:pos="567"/>
          <w:tab w:val="left" w:pos="992"/>
          <w:tab w:val="left" w:pos="1417"/>
          <w:tab w:val="left" w:pos="1843"/>
        </w:tabs>
        <w:suppressAutoHyphens/>
        <w:ind w:firstLine="709"/>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Asimismo, será obligatoria la acreditación de que la empresa está inscrita en el Registro Integrado Industrial, regulado en el título IV de la Ley 21/1992, de 16 de julio, de Industria (BOE nº 176, de 23 de julio) como empresa mantenedora de equipos y sistemas de protección contra incendios, habilitada para realizar el mantenimiento de, al menos los siguientes equipos y sistemas: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992"/>
        <w:jc w:val="both"/>
        <w:rPr>
          <w:rFonts w:ascii="Palatino Linotype" w:eastAsia="Calibri" w:hAnsi="Palatino Linotype"/>
          <w:sz w:val="21"/>
          <w:szCs w:val="21"/>
        </w:rPr>
      </w:pPr>
      <w:r w:rsidRPr="002225BC">
        <w:rPr>
          <w:rFonts w:ascii="Palatino Linotype" w:eastAsia="Calibri" w:hAnsi="Palatino Linotype"/>
          <w:sz w:val="21"/>
          <w:szCs w:val="21"/>
        </w:rPr>
        <w:t>o</w:t>
      </w:r>
      <w:r w:rsidRPr="002225BC">
        <w:rPr>
          <w:rFonts w:ascii="Palatino Linotype" w:eastAsia="Calibri" w:hAnsi="Palatino Linotype"/>
          <w:sz w:val="21"/>
          <w:szCs w:val="21"/>
        </w:rPr>
        <w:tab/>
        <w:t>Extintores de incendios.</w:t>
      </w:r>
    </w:p>
    <w:p w:rsidR="002225BC" w:rsidRPr="002225BC" w:rsidRDefault="002225BC" w:rsidP="002225BC">
      <w:pPr>
        <w:tabs>
          <w:tab w:val="left" w:pos="567"/>
          <w:tab w:val="left" w:pos="992"/>
          <w:tab w:val="left" w:pos="1417"/>
          <w:tab w:val="left" w:pos="1843"/>
        </w:tabs>
        <w:suppressAutoHyphens/>
        <w:ind w:left="992"/>
        <w:jc w:val="both"/>
        <w:rPr>
          <w:rFonts w:ascii="Palatino Linotype" w:eastAsia="Calibri" w:hAnsi="Palatino Linotype"/>
          <w:sz w:val="21"/>
          <w:szCs w:val="21"/>
        </w:rPr>
      </w:pPr>
      <w:r w:rsidRPr="002225BC">
        <w:rPr>
          <w:rFonts w:ascii="Palatino Linotype" w:eastAsia="Calibri" w:hAnsi="Palatino Linotype"/>
          <w:sz w:val="21"/>
          <w:szCs w:val="21"/>
        </w:rPr>
        <w:t>o</w:t>
      </w:r>
      <w:r w:rsidRPr="002225BC">
        <w:rPr>
          <w:rFonts w:ascii="Palatino Linotype" w:eastAsia="Calibri" w:hAnsi="Palatino Linotype"/>
          <w:sz w:val="21"/>
          <w:szCs w:val="21"/>
        </w:rPr>
        <w:tab/>
        <w:t>Señalización luminiscente.</w:t>
      </w:r>
    </w:p>
    <w:p w:rsidR="002225BC" w:rsidRPr="002225BC" w:rsidRDefault="002225BC" w:rsidP="002225BC">
      <w:pPr>
        <w:pBdr>
          <w:bottom w:val="single" w:sz="4" w:space="1" w:color="auto"/>
        </w:pBdr>
        <w:tabs>
          <w:tab w:val="left" w:pos="567"/>
          <w:tab w:val="left" w:pos="993"/>
          <w:tab w:val="left" w:pos="1418"/>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8.- PRESENTACIÓN DE PROPOSICIONES.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8.1. LUGAR Y PLAZO.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Cada entidad licitadora no podrá presentar más de una proposición a cada uno de los lotes. Tampoco podrá suscribir ninguna propuesta en participación conjunta con otras entidades licitadoras si se ha presentado proposición individual, ni figurar en más de una de esas agrupaciones. La infracción de esto, así como la presentación simultánea de ofertas por empresas vinculadas dará lugar a la inadmisión de todas las ofertas suscritas.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presentación de proposiciones supone la aceptación incondicional del contenido de la totalidad de las cláusulas del pliego que rigen la licitación, sin salvedad o reserva alguna.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Quienes muestren interés en la licitación obtendrán a través del Portal de Contratación la información adicional sobre los pliegos y demás documentación complementaria en el plazo de tres días desde que la soliciten.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Los documentos que conforman la oferta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Así mismo, todas las comunicaciones y resto de actuaciones de trámites que procedan con los interesados, se efectuará a través de PLENA.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plazo de presentación de las ofertas será de QUINCE días contados a partir del día siguiente al de la fecha de publicación en el Portal de Contratación de Navarra.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i/>
          <w:sz w:val="21"/>
          <w:szCs w:val="21"/>
        </w:rPr>
      </w:pPr>
      <w:r w:rsidRPr="002225BC">
        <w:rPr>
          <w:rFonts w:ascii="Palatino Linotype" w:eastAsia="Calibri" w:hAnsi="Palatino Linotype"/>
          <w:sz w:val="21"/>
          <w:szCs w:val="21"/>
        </w:rPr>
        <w:tab/>
      </w:r>
      <w:r w:rsidRPr="002225BC">
        <w:rPr>
          <w:rFonts w:ascii="Palatino Linotype" w:eastAsia="Calibri" w:hAnsi="Palatino Linotype"/>
          <w:i/>
          <w:sz w:val="21"/>
          <w:szCs w:val="21"/>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Es necesario que la hora del equipo desde el que se vaya a realizar la presentación coincida con un margen máximo de desfase de 5 minutos, con la hora del servidor de Gobierno de Navarra.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Fuente horaria primaria: hora.roa.es (Real Instituto y Observatorio de la Armada: dos servidores en San Fernando-Cádiz y un tercero situado en Madrid)</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 xml:space="preserve">Fuentes horarias secundarias: </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lang w:val="en-US"/>
        </w:rPr>
      </w:pPr>
      <w:r w:rsidRPr="002225BC">
        <w:rPr>
          <w:rFonts w:ascii="Palatino Linotype" w:eastAsia="Calibri" w:hAnsi="Palatino Linotype"/>
          <w:sz w:val="21"/>
          <w:szCs w:val="21"/>
        </w:rPr>
        <w:tab/>
      </w:r>
      <w:r w:rsidRPr="002225BC">
        <w:rPr>
          <w:rFonts w:ascii="Palatino Linotype" w:eastAsia="Calibri" w:hAnsi="Palatino Linotype"/>
          <w:sz w:val="21"/>
          <w:szCs w:val="21"/>
          <w:lang w:val="en-US"/>
        </w:rPr>
        <w:t>-</w:t>
      </w:r>
      <w:r w:rsidRPr="002225BC">
        <w:rPr>
          <w:rFonts w:ascii="Palatino Linotype" w:eastAsia="Calibri" w:hAnsi="Palatino Linotype"/>
          <w:sz w:val="21"/>
          <w:szCs w:val="21"/>
          <w:lang w:val="en-US"/>
        </w:rPr>
        <w:tab/>
        <w:t>canon.inria.fr , INRIA, Paris</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lang w:val="en-US"/>
        </w:rPr>
      </w:pPr>
      <w:r w:rsidRPr="002225BC">
        <w:rPr>
          <w:rFonts w:ascii="Palatino Linotype" w:eastAsia="Calibri" w:hAnsi="Palatino Linotype"/>
          <w:sz w:val="21"/>
          <w:szCs w:val="21"/>
          <w:lang w:val="en-US"/>
        </w:rPr>
        <w:tab/>
        <w:t>-</w:t>
      </w:r>
      <w:r w:rsidRPr="002225BC">
        <w:rPr>
          <w:rFonts w:ascii="Palatino Linotype" w:eastAsia="Calibri" w:hAnsi="Palatino Linotype"/>
          <w:sz w:val="21"/>
          <w:szCs w:val="21"/>
          <w:lang w:val="en-US"/>
        </w:rPr>
        <w:tab/>
        <w:t>i2t15.i2t.ehu.es , UPV-EHU</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lang w:val="en-US"/>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lang w:val="en-US"/>
        </w:rPr>
        <w:tab/>
      </w:r>
      <w:r w:rsidRPr="002225BC">
        <w:rPr>
          <w:rFonts w:ascii="Palatino Linotype" w:eastAsia="Calibri" w:hAnsi="Palatino Linotype"/>
          <w:sz w:val="21"/>
          <w:szCs w:val="21"/>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Si por el contrario la huella no coincide, o bien la oferta se ha recibido fuera del plazo de 24 horas extendidas, la oferta se excluirá, no abriéndose nunca su contenido.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licitador/a o problemas técnicos ajenos a la Plataforma no justificarán la extemporaneidad en la presentación de la oferta y conllevarán la exclusión.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8.2. FORMA Y CONTENIDO DE LAS PROPOSICIONES.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Las ofertas son cifradas en el escritorio de quien vaya a licitar utilizando mecanismos estándares de cifrado, y una vez presentadas, son depositadas en el repositorio seguro.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Las empresas licitadoras redactarán su propuesta utilizando datos desagregados por sexo, siempre que introduzcan datos sobre personas.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Las propuestas se presentarán de acuerdo con la estructura establecida para esta oferta en PLENA y contendrá </w:t>
      </w:r>
      <w:r>
        <w:rPr>
          <w:rFonts w:ascii="Palatino Linotype" w:eastAsia="Calibri" w:hAnsi="Palatino Linotype"/>
          <w:sz w:val="21"/>
          <w:szCs w:val="21"/>
        </w:rPr>
        <w:t>2</w:t>
      </w:r>
      <w:r w:rsidRPr="002225BC">
        <w:rPr>
          <w:rFonts w:ascii="Palatino Linotype" w:eastAsia="Calibri" w:hAnsi="Palatino Linotype"/>
          <w:sz w:val="21"/>
          <w:szCs w:val="21"/>
        </w:rPr>
        <w:t xml:space="preserve"> sobres, identificados como: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“Sobre n° 1: Documentación administrativa”.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“Sobre n° 2: Documentación relativa a criterios cuantificables mediante fórmulas”.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Cada uno de los sobres deberá contener los siguientes documentos:</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i/>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i/>
          <w:sz w:val="21"/>
          <w:szCs w:val="21"/>
        </w:rPr>
      </w:pPr>
      <w:r w:rsidRPr="002225BC">
        <w:rPr>
          <w:rFonts w:ascii="Palatino Linotype" w:eastAsia="Calibri" w:hAnsi="Palatino Linotype"/>
          <w:b/>
          <w:i/>
          <w:sz w:val="21"/>
          <w:szCs w:val="21"/>
        </w:rPr>
        <w:t>Sobre número 1. "Documentación administrativa".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Se incluirán necesariamente los siguientes documentos: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 Identificación de la entidad licitadora o licitadoras, que se presentan, pudiendo ser personas físicas, participaciones conjuntas, personas jurídicas, uniones temporales de empresas. Así mismo se presentará una dirección de correo electrónico de la entidad licitadora, conforme al modelo señalado en el Anexo I.</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2. Declaración responsable de la entidad licitadora o, en su caso, de su representante, indicando que cumple las condiciones exigidas para contratar. Dicha declaración se ajustará al modelo señalado en el Anexo II.</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3. Si la proposición es suscrita por entidades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una y se designe una persona representante o apoderada única con facultades para ejercer los derechos y cumplir las obligaciones derivadas del contrato hasta la extinción del mismo. El escrito habrá de estar firmado tanto por las diversas empresas concurrentes como por la citada persona apoderada.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4. En caso de subcontratación, la entidad licitadora deberá presentar una relación de subcontratistas y aportar un documento que demuestre la existencia de un compromiso formal con las mismas para la ejecución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i/>
          <w:sz w:val="21"/>
          <w:szCs w:val="21"/>
        </w:rPr>
      </w:pPr>
      <w:r w:rsidRPr="002225BC">
        <w:rPr>
          <w:rFonts w:ascii="Palatino Linotype" w:eastAsia="Calibri" w:hAnsi="Palatino Linotype"/>
          <w:b/>
          <w:i/>
          <w:sz w:val="21"/>
          <w:szCs w:val="21"/>
        </w:rPr>
        <w:t>Sobre número 2 "Documentación relativa a criterios no cuantificables mediante fórmulas”.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Incluirá toda la documentación para que su oferta se valore y puntúe conforme a los criterios de adjudicación establecidos en la cláusula </w:t>
      </w:r>
      <w:r>
        <w:rPr>
          <w:rFonts w:ascii="Palatino Linotype" w:eastAsia="Calibri" w:hAnsi="Palatino Linotype"/>
          <w:sz w:val="21"/>
          <w:szCs w:val="21"/>
        </w:rPr>
        <w:t>11</w:t>
      </w:r>
      <w:r w:rsidRPr="002225BC">
        <w:rPr>
          <w:rFonts w:ascii="Palatino Linotype" w:eastAsia="Calibri" w:hAnsi="Palatino Linotype"/>
          <w:sz w:val="21"/>
          <w:szCs w:val="21"/>
        </w:rPr>
        <w:t xml:space="preserve"> del presente pliego, según el modelo del Anexo III:</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La oferta relativa a los criterios sociales.</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La oferta económica.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proposición deberá estar firmada por la entidad licitadora o persona que la represente. En el caso de licitaciones en participación conjunta, irá firmada por la totalidad de sus componentes o por su representante.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Será causa de exclusión de la licitación incluir en el sobre nº 1 documentación que, de acuerdo con lo establecido en este pliego, corresponda incluir en el sobre nº 2, porque es esencial que quede asegurada la confidencialidad de las ofertas cuantificables mediante fórmulas hasta la apertura pública (art. 97.3 de la Ley Foral de Contratos Públicos).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9.- OFERTA ECONÓMICA ANORMALMENTE BAJA.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Se considerarán ofertan anormalmente bajas aquéllas que sean inferiores en un 20 % o más a la media de las ofertas presentadas. En este caso se estará a lo dispuesto en el artículo 98 de la Ley Foral 2/2018, de 13 de abril, de Contratos Públicos.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Cuando la parte adjudicataria hubiera presentado una oferta que pueda presumirse anormalmente baja, ésta deberá constituir una fianza de hasta el 50 por 100 del precio de adjudicación, sin perjuicio de su devolución o cancelación parcial antes de la recepción del contrato, previo informe de la unidad gestora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10.- UNIDAD GESTORA Y APERTURA DE LAS PROPOSICIONES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que realizará la apertura de las proposiciones y las demás funciones encomendadas por la Ley, será el Área de Urbanismo, junto con la Secretaría del Ayuntamiento.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en acto privado, calificará previamente la documentación administrativa presentada en tiempo y forma por los licitadores en el sobre n° 1, con el fin de comprobar que reúnen las condiciones para ser admitidos.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podrá conceder un plazo de cinco días naturales para subsanar los defectos o completar dicha documentación. Si transcurrido el plazo de subsanación no se ha completado o subsanado la documentación requerida, se procederá a su exclusión en el procedimiento, dejando constancia documental de esta circunstancia.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Calificada la documentación administrativa, la Unidad Gestora procederá a la apertura del</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Sobre n° 2, "Documentación relativa a criterios no cuantificables mediante fórmulas”, de las empresas admitidas y a su valoración conforme a los criterios de adjudicación debidamente ponderados según los criterios que se señalan en el presente pliego.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el Portal de Contratación de Navarra se anunciará con al menos 3 días de antelación el lugar, fecha y hora de la apertura pública de la documentación relativa a los criterios cuantificables mediante fórmulas.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antes de proceder a la apertura de esta parte de la oferta, comunicará a las personas presentes el resultado de la calificación de la documentación presentada por los licitadores, indicando los licitadores admitidos, los inadmitidos así como las causas de la inadmisión, y la valoración obtenida en el resto de criterios.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dará comunicación al licitador a favor del cual recaiga la propuesta de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11.- CRITERIOS DE ADJUDICACIÓN.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Las empresas redactarán su propuesta utilizando datos desagregados por sexo, siempre que introduzcan datos sobre personas.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contrato se adjudicará a la oferta con la mejor relación calidad precio, teniéndose en cuenta, a estos efectos, los siguientes criterios: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t>- Oferta económica: 90 puntos.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t>- Social: 10 puntos.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todos los cálculos de fórmulas se utilizarán dos decimales.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b/>
          <w:bCs/>
          <w:sz w:val="21"/>
          <w:szCs w:val="21"/>
        </w:rPr>
        <w:tab/>
        <w:t>A.- Oferta económica: hasta 90 puntos.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A la propuesta más económica, contenida en el SOBRE Nº 2 – PROPUESTA ECÓNOMICA, se otorgarán 90 puntos. El resto de las licitaciones se obtendrán otorgando una puntuación inversamente proporcional a la mejor oferta económica presentada, según la siguiente fórmula: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p>
    <w:tbl>
      <w:tblPr>
        <w:tblStyle w:val="Tablaconcuadrcula"/>
        <w:tblW w:w="0" w:type="auto"/>
        <w:jc w:val="center"/>
        <w:tblLook w:val="04A0" w:firstRow="1" w:lastRow="0" w:firstColumn="1" w:lastColumn="0" w:noHBand="0" w:noVBand="1"/>
      </w:tblPr>
      <w:tblGrid>
        <w:gridCol w:w="2120"/>
        <w:gridCol w:w="1418"/>
      </w:tblGrid>
      <w:tr w:rsidR="002225BC" w:rsidRPr="002225BC" w:rsidTr="005F4E2E">
        <w:trPr>
          <w:jc w:val="center"/>
        </w:trPr>
        <w:tc>
          <w:tcPr>
            <w:tcW w:w="2120"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b/>
                <w:bCs/>
                <w:sz w:val="21"/>
                <w:szCs w:val="21"/>
              </w:rPr>
              <w:t>Importe</w:t>
            </w:r>
          </w:p>
        </w:tc>
        <w:tc>
          <w:tcPr>
            <w:tcW w:w="1418"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b/>
                <w:bCs/>
                <w:sz w:val="21"/>
                <w:szCs w:val="21"/>
              </w:rPr>
              <w:t>Puntuación</w:t>
            </w:r>
          </w:p>
        </w:tc>
      </w:tr>
      <w:tr w:rsidR="002225BC" w:rsidRPr="002225BC" w:rsidTr="005F4E2E">
        <w:trPr>
          <w:jc w:val="center"/>
        </w:trPr>
        <w:tc>
          <w:tcPr>
            <w:tcW w:w="2120"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sz w:val="21"/>
                <w:szCs w:val="21"/>
              </w:rPr>
              <w:t>A (más económico)</w:t>
            </w:r>
          </w:p>
        </w:tc>
        <w:tc>
          <w:tcPr>
            <w:tcW w:w="1418"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90</w:t>
            </w:r>
          </w:p>
        </w:tc>
      </w:tr>
      <w:tr w:rsidR="002225BC" w:rsidRPr="002225BC" w:rsidTr="005F4E2E">
        <w:trPr>
          <w:jc w:val="center"/>
        </w:trPr>
        <w:tc>
          <w:tcPr>
            <w:tcW w:w="2120"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sz w:val="21"/>
                <w:szCs w:val="21"/>
              </w:rPr>
              <w:t>B (Resto de ofertas)</w:t>
            </w:r>
          </w:p>
        </w:tc>
        <w:tc>
          <w:tcPr>
            <w:tcW w:w="1418" w:type="dxa"/>
          </w:tcPr>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b/>
                <w:bCs/>
                <w:sz w:val="21"/>
                <w:szCs w:val="21"/>
              </w:rPr>
              <w:t>X</w:t>
            </w:r>
          </w:p>
        </w:tc>
      </w:tr>
    </w:tbl>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b/>
          <w:bCs/>
          <w:sz w:val="21"/>
          <w:szCs w:val="21"/>
        </w:rPr>
        <w:tab/>
      </w:r>
      <w:r w:rsidRPr="002225BC">
        <w:rPr>
          <w:rFonts w:ascii="Palatino Linotype" w:eastAsia="Calibri" w:hAnsi="Palatino Linotype"/>
          <w:b/>
          <w:bCs/>
          <w:sz w:val="21"/>
          <w:szCs w:val="21"/>
        </w:rPr>
        <w:tab/>
      </w:r>
      <w:r w:rsidRPr="002225BC">
        <w:rPr>
          <w:rFonts w:ascii="Palatino Linotype" w:eastAsia="Calibri" w:hAnsi="Palatino Linotype"/>
          <w:b/>
          <w:bCs/>
          <w:sz w:val="21"/>
          <w:szCs w:val="21"/>
        </w:rPr>
        <w:tab/>
        <w:t xml:space="preserve">X </w:t>
      </w:r>
      <w:r w:rsidRPr="002225BC">
        <w:rPr>
          <w:rFonts w:ascii="Palatino Linotype" w:eastAsia="Calibri" w:hAnsi="Palatino Linotype"/>
          <w:sz w:val="21"/>
          <w:szCs w:val="21"/>
        </w:rPr>
        <w:t>= (90* A) / B</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bCs/>
          <w:sz w:val="21"/>
          <w:szCs w:val="21"/>
        </w:rPr>
      </w:pPr>
      <w:r w:rsidRPr="002225BC">
        <w:rPr>
          <w:rFonts w:ascii="Palatino Linotype" w:eastAsia="Calibri" w:hAnsi="Palatino Linotype"/>
          <w:b/>
          <w:bCs/>
          <w:sz w:val="21"/>
          <w:szCs w:val="21"/>
        </w:rPr>
        <w:tab/>
        <w:t>B.- Criterios sociales: hasta 10 puntos.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Se valorará hasta con 10 puntos la incorporación por parte de las licitadoras de los siguientes criterios sociales en relación con el personal adscrito a la ejecución de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Incorporación por parte de las empresas concurrentes del compromiso de realización o de la justificación de haber realizado durante los dos años anteriores a la fecha de presentación de las ofertas, al menos 8,00 horas de acciones de sensibilización y formación a la plantilla que ejecutará el contrato acerca de los derechos en materia de igualdad y de conciliación reconocidos en la normativa vigente y convenio correspondiente. La valoración se efectuará en función del número de horas dedicadas a la acción. Se asignará 1 punto a quien oferte hasta 8 horas de formación; 3 puntos a quien ofrezca entre 9 y 16 horas de formación; y 5 puntos a quien oferte entre 17 y 25 horas de formación.</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cumplimiento del criterio se justificará mediante la presentación de certificados, diplomas de aprovechamiento y/o facturas de empresas o profesionales especializados. Además, se aportarán los contratos correspondientes suscritos con el personal adscrito a la ejecución del contrato. Por último, se incorporará una declaración firmada por persona debidamente apoderada, en la que se declare que las personas que han recibido la formación están adscritas a la ejecución del presente contrato.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 Contar, en la plantilla adscrita a la ejecución del presente contrato, con un trabajador/a menor de 30 años. </w:t>
      </w:r>
      <w:r w:rsidR="00ED7D8D">
        <w:rPr>
          <w:rFonts w:ascii="Palatino Linotype" w:eastAsia="Calibri" w:hAnsi="Palatino Linotype"/>
          <w:sz w:val="21"/>
          <w:szCs w:val="21"/>
        </w:rPr>
        <w:t>5 puntos.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cumplimiento del criterio se justificará mediante la presentación del contrato suscrito con el/la trabajador/a, así como una declaración firmada por persona debidamente apoderada, en la que se declare que éste/a trabajadora está adscrita a la ejecución del contrato.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12.- CRITERIOS DE DESEMPATE.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Si se produce empate entre dos o más ofertas se aplicarán los siguientes criterios de desempate, por el siguiente orden: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1) El menor porcentaje de trabajadores eventuales, siempre que éste no sea superior al 10%.</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2) El mayor porcentaje de trabajadores fijos con discapacidad igual o superior al 33%, siempre que la empresa o profesional tenga en plantilla un porcentaje superior al 2% de trabajadores con discapacidad, en el momento de la acreditación de su solvencia.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Si persiste el empate tras la aplicación de los criterios anteriores éste se resolverá por sorteo.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Para la aplicación de los criterios de desempate se requerirá a las entidades licitadoras afectadas para que en el plazo de cinco días naturales presente la documentación pertinente.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13.- APORTACIÓN DE LA DOCUMENTACION PARA ACREDITAR LA CAPACIDAD Y LA SOLVENCIA POR LA PARTE ADJUDICATARIA.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el plazo máximo de 7 días desde que la unidad gestora del contrato comunique a la persona a cuyo favor vaya a recaer la propuesta de adjudicación dicha circunstancia, la persona que vaya a resultar propuesta como adjudicataria deberá presentar, a través de PLENA, la siguiente documentación: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 Documento o documentos que acrediten la personalidad de la entidad licitadora y la representación, en su caso, quien firma la proposición, consistentes en: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1.1.- Documento Nacional de Identidad (o documento que lo sustituya reglamentariamente) en el caso de personas físicas o empresas individuales.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1.2.- Si la entidad licitadora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acta fundacional en el que constaren las normas por las que se regula su actividad, inscritos, en su caso, en el correspondiente Registro oficial.</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 xml:space="preserve">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1.3.- Cuando la oferta se presente por entidades licitadoras que participen conjuntamente, cada una de ellas acreditará su personalidad y capacidad de obrar, debiendo indicar en documento privado los nombres y circunstancias de las empresas que la suscriben, la participación de cada una de ellas y designar la persona o entidad que durante la vigencia del contrato ha de ostentar la plena representación de todas frente a la Administración. El citado documento deberá estar firmado por cada una de las entidades licitadoras agrupadas o por sus respectivos representantes.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La responsabilidad será siempre solidaria, e indivisible el conjunto de obligaciones dimanantes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2. Número de Identificación Fiscal de la entidad. Si la oferta se presenta por empresas que participen conjuntamente, el N.I.F. será aportado por cada una de ellas.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3. Documentación acreditativa de la solvencia económica y financiera así como técnica y profesional en los términos exigidos en el presente pliego.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4. Declaración responsable de la entidad licitadora en la que haga constar que se halla al corriente del cumplimiento de las obligaciones de seguridad, salud en el trabajo y prevención de riesgos laborales (incluido el protocolo de actuación en caso de acoso sexual o acoso por razón de sexo) impuestas por las disposiciones vigentes, así como, en su caso, una copia del Plan de Igualdad, si estuviera obligada a ello en virtud de la Ley 3/2007 para la igualdad efectiva de hombres y mujeres.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el caso de ofertas presentadas por uniones de empresas que se constituyan temporalmente al efecto o por entidades licitadoras que participen conjuntamente, cada una de las integrantes de la agrupación deberá presentar la declaración señalada.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5. Certificados positivos expedidos por las Haciendas que correspondan (Hacienda Foral de Navarra y/o Hacienda Estatal y/o Haciendas Forales) y por la Tesorería General de la Seguridad Social acreditativos, respectivamente, de que la entidad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el caso de ofertas presentadas por uniones de empresas que se constituyan temporalmente al efecto o por entidades licitadoras que participen conjuntamente, cada una de las integrantes de la agrupación deberá presentar los certificados señalados.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6. Si la entidad licitadora pretende subcontratar con Centros Especiales de Empleo o Centros de Inserción Social parte de las prestaciones objeto del contrato, deberá aportar una relación exhaustiva de las empresas subcontratistas y un documento original que demuestre la existencia de un compromiso formal con tales empresas especificando la parte del contrato que va a ser objeto de subcontratación con cada empresa.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7. Formación en materia de igualdad: Programa de la formación y curriculum de quien diseña e imparte la formación.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8.</w:t>
      </w:r>
      <w:r w:rsidRPr="002225BC">
        <w:rPr>
          <w:rFonts w:ascii="Palatino Linotype" w:eastAsia="Calibri" w:hAnsi="Palatino Linotype"/>
          <w:sz w:val="21"/>
          <w:szCs w:val="21"/>
        </w:rPr>
        <w:tab/>
        <w:t xml:space="preserve">Certificado de estar dado de alta en el Impuesto de Actividades Económicas y al corriente del mismo para entidades licitadoras domiciliadas fuera de Altsasu/Alsasua. Si la licitadora se halla domiciliada en el Ayuntamiento de Altsasu/Alsasua, la comprobación de este cumplimiento se realizará de oficio.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falta de aportación de la documentación necesaria en dicho plazo supondrá la exclusión de la entidad licitadora del procedimiento, con el abono por parte de éste de una penalidad equivalente al 5% del importe estimado del contrato e indemnización complementaria de daños y perjuicios en todo lo que exceda dicho porcentaje.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14.- PROPUESTA DE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unidad gestora una vez que haya comprobado la documentación presentada, efectuará la propuesta de adjudicación al órgano de contratación. La propuesta señalará el orden de prelación de las entidades que hayan formulado una propuesta admisible, con las puntuaciones obtenidas en aplicación de los criterios de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La propuesta de adjudicación no generará derecho alguno mientras no se apruebe la resolución de adjudicación del contrato.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15.-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 Adjudicación. 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2.- Perfección del contrato.- La perfección del contrato tendrá lugar con la adjudicación del mismo.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3.- Declaración de desierto.- De conformidad con lo establecido en el artículo 101.5 de la Ley Foral 2/2018, de Contratos Públicos, el órgano de contratación podrá de forma motivada declarar desierto el procedimiento de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4.- Notificación y publicidad de la adjudicación.- La adjudicación, una vez acordada, será notificada a las entidades participantes en la licitación y se publicará en el Portal de Contratación de Navarra de conformidad con lo establecido en el artículo 102 de la Ley Foral. </w:t>
      </w: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16.- GARANTÍAS.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Con carácter previo a la formalización del contrato, la parte adjudicataria, depositará a favor de</w:t>
      </w:r>
      <w:r w:rsidR="0082378E">
        <w:rPr>
          <w:rFonts w:ascii="Palatino Linotype" w:eastAsia="Calibri" w:hAnsi="Palatino Linotype"/>
          <w:sz w:val="21"/>
          <w:szCs w:val="21"/>
        </w:rPr>
        <w:t xml:space="preserve"> cada poder adjudicador</w:t>
      </w:r>
      <w:r w:rsidRPr="002225BC">
        <w:rPr>
          <w:rFonts w:ascii="Palatino Linotype" w:eastAsia="Calibri" w:hAnsi="Palatino Linotype"/>
          <w:sz w:val="21"/>
          <w:szCs w:val="21"/>
        </w:rPr>
        <w:t xml:space="preserve"> el 4% del importe de adjudicación (IVA excluido).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garantía quedará afecta al cumplimiento de las obligaciones de la empresa contratista hasta la finalización del plazo de garantía y, en particular, al pago de las penalidades por demora así como a la reparación de los posibles daños y perjuicios ocasionados por dicha empresa durante la ejecución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Asimismo, dicha garantía podrá ser objeto de incautación en los casos de resolución del contrato por incumplimiento culpable de la empresa contratista, en la cuantía necesaria para cubrir los daños y perjuicios que se hayan acreditado.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garantía se podrá constituir en cualquiera de las formas previstas en el artículo 70.3 de la Ley Foral de Contratos Públicos.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garantía será devuelta de oficio una vez finalizado el periodo de garantía del contrato, que será de 1 año, previo informe de la unidad gestora de haber cumplido el contrato a satisfacción del Ayuntamiento o haberse resuelto sin culpa de la empresa contratista.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17.- FORMALIZACIÓN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Se formalizará un contrato por cada lote entre la persona adjudicataria y todos los poderes adjudicadores que forman parte de la contratación conjunta, en el plazo de 15 días naturales contados desde la terminación del plazo de suspensión de la adjudicación.</w:t>
      </w:r>
      <w:r w:rsidRPr="002225BC">
        <w:rPr>
          <w:rFonts w:ascii="Palatino Linotype" w:eastAsia="Calibri" w:hAnsi="Palatino Linotype"/>
          <w:sz w:val="21"/>
          <w:szCs w:val="21"/>
        </w:rPr>
        <w:tab/>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Con carácter previo, la parte adjudicataria, deberá entregar los siguientes documentos en el plazo máximo de quince días naturales desde la notificación de la adjudicación: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 Justificante de haber consignado a favor del poder adjudicador la garantía para el cumplimiento de las obligaciones derivadas del contrato. La garantía podrá constituirse en metálico, aval bancario o de entidad autorizada al efecto o por contrato de seguro de caución. En caso de constituirse en aval, este tendrá carácter ejecutivo a favor del Ayuntamiento de Altsasu/Alsasua, y contendrá la siguiente diligencia: “Este aval tendrá validez en tanto en cuanto el Ayuntamiento de Altsasu/Alsasua no autorice su cancelación”.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Póliza de seguro y documentación acreditativa del pago de la prima del seguro que cubre los riesgos derivados del servicio cuyo contrato se adjudica.</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En el caso de unión temporal de empresas, las escrituras de constitución de la misma cuya duración será coincidente con la del contrato hasta su extinción y CIF de dicha unión.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xml:space="preserve">- En caso de tener obligación por Ley 3/2007 para la igualdad efectiva de hombres y mujeres, una copia de dicho Plan y su ejecución en el año 2020.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Si el contrato no se formalizase en plazo por causas imputables a la empresa contratista, el órgano de contratación podrá optar por resolver el contrato, previa audiencia de la interesada, con abono por su parte de una penalidad equivalente al 5% del importe estimado del contrato e indemnización complementaria de daños y perjuicios en todo lo que exceda dicho porcentaje, o bien conceder un nuevo plazo improrrogable.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18.- CONDICIONES ESPECIALES DE EJECUCIÓN.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Al amparo de lo dispuesto en el art. 66 de la Ley Foral 2/2018 de Contratos Públicos, se establecen como condiciones de carácter específicamente social las siguientes: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2ª.- La oferta económica deberá ser adecuada para que la empresa adjudicataria haga frente al coste derivado de la aplicación del convenio sectorial que corresponda, sin que en ningún caso los precios/hora de los salarios contemplados puedan ser inferiores a los precios/hora del convenio más los costes de Seguridad Social.</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b/>
          <w:sz w:val="21"/>
          <w:szCs w:val="21"/>
        </w:rPr>
        <w:t>Igualdad entre mujeres y hombres.</w:t>
      </w:r>
      <w:r w:rsidRPr="002225BC">
        <w:rPr>
          <w:rFonts w:ascii="Palatino Linotype" w:eastAsia="Calibri" w:hAnsi="Palatino Linotype"/>
          <w:sz w:val="21"/>
          <w:szCs w:val="21"/>
        </w:rPr>
        <w:t xml:space="preserve"> En esta materia deberán guardarse las siguientes condiciones: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xml:space="preserve">- Si la empresa contratista está obligada a tener un Plan de Igualdad, deberá acreditar el diseño y aplicación efectiva del Plan de Igualdad previsto en la Ley Orgánica 3/2007, de 22 de marzo, para la igualdad efectiva de mujeres y hombres. </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ab/>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 de conformidad con la Ordenanza municipal en vigor.</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b/>
          <w:sz w:val="21"/>
          <w:szCs w:val="21"/>
        </w:rPr>
        <w:t>Discapacidad.-</w:t>
      </w:r>
      <w:r w:rsidRPr="002225BC">
        <w:rPr>
          <w:rFonts w:ascii="Palatino Linotype" w:eastAsia="Calibri" w:hAnsi="Palatino Linotype"/>
          <w:sz w:val="21"/>
          <w:szCs w:val="21"/>
        </w:rPr>
        <w:t xml:space="preserve"> Si la empresa contratista cuenta con 50 o más personas trabajadoras en el total de su plantilla, deberá acreditar que está compuesta al menos por un 2% de personas con discapacidad igual o superior al 33%.</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b/>
          <w:sz w:val="21"/>
          <w:szCs w:val="21"/>
        </w:rPr>
        <w:t>Cláusula social.-</w:t>
      </w:r>
      <w:r w:rsidRPr="002225BC">
        <w:rPr>
          <w:rFonts w:ascii="Palatino Linotype" w:eastAsia="Calibri" w:hAnsi="Palatino Linotype"/>
          <w:sz w:val="21"/>
          <w:szCs w:val="21"/>
        </w:rPr>
        <w:t xml:space="preserve"> Se establece como condición especial de ejecución de carácter social la obligación por parte de la empresa adjudicataria de que, al menos, un tercio de todas las nuevas contrataciones, bajas y sustituciones a jornada completa que se requieran para la realización de la inversión recaigan en personas perceptoras de Renta Mínima de Inserción (RMI). Tendrán preferencia las personas perceptoras de RMI que, reuniendo los requisitos precisos, residan en el ámbito territorial de la agencia de empleo correspondiente.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Dicha reserva afectará, como mínimo, a la primera, quinta y novena de las contrataciones a jornada completa que se requieran para la realización de la inversión. A partir de la novena, afectará a la resultante de sumar tres al número anterior: duodécima, decimoquinta, decimoctava y así sucesivamente.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contratación deberá gestionarse a través del Servicio Navarro de Empleo.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cumplimiento de las presentes condiciones deberá ser justificado a requerimiento del Ayuntamiento.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Todas las condiciones especiales de ejecución del contrato serán exigidas a los subcontratistas que participen en su ejecución.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19.- JUSTIFICACIÓN DEL CUMPLIMIENTO DE COMPROMISOS Y CONDICIONES DE EJECUCIÓN.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19.1.- Cumplimiento de compromisos.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Los poderes adjudicadores podrán recabar de la empresa adjudicataria cuanta documentación y datos consideren convenientes para comprobar el cumplimiento de los compromisos formulados en su oferta. Podrán igualmente realizar actuaciones de inspección a los mismos efectos.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cumplimiento de los criterios sociales se justificará mediante la presentación del contrato suscrito con el/la trabajador/a, así como una declaración firmada por persona debidamente apoderada, en la que se declare que éste/a trabajadora está adscrita a la ejecución del contrato.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compromiso de impartición de, al menos, 8,00 horas de acciones de sensibilización y formación a la plantilla que ejecute el contrato sobre los derechos en materia de igualdad y conciliación, se justificará mediante declaración responsable de la empresa en tal sentido. Junto con dicha declaración se entregarán las hojas de asistencia firmadas y un informe, como máximo de 2 hojas, en el que conste: fechas, horario y lugar de la formación, y desarrollo de la misma.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19.2.- Cumplimiento de condiciones especiales de ejecución.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Cuando la empresa adjudicataria cuente con más de </w:t>
      </w:r>
      <w:r w:rsidR="0082378E">
        <w:rPr>
          <w:rFonts w:ascii="Palatino Linotype" w:eastAsia="Calibri" w:hAnsi="Palatino Linotype"/>
          <w:sz w:val="21"/>
          <w:szCs w:val="21"/>
        </w:rPr>
        <w:t>50</w:t>
      </w:r>
      <w:r w:rsidRPr="002225BC">
        <w:rPr>
          <w:rFonts w:ascii="Palatino Linotype" w:eastAsia="Calibri" w:hAnsi="Palatino Linotype"/>
          <w:sz w:val="21"/>
          <w:szCs w:val="21"/>
        </w:rPr>
        <w:t xml:space="preserve"> personas trabajadoras, en un plazo de 10 días hábiles tras la firma del contrato, deberá remitir a la unidad gestora documento certificativo del número de personas, hombres y mujeres, que compone la plantilla de la empresa, y deberá además remitir documentación acreditativa del diseño y aplicación efectiva del Plan de Igualdad previsto en la Ley Orgánica 3/2007, de 22 de marzo, para la igualdad efectiva de mujeres y hombres. Esta condición se extenderá también al resto de supuestos en los que la Ley Orgánica 3/2007 obliga.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empresa contratista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La contratación de trabajadores con dificultades de acceso al mercado laboral se justificará mediante la presentación de contratos laborales y documentos TC1 y TC2 de liquidación a la Seguridad Social durante los meses que dure la ejecución de las obras.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20.- FACTURACIÓN Y FORMA DE PAGO.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r>
      <w:r w:rsidRPr="00384EF9">
        <w:rPr>
          <w:rFonts w:ascii="Palatino Linotype" w:eastAsia="Calibri" w:hAnsi="Palatino Linotype"/>
          <w:sz w:val="21"/>
          <w:szCs w:val="21"/>
        </w:rPr>
        <w:t>La empresa adjudicataria presentará facturas tras la realización de los servicios encomendados,</w:t>
      </w:r>
      <w:r w:rsidR="005F4E2E" w:rsidRPr="00384EF9">
        <w:rPr>
          <w:rFonts w:ascii="Palatino Linotype" w:eastAsia="Calibri" w:hAnsi="Palatino Linotype"/>
          <w:sz w:val="21"/>
          <w:szCs w:val="21"/>
        </w:rPr>
        <w:t xml:space="preserve"> en función del calendario de revisión,</w:t>
      </w:r>
      <w:r w:rsidRPr="00384EF9">
        <w:rPr>
          <w:rFonts w:ascii="Palatino Linotype" w:eastAsia="Calibri" w:hAnsi="Palatino Linotype"/>
          <w:sz w:val="21"/>
          <w:szCs w:val="21"/>
        </w:rPr>
        <w:t xml:space="preserve"> y se abonará a los 30 días contados desde la fecha de presentación de la correspondiente factura</w:t>
      </w:r>
      <w:r w:rsidR="005F4E2E" w:rsidRPr="00384EF9">
        <w:rPr>
          <w:rFonts w:ascii="Palatino Linotype" w:eastAsia="Calibri" w:hAnsi="Palatino Linotype"/>
          <w:sz w:val="21"/>
          <w:szCs w:val="21"/>
        </w:rPr>
        <w:t>, que en el caso del Ayuntamiento de Altsasu/Alsasua habrá de ser</w:t>
      </w:r>
      <w:r w:rsidRPr="00384EF9">
        <w:rPr>
          <w:rFonts w:ascii="Palatino Linotype" w:eastAsia="Calibri" w:hAnsi="Palatino Linotype"/>
          <w:sz w:val="21"/>
          <w:szCs w:val="21"/>
        </w:rPr>
        <w:t xml:space="preserve"> en el registro electrónico de facturas del Ayuntamiento.</w:t>
      </w:r>
    </w:p>
    <w:p w:rsidR="005F4E2E" w:rsidRDefault="005F4E2E"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5F4E2E" w:rsidRPr="002225BC" w:rsidRDefault="005F4E2E" w:rsidP="002225BC">
      <w:pPr>
        <w:tabs>
          <w:tab w:val="left" w:pos="567"/>
          <w:tab w:val="left" w:pos="992"/>
          <w:tab w:val="left" w:pos="1417"/>
          <w:tab w:val="left" w:pos="1843"/>
        </w:tabs>
        <w:suppressAutoHyphens/>
        <w:jc w:val="both"/>
        <w:rPr>
          <w:rFonts w:ascii="Palatino Linotype" w:eastAsia="Calibri" w:hAnsi="Palatino Linotype"/>
          <w:sz w:val="21"/>
          <w:szCs w:val="21"/>
        </w:rPr>
      </w:pPr>
      <w:r>
        <w:rPr>
          <w:rFonts w:ascii="Palatino Linotype" w:eastAsia="Calibri" w:hAnsi="Palatino Linotype"/>
          <w:sz w:val="21"/>
          <w:szCs w:val="21"/>
        </w:rPr>
        <w:tab/>
        <w:t>La factura irá desglosada por edificios y servicios.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21.- REVISIÓN DE PRECIOS.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No cabrá revisión de precios en los términos previstos en el artículo 109 de la Ley Foral 2/2018.</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22.- RIESGO Y VENTURA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La ejecución del contrato se realizará a riesgo y ventura de la empresa adjudicataria y serán por cuenta de ésta las pérdidas o perjuicios que experimente durante la ejecución del mismo sin perjuicio de su aseguramiento por el interesado.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23.- SUBCONTRATACIÓN Y CESIÓN A TERCEROS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En materia de subcontratación se estará a lo dispuesto en el art. 107 de la Ley Foral 2/2018.</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Los derechos y obligaciones dimanantes del contrato solo podrán ser cedidos a un tercero, siempre que las cualidades técnicas o personales del cedente no hayan sido determinantes en la adjudicación, cuando concurra alguna de las circunstancias previstas en el artículo 108 de la Ley Foral 2/2018 y ello no implique otras modificaciones sustanciales del contrato o tenga por objeto eludir la aplicación de dicha Ley Foral.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La empresa cesionaria quedará subrogada en todos los derechos y obligaciones que corresponderían a la empresa cedente.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24.- PENALIDADES.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Si la empresa contratista no cumple con algunas de las condiciones y requisitos señalados en el presente Pliego o en la Ley Foral 2/2018, de 13 de abril, de Contratos Públicos, el Ayuntamiento, previa motivación, documentación del incumplimiento y una vez ofrecida audiencia del interesado durante un plazo mínimo de 5 días naturales, podrá imponer las penalizaciones que se señalan en los apartados siguientes, de acuerdo con las diferentes causas que los hayan motivado.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A efectos contractuales se considerará falta sancionable toda acción u omisión de la empresa contratista que suponga un quebranto de las exigencias especificadas en el Pliego o en la Ley Foral 2/2018, de 13 de abril, de Contratos Públicos.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Por lo que, a la hora de aplicar dichas penalizaciones, se tendrá en cuenta la calidad de las prestaciones ejecutadas y del servicio prestado en su globalidad,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Toda falta cometida por la empresa contratista, se clasificará atendiendo a su trascendencia, proporcionalidad e intencionalidad en: leve, grave o muy grave, de acuerdo con los siguientes criterios: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A.</w:t>
      </w:r>
      <w:r w:rsidRPr="002225BC">
        <w:rPr>
          <w:rFonts w:ascii="Palatino Linotype" w:eastAsia="Calibri" w:hAnsi="Palatino Linotype"/>
          <w:sz w:val="21"/>
          <w:szCs w:val="21"/>
        </w:rPr>
        <w:tab/>
        <w:t>Se considerará como Infracción leve: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retraso injustificado o suspensión igual o superior a siete (7) días e inferior a quince (15) días, en la prestación del servicio de revisión y mantenimiento de los extintores.</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Actuaciones que, a juicio de la unidad gestora, suponga mera negligencia, actuación incorrecta o descuido en la ejecución del servicio.</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incumplimiento de las obligaciones derivadas del presente contrato, en relación a la ejecución del servicio, teniendo en cuenta los compromisos adquiridos por la empresa adjudicataria en la oferta presentada.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Cada infracción leve, podrá ser sancionada con un importe de entre el 1% y el 3% del precio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B.</w:t>
      </w:r>
      <w:r w:rsidRPr="002225BC">
        <w:rPr>
          <w:rFonts w:ascii="Palatino Linotype" w:eastAsia="Calibri" w:hAnsi="Palatino Linotype"/>
          <w:sz w:val="21"/>
          <w:szCs w:val="21"/>
        </w:rPr>
        <w:tab/>
        <w:t>Se considerará como Infracción GRAVE: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incumplimiento de las instrucciones recibidas del Servicio Técnico del Ayuntamiento, debidamente descritas y notificadas al adjudicatario mediante escritos específicos.</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incumplimiento grave de las obligaciones derivadas del presente contrato, en relación a la ejecución del servicio, teniendo en cuenta los compromisos adquiridos por el contratista en la oferta presentada.</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La acumulación de tres faltas leves.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Cada infracción grave, podrá ser sancionada con un importe de entre el 3,01% y el 5% del precio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w:t>
      </w:r>
      <w:r w:rsidRPr="002225BC">
        <w:rPr>
          <w:rFonts w:ascii="Palatino Linotype" w:eastAsia="Calibri" w:hAnsi="Palatino Linotype"/>
          <w:sz w:val="21"/>
          <w:szCs w:val="21"/>
        </w:rPr>
        <w:tab/>
        <w:t>Infracción MUY GRAVE:</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retraso o suspensión en el servicio igual o superior a quince (15) días o el abandono del mismo.</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Incumplimiento por parte de la empresa adjudicataria de los criterios de adjudicación o el incumplimiento de alguno de los compromisos asumidos en su oferta.</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fraude económico al Ayuntamiento, mediante facturas no acordes con la realidad, o a través de cualquier medio, sin que sea necesaria la existencia de dolo.</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El incumplimiento de cualquier aspecto de la normativa sobre prevención de riesgos laborales o de cualquier obligación derivada de las Prescripciones Técnicas relativa a esta materia.</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La acumulación de tres infracciones graves.</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Cualquier conducta constitutiva de delito, especialmente, coacciones y robo en las instalaciones.</w:t>
      </w:r>
    </w:p>
    <w:p w:rsidR="002225BC" w:rsidRPr="002225BC" w:rsidRDefault="002225BC" w:rsidP="002225BC">
      <w:pPr>
        <w:tabs>
          <w:tab w:val="left" w:pos="567"/>
          <w:tab w:val="left" w:pos="992"/>
          <w:tab w:val="left" w:pos="1417"/>
          <w:tab w:val="left" w:pos="1843"/>
        </w:tabs>
        <w:suppressAutoHyphens/>
        <w:ind w:left="709"/>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La inobservancia de la obligación de secreto profesional.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Cada infracción muy grave, podrá ser sancionada con un importe de entre el 5,01% y el 10% del precio del contrato, o bien, siempre y cuando se acredite el incumplimiento culpable de la empresa adjudicataria, mediante la resolución del contrato.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Cuando las penalidades por incumplimiento excedan del 10% del importe de adjudicación procederá iniciar el procedimiento para declarar la prohibición de contratar.</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El límite máximo de la cuantía total de las penalidades que podrán imponerse no podrá exceder del 20% del importe de adjudicación.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No podrán alegarse como causas de fuerza mayor o causa justificada para el incumplimiento de sus obligaciones: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992"/>
        <w:jc w:val="both"/>
        <w:rPr>
          <w:rFonts w:ascii="Palatino Linotype" w:eastAsia="Calibri" w:hAnsi="Palatino Linotype"/>
          <w:sz w:val="21"/>
          <w:szCs w:val="21"/>
        </w:rPr>
      </w:pPr>
      <w:r w:rsidRPr="002225BC">
        <w:rPr>
          <w:rFonts w:ascii="Palatino Linotype" w:eastAsia="Calibri" w:hAnsi="Palatino Linotype"/>
          <w:sz w:val="21"/>
          <w:szCs w:val="21"/>
        </w:rPr>
        <w:t>a)</w:t>
      </w:r>
      <w:r w:rsidRPr="002225BC">
        <w:rPr>
          <w:rFonts w:ascii="Palatino Linotype" w:eastAsia="Calibri" w:hAnsi="Palatino Linotype"/>
          <w:sz w:val="21"/>
          <w:szCs w:val="21"/>
        </w:rPr>
        <w:tab/>
        <w:t>Paros laborales internos de la empresa adjudicataria.</w:t>
      </w:r>
    </w:p>
    <w:p w:rsidR="002225BC" w:rsidRPr="002225BC" w:rsidRDefault="002225BC" w:rsidP="002225BC">
      <w:pPr>
        <w:tabs>
          <w:tab w:val="left" w:pos="567"/>
          <w:tab w:val="left" w:pos="992"/>
          <w:tab w:val="left" w:pos="1417"/>
          <w:tab w:val="left" w:pos="1843"/>
        </w:tabs>
        <w:suppressAutoHyphens/>
        <w:ind w:left="992"/>
        <w:jc w:val="both"/>
        <w:rPr>
          <w:rFonts w:ascii="Palatino Linotype" w:eastAsia="Calibri" w:hAnsi="Palatino Linotype"/>
          <w:sz w:val="21"/>
          <w:szCs w:val="21"/>
        </w:rPr>
      </w:pPr>
      <w:r w:rsidRPr="002225BC">
        <w:rPr>
          <w:rFonts w:ascii="Palatino Linotype" w:eastAsia="Calibri" w:hAnsi="Palatino Linotype"/>
          <w:sz w:val="21"/>
          <w:szCs w:val="21"/>
        </w:rPr>
        <w:t>b)</w:t>
      </w:r>
      <w:r w:rsidRPr="002225BC">
        <w:rPr>
          <w:rFonts w:ascii="Palatino Linotype" w:eastAsia="Calibri" w:hAnsi="Palatino Linotype"/>
          <w:sz w:val="21"/>
          <w:szCs w:val="21"/>
        </w:rPr>
        <w:tab/>
        <w:t>Vacaciones o bajas laborales de su personal o de terceros.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Las faltas serán comunicadas por escrito en las reuniones de seguimiento que se realicen entre el coordinador del contrato y personas responsables del mismo en el Ayuntamiento.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3"/>
          <w:tab w:val="left" w:pos="1418"/>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25.- MODIFICACIONES DE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sz w:val="21"/>
          <w:szCs w:val="21"/>
        </w:rPr>
        <w:tab/>
        <w:t>El presente contrato solo podrá modificarse por motivos de interés público, sin afectar a su contenido sustancial, introduciendo las variaciones indispensables para responder a la causa objetiva que las haga necesaria, conforme a lo establecido en el artículo 114 de la Ley Foral 2/2018, de 13 de abril, de Contratos Públicos. En todo caso, el importe acumulado de todas las modificaciones no podrá exceder en ningún caso del 50% del importe de adjudicación del contrato. Las modificaciones requerirán la instrucción del procedimiento previsto por el artículo 143 de la Ley Foral de Contratos Públicos.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b/>
          <w:sz w:val="21"/>
          <w:szCs w:val="21"/>
        </w:rPr>
      </w:pPr>
      <w:r w:rsidRPr="002225BC">
        <w:rPr>
          <w:rFonts w:ascii="Palatino Linotype" w:eastAsia="Calibri" w:hAnsi="Palatino Linotype"/>
          <w:b/>
          <w:sz w:val="21"/>
          <w:szCs w:val="21"/>
        </w:rPr>
        <w:t xml:space="preserve"> </w:t>
      </w: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26.- RESOLUCIÓN DEL CONTRATO.</w:t>
      </w: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sz w:val="21"/>
          <w:szCs w:val="21"/>
          <w:lang w:val="es-ES_tradnl" w:eastAsia="es-ES"/>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Times New Roman" w:hAnsi="Palatino Linotype"/>
          <w:sz w:val="21"/>
          <w:szCs w:val="21"/>
          <w:lang w:val="es-ES_tradnl" w:eastAsia="es-ES"/>
        </w:rPr>
        <w:tab/>
      </w:r>
      <w:r w:rsidRPr="002225BC">
        <w:rPr>
          <w:rFonts w:ascii="Palatino Linotype" w:eastAsia="Calibri" w:hAnsi="Palatino Linotype"/>
          <w:sz w:val="21"/>
          <w:szCs w:val="21"/>
        </w:rPr>
        <w:t>Las causas de resolución de los contratos serán las generales señaladas en el artículo 160 de la Ley Foral de Contratos Públicos, además de las específicas establecidas en el artículo 224 de dicha Ley. La resolución del contrato llevará aparejada la pérdida de fianza para la persona adjudicataria, sin perjuicio de los daños y perjuicios a que hubiere lugar.</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b/>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 xml:space="preserve">27.- RÉGIMEN JURÍDICO Y PRERROGATIVAS.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b/>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adjudicatario/a y el documento de formalización del contrato.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sz w:val="21"/>
          <w:szCs w:val="21"/>
          <w:lang w:val="es-ES_tradnl" w:eastAsia="es-ES"/>
        </w:rPr>
      </w:pPr>
      <w:r w:rsidRPr="002225BC">
        <w:rPr>
          <w:rFonts w:ascii="Palatino Linotype" w:eastAsia="Calibri" w:hAnsi="Palatino Linotype"/>
          <w:sz w:val="21"/>
          <w:szCs w:val="21"/>
        </w:rPr>
        <w:tab/>
        <w:t>El desconocimiento de las cláusulas del contrato en cualquiera de sus términos, del resto de documentos contractuales y de las instrucciones o de la normativa que resulten de aplicación en la ejecución, no exime a la empresa adjudicataria de la obligación de cumplirlas.</w:t>
      </w: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sz w:val="21"/>
          <w:szCs w:val="21"/>
          <w:lang w:val="es-ES_tradnl" w:eastAsia="es-ES"/>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 xml:space="preserve">28.- RECURSOS Y RECLAMACIONES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presente contrato es de naturaleza administrativa, por lo que cuantas incidencias se deriven del cumplimiento de las obligaciones y de la interpretación de estas disposiciones, serán resueltas en primer término por el órgano de contratación. Contra este pliego y las resoluciones que se dicten en ejecución del mismo podrán interponerse potestativamente, los siguientes recursos: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 Recurso de reposición ante el órgano del Ayuntamiento de Altsasu/Alsasua autor del acto administrativo, en el plazo de un mes a partir del día siguiente de la notificación o, en su caso, publicación del acto que se recurra.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 Reclamación en materia de contratación pública ante el Tribunal de Contratos Públicos conforme a lo dispuesto en los artículos 121 y siguientes de la ley Foral de Contratos Públicos, para lo que es requisito imprescindible que las entidades licitadoras faciliten un correo electrónico para la realización de notificaciones a través de medios telemáticos.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 Recurso de Alzada ante el Tribunal Administrativos, en el plazo de un mes siguiente a la notificación o publicación del acto que se recurra.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sz w:val="21"/>
          <w:szCs w:val="21"/>
          <w:lang w:val="es-ES_tradnl" w:eastAsia="es-ES"/>
        </w:rPr>
      </w:pPr>
      <w:r w:rsidRPr="002225BC">
        <w:rPr>
          <w:rFonts w:ascii="Palatino Linotype" w:eastAsia="Calibri" w:hAnsi="Palatino Linotype"/>
          <w:sz w:val="21"/>
          <w:szCs w:val="21"/>
        </w:rPr>
        <w:tab/>
        <w:t>- Recurso contencioso-administrativo ante el Juzgado de lo Contencioso-Administrativo de Pamplona en el plazo de dos meses, a partir del día siguiente a la notificación o publicación del acto que se recurra</w:t>
      </w: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sz w:val="21"/>
          <w:szCs w:val="21"/>
          <w:lang w:val="es-ES_tradnl" w:eastAsia="es-ES"/>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 xml:space="preserve">29.- PROTECCIÓN DE DATOS.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De acuerdo con lo dispuesto en la normativa de protección de datos se informa a quienes liciten que el Ayuntamiento es el responsable del tratamiento de sus datos que serán tratados con la finalidad de gestionar la participación en la licitación y en el caso de resultar adjudicatario/a se emplearán para el control y ejecución de la relación jurídica que surja entre las partes. Igualmente, se le informa que tanto los datos de quienes licitan como de quienes les sea adjudicado el contrato son objeto de publicación a través de los medios que el Ayuntamiento considere oportunos.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Ayuntamiento se encuentra legitimado para el tratamiento de los datos de quienes liciten por el consentimiento prestado por estos mediante la presentación de la oferta, para el tratamiento de los datos de la empresa adjudicataria/a se encuentra legitimado en virtud de la ejecución del contrato que regirá la prestación de los servicios objeto de la presente licitación y la publicación de los datos se encuentra autorizada por la Ley 2/2018, de Contratos Públicos de Navarra.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Los datos se conservarán el tiempo necesario para el cumplimiento de la finalidad señalada y se almacenarán mientras el Ayuntamiento pueda tener responsabilidades derivadas de su tratamiento. Igualmente deben cumplirse las normas de conservación establecidas en la Ley Foral 12/2007, de 4 de abril, de archivos y documentos.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Quienes licitan tienen derecho a acceder, rectificar y suprimir los datos, así como en determinadas circunstancias solicitar la limitación u oposición del tratamiento de sus datos dirigiéndose a dpd@alsasua.net, dpd@altsasu.net. De las misma forma, le informamos de que pueden presentar una reclamación ante la Agencia Española de Protección de Datos mediante escrito dirigiéndose a C/ Jorge Juan, 6, 28001 (Madrid) o a través de su sede electrónica en </w:t>
      </w:r>
      <w:hyperlink r:id="rId9" w:history="1">
        <w:r w:rsidRPr="002225BC">
          <w:rPr>
            <w:rFonts w:ascii="Palatino Linotype" w:eastAsia="Calibri" w:hAnsi="Palatino Linotype"/>
            <w:color w:val="0000FF"/>
            <w:sz w:val="21"/>
            <w:szCs w:val="21"/>
            <w:u w:val="single"/>
          </w:rPr>
          <w:t>www.agpd.es</w:t>
        </w:r>
      </w:hyperlink>
      <w:r w:rsidRPr="002225BC">
        <w:rPr>
          <w:rFonts w:ascii="Palatino Linotype" w:eastAsia="Calibri" w:hAnsi="Palatino Linotype"/>
          <w:sz w:val="21"/>
          <w:szCs w:val="21"/>
        </w:rPr>
        <w:t>.</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b/>
          <w:sz w:val="21"/>
          <w:szCs w:val="21"/>
        </w:rPr>
      </w:pPr>
    </w:p>
    <w:p w:rsidR="002225BC" w:rsidRPr="002225BC" w:rsidRDefault="002225BC" w:rsidP="002225BC">
      <w:pPr>
        <w:pBdr>
          <w:bottom w:val="single" w:sz="4" w:space="1" w:color="auto"/>
        </w:pBdr>
        <w:tabs>
          <w:tab w:val="left" w:pos="567"/>
          <w:tab w:val="left" w:pos="992"/>
          <w:tab w:val="left" w:pos="1417"/>
          <w:tab w:val="left" w:pos="1843"/>
        </w:tabs>
        <w:suppressAutoHyphens/>
        <w:jc w:val="both"/>
        <w:rPr>
          <w:rFonts w:ascii="Palatino Linotype" w:eastAsia="Calibri" w:hAnsi="Palatino Linotype"/>
          <w:b/>
          <w:sz w:val="21"/>
          <w:szCs w:val="21"/>
        </w:rPr>
      </w:pPr>
      <w:r w:rsidRPr="002225BC">
        <w:rPr>
          <w:rFonts w:ascii="Palatino Linotype" w:eastAsia="Calibri" w:hAnsi="Palatino Linotype"/>
          <w:b/>
          <w:sz w:val="21"/>
          <w:szCs w:val="21"/>
        </w:rPr>
        <w:t xml:space="preserve">30.- CONFIDENCIALIDAD.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La empresa adjudicataria se comprometerá a mantener en secreto todos los datos e informaciones facilitados por el Ayuntamiento y que sean concernientes a la prestación del Servicio aquí regulado. </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En particular, será considerado como información confidencial todo el conocimiento o saber hacer resultante de la ejecución de los servicios contratados (los Servicios), debiendo la empresa adjudicataria mantener dicha información en reserva y secreto y no revelarla de ninguna forma, en todo o en parte, a ninguna persona física o jurídica que no sea parte del contrato.</w:t>
      </w:r>
    </w:p>
    <w:p w:rsidR="002225BC" w:rsidRPr="002225BC" w:rsidRDefault="002225BC" w:rsidP="002225BC">
      <w:pPr>
        <w:tabs>
          <w:tab w:val="left" w:pos="567"/>
          <w:tab w:val="left" w:pos="992"/>
          <w:tab w:val="left" w:pos="1417"/>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jc w:val="both"/>
        <w:rPr>
          <w:rFonts w:ascii="Palatino Linotype" w:eastAsia="Times New Roman" w:hAnsi="Palatino Linotype"/>
          <w:b/>
          <w:sz w:val="21"/>
          <w:szCs w:val="21"/>
          <w:lang w:val="es-ES_tradnl" w:eastAsia="es-ES"/>
        </w:rPr>
      </w:pPr>
    </w:p>
    <w:p w:rsidR="002225BC" w:rsidRPr="002225BC" w:rsidRDefault="002225BC" w:rsidP="002225BC">
      <w:pPr>
        <w:spacing w:after="200" w:line="276" w:lineRule="auto"/>
        <w:rPr>
          <w:rFonts w:ascii="Palatino Linotype" w:eastAsia="Calibri" w:hAnsi="Palatino Linotype"/>
          <w:sz w:val="21"/>
          <w:szCs w:val="21"/>
        </w:rPr>
      </w:pPr>
      <w:r w:rsidRPr="002225BC">
        <w:rPr>
          <w:rFonts w:ascii="Palatino Linotype" w:eastAsia="Calibri" w:hAnsi="Palatino Linotype"/>
          <w:sz w:val="21"/>
          <w:szCs w:val="21"/>
        </w:rPr>
        <w:br w:type="page"/>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ANEXO I</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MODELO DE IDENTIFICACIÓN DE LA ENTIDAD LICITADORA O LICITADORAS Y DIRECCIÓN DE CORREO ELECTRÓNICO A EFECTOS DE NOTIFICACIONES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Times New Roman" w:hAnsi="Palatino Linotype" w:cs="Arial"/>
          <w:b/>
          <w:bCs/>
          <w:i/>
          <w:sz w:val="21"/>
          <w:szCs w:val="21"/>
          <w:lang w:val="es-ES_tradnl" w:eastAsia="es-ES"/>
        </w:rPr>
      </w:pPr>
      <w:r w:rsidRPr="002225BC">
        <w:rPr>
          <w:rFonts w:ascii="Palatino Linotype" w:eastAsia="Calibri" w:hAnsi="Palatino Linotype"/>
          <w:b/>
          <w:i/>
          <w:sz w:val="21"/>
          <w:szCs w:val="21"/>
        </w:rPr>
        <w:t xml:space="preserve">SERVICIO </w:t>
      </w:r>
      <w:r w:rsidRPr="002225BC">
        <w:rPr>
          <w:rFonts w:ascii="Palatino Linotype" w:eastAsia="Times New Roman" w:hAnsi="Palatino Linotype" w:cs="Arial"/>
          <w:b/>
          <w:bCs/>
          <w:i/>
          <w:sz w:val="21"/>
          <w:szCs w:val="21"/>
          <w:lang w:val="es-ES_tradnl" w:eastAsia="es-ES"/>
        </w:rPr>
        <w:t>DE REVISIÓN Y MANTENIMIENTO DE LOS EQUIPOS DE PROTECCIÓN CONTRA INCENDIOS DE LAS DEPENDENCIAS MUNICIPALES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Don/Doña ........................................................................................................................................... DNI/NIF ...................................................................................... con domicilio a efectos de notificación en ......................................... C.P .................., localidad .................................................., teléfonos ......................................., fax …….………., en nombre propio o en representación de (táchese lo que no proceda) la sociedad ................................................................................................. CIF...................................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EXPONE: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Que la dirección de correo electrónico a efectos de notificaciones a través de medios telemáticos, en el caso de reclamaciones en materia de contratación pública es la siguiente: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Que conociendo el Pliego que rige la contratación, se compromete a su realización con estricta sujeción al mismo, a la oferta presentada, adjuntando a tal efecto los siguientes sobres: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SOBRE Nº 1: ”Documentación administrativa”.</w:t>
      </w:r>
    </w:p>
    <w:p w:rsidR="002225BC" w:rsidRPr="002225BC" w:rsidRDefault="002225BC" w:rsidP="002225BC">
      <w:pPr>
        <w:tabs>
          <w:tab w:val="left" w:pos="567"/>
          <w:tab w:val="left" w:pos="993"/>
          <w:tab w:val="left" w:pos="1418"/>
          <w:tab w:val="left" w:pos="1843"/>
        </w:tabs>
        <w:ind w:left="567"/>
        <w:jc w:val="both"/>
        <w:rPr>
          <w:rFonts w:ascii="Palatino Linotype" w:eastAsia="Calibri" w:hAnsi="Palatino Linotype"/>
          <w:sz w:val="21"/>
          <w:szCs w:val="21"/>
        </w:rPr>
      </w:pPr>
      <w:r w:rsidRPr="002225BC">
        <w:rPr>
          <w:rFonts w:ascii="Palatino Linotype" w:eastAsia="Calibri" w:hAnsi="Palatino Linotype"/>
          <w:sz w:val="21"/>
          <w:szCs w:val="21"/>
        </w:rPr>
        <w:t>-</w:t>
      </w:r>
      <w:r w:rsidRPr="002225BC">
        <w:rPr>
          <w:rFonts w:ascii="Palatino Linotype" w:eastAsia="Calibri" w:hAnsi="Palatino Linotype"/>
          <w:sz w:val="21"/>
          <w:szCs w:val="21"/>
        </w:rPr>
        <w:tab/>
        <w:t>SOBRE Nº 2: “Documentación relativa a criterios cuantificables mediante fórmulas”.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sz w:val="21"/>
          <w:szCs w:val="21"/>
        </w:rPr>
      </w:pPr>
      <w:r w:rsidRPr="002225BC">
        <w:rPr>
          <w:rFonts w:ascii="Palatino Linotype" w:eastAsia="Calibri" w:hAnsi="Palatino Linotype"/>
          <w:sz w:val="21"/>
          <w:szCs w:val="21"/>
        </w:rPr>
        <w:t>Lugar, fecha y firma.</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spacing w:after="200" w:line="276" w:lineRule="auto"/>
        <w:rPr>
          <w:rFonts w:ascii="Palatino Linotype" w:eastAsia="Calibri" w:hAnsi="Palatino Linotype"/>
          <w:sz w:val="21"/>
          <w:szCs w:val="21"/>
        </w:rPr>
      </w:pPr>
      <w:r w:rsidRPr="002225BC">
        <w:rPr>
          <w:rFonts w:ascii="Palatino Linotype" w:eastAsia="Calibri" w:hAnsi="Palatino Linotype"/>
          <w:sz w:val="21"/>
          <w:szCs w:val="21"/>
        </w:rPr>
        <w:br w:type="page"/>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ANEXO II</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MODELO DE DECLARACIÓN RESPONSABLE DEL CUMPLIMIENTO DE LAS CONDICIONES EXIGIDAS PARA CONTRATAR</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Times New Roman" w:hAnsi="Palatino Linotype" w:cs="Arial"/>
          <w:b/>
          <w:bCs/>
          <w:i/>
          <w:sz w:val="21"/>
          <w:szCs w:val="21"/>
          <w:lang w:val="es-ES_tradnl" w:eastAsia="es-ES"/>
        </w:rPr>
      </w:pPr>
      <w:r w:rsidRPr="002225BC">
        <w:rPr>
          <w:rFonts w:ascii="Palatino Linotype" w:eastAsia="Calibri" w:hAnsi="Palatino Linotype"/>
          <w:b/>
          <w:i/>
          <w:sz w:val="21"/>
          <w:szCs w:val="21"/>
        </w:rPr>
        <w:t xml:space="preserve">SERVICIO </w:t>
      </w:r>
      <w:r w:rsidRPr="002225BC">
        <w:rPr>
          <w:rFonts w:ascii="Palatino Linotype" w:eastAsia="Times New Roman" w:hAnsi="Palatino Linotype" w:cs="Arial"/>
          <w:b/>
          <w:bCs/>
          <w:i/>
          <w:sz w:val="21"/>
          <w:szCs w:val="21"/>
          <w:lang w:val="es-ES_tradnl" w:eastAsia="es-ES"/>
        </w:rPr>
        <w:t>DE REVISIÓN Y MANTENIMIENTO DE LOS EQUIPOS DE PROTECCIÓN CONTRA INCENDIOS DE LAS DEPENDENCIAS MUNICIPALES</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Don/Doña ........................................................................................................................................... DNI/NIF ...................................................................................... con domicilio a efectos de notificación en ......................................... C.P .................., localidad .................................................., teléfonos ......................................., fax …….………., en nombre propio o en representación de (táchese lo que no proceda) la sociedad ................................................................................................. CIF...................................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Declara bajo su responsabilidad:</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reúne/que la entidad por mi representada reúne (indíquese según proceda) las condiciones para contratar y no estar incursa en ninguna de las prohibiciones para contratar enumeradas en los artículos 22 a 26 de la Ley Foral 2/2018, de 13 de abril, de Contratos Públicos.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 Que se compromete, en caso de obtener la adjudicación, a acreditar la posesión y validez de los documentos exigidos en el presente pliego en el plazo máximo de siete días desde la notificación de la misma.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se compromete a presentar los documentos exigidos antes de la firma del contrato, conforme lo estipulado en el Pliego de Cláusulas Administrativas Particulares que rige la contratación.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su finalidad o actividad tiene relación directa con el objeto del contrato y dispone de elementos personales y materiales suficientes para la debida ejecución del contrato.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se halla al corriente del cumplimiento de las obligaciones tributarias, de la Seguridad Social y de Seguridad y salud en el trabajo y prevención de riesgos laborales, así como de Igualdad entre mujeres y hombres impuestas por las disposiciones legales vigentes.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reúne la solvencia económica y financiera, técnica y profesional exigida en el presente pliego.</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Que declara como documentación confidencial la siguiente: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sz w:val="21"/>
          <w:szCs w:val="21"/>
        </w:rPr>
      </w:pPr>
      <w:r w:rsidRPr="002225BC">
        <w:rPr>
          <w:rFonts w:ascii="Palatino Linotype" w:eastAsia="Calibri" w:hAnsi="Palatino Linotype"/>
          <w:sz w:val="21"/>
          <w:szCs w:val="21"/>
        </w:rPr>
        <w:t>Lugar, fecha y firma.</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ANEXO III</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b/>
          <w:sz w:val="21"/>
          <w:szCs w:val="21"/>
        </w:rPr>
      </w:pPr>
      <w:r w:rsidRPr="002225BC">
        <w:rPr>
          <w:rFonts w:ascii="Palatino Linotype" w:eastAsia="Calibri" w:hAnsi="Palatino Linotype"/>
          <w:b/>
          <w:sz w:val="21"/>
          <w:szCs w:val="21"/>
        </w:rPr>
        <w:t>MODELO DE OFERTA CUANTIFICABLE MEDIANTE FÓRMULAS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Times New Roman" w:hAnsi="Palatino Linotype" w:cs="Arial"/>
          <w:b/>
          <w:bCs/>
          <w:i/>
          <w:sz w:val="21"/>
          <w:szCs w:val="21"/>
          <w:lang w:val="es-ES_tradnl" w:eastAsia="es-ES"/>
        </w:rPr>
      </w:pPr>
      <w:r w:rsidRPr="002225BC">
        <w:rPr>
          <w:rFonts w:ascii="Palatino Linotype" w:eastAsia="Calibri" w:hAnsi="Palatino Linotype"/>
          <w:b/>
          <w:i/>
          <w:sz w:val="21"/>
          <w:szCs w:val="21"/>
        </w:rPr>
        <w:t xml:space="preserve">SERVICIO </w:t>
      </w:r>
      <w:r w:rsidRPr="002225BC">
        <w:rPr>
          <w:rFonts w:ascii="Palatino Linotype" w:eastAsia="Times New Roman" w:hAnsi="Palatino Linotype" w:cs="Arial"/>
          <w:b/>
          <w:bCs/>
          <w:i/>
          <w:sz w:val="21"/>
          <w:szCs w:val="21"/>
          <w:lang w:val="es-ES_tradnl" w:eastAsia="es-ES"/>
        </w:rPr>
        <w:t>DE REVISIÓN Y MANTENIMIENTO DE LOS EQUIPOS DE PROTECCIÓN CONTRA INCENDIOS DE LAS DEPENDENCIAS MUNICIPALES</w:t>
      </w:r>
    </w:p>
    <w:p w:rsidR="002225BC" w:rsidRPr="002225BC" w:rsidRDefault="002225BC" w:rsidP="002225BC">
      <w:pPr>
        <w:tabs>
          <w:tab w:val="left" w:pos="567"/>
          <w:tab w:val="left" w:pos="993"/>
          <w:tab w:val="left" w:pos="1418"/>
          <w:tab w:val="left" w:pos="1843"/>
        </w:tabs>
        <w:jc w:val="center"/>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 xml:space="preserve">Don/Doña ........................................................................................................................................ DNI/NIF ...................................................................................... con domicilio a efectos de notificación en ......................................... C.P .................., localidad .................................................., teléfonos ......................................., fax …….………., en nombre propio o en representación de (táchese lo que no proceda) la sociedad ................................................................................................. CIF...................................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 xml:space="preserve">Se compromete a ejecutar </w:t>
      </w:r>
      <w:r w:rsidR="0032686C">
        <w:rPr>
          <w:rFonts w:ascii="Palatino Linotype" w:eastAsia="Calibri" w:hAnsi="Palatino Linotype"/>
          <w:sz w:val="21"/>
          <w:szCs w:val="21"/>
        </w:rPr>
        <w:t>los servicios indicados</w:t>
      </w:r>
      <w:r w:rsidRPr="002225BC">
        <w:rPr>
          <w:rFonts w:ascii="Palatino Linotype" w:eastAsia="Calibri" w:hAnsi="Palatino Linotype"/>
          <w:sz w:val="21"/>
          <w:szCs w:val="21"/>
        </w:rPr>
        <w:t xml:space="preserve"> de acuerdo con la oferta que se hacen a continuación:</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ind w:left="567" w:hanging="283"/>
        <w:jc w:val="both"/>
        <w:rPr>
          <w:rFonts w:ascii="Palatino Linotype" w:eastAsia="Calibri" w:hAnsi="Palatino Linotype"/>
          <w:sz w:val="21"/>
          <w:szCs w:val="21"/>
        </w:rPr>
      </w:pPr>
      <w:r w:rsidRPr="002225BC">
        <w:rPr>
          <w:rFonts w:ascii="Palatino Linotype" w:eastAsia="Calibri" w:hAnsi="Palatino Linotype"/>
          <w:sz w:val="21"/>
          <w:szCs w:val="21"/>
        </w:rPr>
        <w:sym w:font="Webdings" w:char="F063"/>
      </w:r>
      <w:r w:rsidRPr="002225BC">
        <w:rPr>
          <w:rFonts w:ascii="Palatino Linotype" w:eastAsia="Calibri" w:hAnsi="Palatino Linotype"/>
          <w:sz w:val="21"/>
          <w:szCs w:val="21"/>
        </w:rPr>
        <w:t xml:space="preserve"> </w:t>
      </w:r>
      <w:r w:rsidRPr="002225BC">
        <w:rPr>
          <w:rFonts w:ascii="Palatino Linotype" w:eastAsia="Calibri" w:hAnsi="Palatino Linotype"/>
          <w:sz w:val="21"/>
          <w:szCs w:val="21"/>
        </w:rPr>
        <w:tab/>
        <w:t>Se compromete a realizar/acredita haber realizado en los dos últimos años … horas de formación en materia de igualdad.</w:t>
      </w:r>
    </w:p>
    <w:p w:rsidR="002225BC" w:rsidRPr="002225BC" w:rsidRDefault="002225BC" w:rsidP="002225BC">
      <w:pPr>
        <w:tabs>
          <w:tab w:val="left" w:pos="6270"/>
        </w:tabs>
        <w:ind w:left="567" w:hanging="283"/>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r>
    </w:p>
    <w:p w:rsidR="002225BC" w:rsidRPr="002225BC" w:rsidRDefault="002225BC" w:rsidP="002225BC">
      <w:pPr>
        <w:tabs>
          <w:tab w:val="left" w:pos="567"/>
          <w:tab w:val="left" w:pos="993"/>
          <w:tab w:val="left" w:pos="1418"/>
          <w:tab w:val="left" w:pos="1843"/>
        </w:tabs>
        <w:ind w:left="567" w:hanging="283"/>
        <w:jc w:val="both"/>
        <w:rPr>
          <w:rFonts w:ascii="Palatino Linotype" w:eastAsia="Calibri" w:hAnsi="Palatino Linotype"/>
          <w:sz w:val="21"/>
          <w:szCs w:val="21"/>
        </w:rPr>
      </w:pPr>
      <w:r w:rsidRPr="002225BC">
        <w:rPr>
          <w:rFonts w:ascii="Palatino Linotype" w:eastAsia="Calibri" w:hAnsi="Palatino Linotype"/>
          <w:sz w:val="21"/>
          <w:szCs w:val="21"/>
        </w:rPr>
        <w:sym w:font="Webdings" w:char="F063"/>
      </w:r>
      <w:r w:rsidRPr="002225BC">
        <w:rPr>
          <w:rFonts w:ascii="Palatino Linotype" w:eastAsia="Calibri" w:hAnsi="Palatino Linotype"/>
          <w:sz w:val="21"/>
          <w:szCs w:val="21"/>
        </w:rPr>
        <w:t xml:space="preserve"> </w:t>
      </w:r>
      <w:r w:rsidRPr="002225BC">
        <w:rPr>
          <w:rFonts w:ascii="Palatino Linotype" w:eastAsia="Calibri" w:hAnsi="Palatino Linotype"/>
          <w:sz w:val="21"/>
          <w:szCs w:val="21"/>
        </w:rPr>
        <w:tab/>
        <w:t>Incorporará a la plantilla adscrita a la ejecución del presente contrato un trabajador/a menor de 30 años.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numPr>
          <w:ilvl w:val="0"/>
          <w:numId w:val="15"/>
        </w:numPr>
        <w:tabs>
          <w:tab w:val="left" w:pos="567"/>
          <w:tab w:val="left" w:pos="993"/>
          <w:tab w:val="left" w:pos="1418"/>
          <w:tab w:val="left" w:pos="1843"/>
        </w:tabs>
        <w:contextualSpacing/>
        <w:jc w:val="both"/>
        <w:rPr>
          <w:rFonts w:ascii="Palatino Linotype" w:eastAsia="Calibri" w:hAnsi="Palatino Linotype"/>
          <w:sz w:val="21"/>
          <w:szCs w:val="21"/>
        </w:rPr>
      </w:pPr>
      <w:r w:rsidRPr="002225BC">
        <w:rPr>
          <w:rFonts w:ascii="Palatino Linotype" w:eastAsia="Calibri" w:hAnsi="Palatino Linotype"/>
          <w:sz w:val="21"/>
          <w:szCs w:val="21"/>
        </w:rPr>
        <w:t>OFERTA ECONÓMICA (en hoja aparte)</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r w:rsidRPr="002225BC">
        <w:rPr>
          <w:rFonts w:ascii="Palatino Linotype" w:eastAsia="Calibri" w:hAnsi="Palatino Linotype"/>
          <w:sz w:val="21"/>
          <w:szCs w:val="21"/>
        </w:rPr>
        <w:tab/>
        <w:t>El número de prestaciones estimadas de retimbrado/recarga y reposición de extintores sirve únicamente a efectos orientativos para la estimación del valor del contrato, sin presuponer ningún compromiso para los poderes adjudicadores.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sz w:val="21"/>
          <w:szCs w:val="21"/>
        </w:rPr>
      </w:pPr>
    </w:p>
    <w:p w:rsidR="002225BC" w:rsidRPr="002225BC" w:rsidRDefault="002225BC" w:rsidP="002225BC">
      <w:pPr>
        <w:tabs>
          <w:tab w:val="left" w:pos="567"/>
          <w:tab w:val="left" w:pos="993"/>
          <w:tab w:val="left" w:pos="1418"/>
          <w:tab w:val="left" w:pos="1843"/>
        </w:tabs>
        <w:jc w:val="center"/>
        <w:rPr>
          <w:rFonts w:ascii="Palatino Linotype" w:eastAsia="Calibri" w:hAnsi="Palatino Linotype"/>
          <w:sz w:val="21"/>
          <w:szCs w:val="21"/>
        </w:rPr>
      </w:pPr>
      <w:r w:rsidRPr="002225BC">
        <w:rPr>
          <w:rFonts w:ascii="Palatino Linotype" w:eastAsia="Calibri" w:hAnsi="Palatino Linotype"/>
          <w:sz w:val="21"/>
          <w:szCs w:val="21"/>
        </w:rPr>
        <w:t>Lugar, fecha y firma.</w:t>
      </w:r>
    </w:p>
    <w:p w:rsidR="002225BC" w:rsidRPr="002225BC" w:rsidRDefault="002225BC" w:rsidP="002225BC">
      <w:pPr>
        <w:spacing w:after="200" w:line="276" w:lineRule="auto"/>
        <w:rPr>
          <w:rFonts w:ascii="Palatino Linotype" w:eastAsia="Calibri" w:hAnsi="Palatino Linotype"/>
          <w:sz w:val="21"/>
          <w:szCs w:val="21"/>
        </w:rPr>
      </w:pPr>
      <w:r w:rsidRPr="002225BC">
        <w:rPr>
          <w:rFonts w:ascii="Palatino Linotype" w:eastAsia="Calibri" w:hAnsi="Palatino Linotype"/>
          <w:sz w:val="21"/>
          <w:szCs w:val="21"/>
        </w:rPr>
        <w:br w:type="page"/>
      </w:r>
    </w:p>
    <w:p w:rsidR="002225BC" w:rsidRPr="002225BC" w:rsidRDefault="002225BC" w:rsidP="002225BC">
      <w:pPr>
        <w:spacing w:after="200" w:line="276" w:lineRule="auto"/>
        <w:jc w:val="center"/>
        <w:rPr>
          <w:rFonts w:ascii="Palatino Linotype" w:eastAsia="Calibri" w:hAnsi="Palatino Linotype"/>
          <w:b/>
          <w:sz w:val="21"/>
          <w:szCs w:val="21"/>
        </w:rPr>
      </w:pPr>
      <w:r w:rsidRPr="002225BC">
        <w:rPr>
          <w:rFonts w:ascii="Palatino Linotype" w:eastAsia="Calibri" w:hAnsi="Palatino Linotype"/>
          <w:b/>
          <w:sz w:val="21"/>
          <w:szCs w:val="21"/>
        </w:rPr>
        <w:t>OFERTA LOTE 1</w:t>
      </w:r>
    </w:p>
    <w:tbl>
      <w:tblPr>
        <w:tblW w:w="9371" w:type="dxa"/>
        <w:jc w:val="center"/>
        <w:tblInd w:w="55" w:type="dxa"/>
        <w:tblCellMar>
          <w:left w:w="70" w:type="dxa"/>
          <w:right w:w="70" w:type="dxa"/>
        </w:tblCellMar>
        <w:tblLook w:val="04A0" w:firstRow="1" w:lastRow="0" w:firstColumn="1" w:lastColumn="0" w:noHBand="0" w:noVBand="1"/>
      </w:tblPr>
      <w:tblGrid>
        <w:gridCol w:w="729"/>
        <w:gridCol w:w="722"/>
        <w:gridCol w:w="1541"/>
        <w:gridCol w:w="1276"/>
        <w:gridCol w:w="1577"/>
        <w:gridCol w:w="1887"/>
        <w:gridCol w:w="1701"/>
      </w:tblGrid>
      <w:tr w:rsidR="002225BC" w:rsidRPr="002225BC" w:rsidTr="005F4E2E">
        <w:trPr>
          <w:trHeight w:val="323"/>
          <w:jc w:val="center"/>
        </w:trPr>
        <w:tc>
          <w:tcPr>
            <w:tcW w:w="9371" w:type="dxa"/>
            <w:gridSpan w:val="7"/>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bookmarkStart w:id="1" w:name="RANGE!E3:K23"/>
            <w:r w:rsidRPr="002225BC">
              <w:rPr>
                <w:rFonts w:ascii="Palatino Linotype" w:eastAsia="Times New Roman" w:hAnsi="Palatino Linotype" w:cs="Calibri"/>
                <w:b/>
                <w:bCs/>
                <w:color w:val="000000"/>
                <w:sz w:val="18"/>
                <w:szCs w:val="22"/>
                <w:lang w:eastAsia="es-ES"/>
              </w:rPr>
              <w:t>AYUNTAMIENTO DE ALTSASU/ALSASUA</w:t>
            </w:r>
            <w:bookmarkEnd w:id="1"/>
          </w:p>
        </w:tc>
      </w:tr>
      <w:tr w:rsidR="002225BC" w:rsidRPr="002225BC" w:rsidTr="005F4E2E">
        <w:trPr>
          <w:trHeight w:val="300"/>
          <w:jc w:val="center"/>
        </w:trPr>
        <w:tc>
          <w:tcPr>
            <w:tcW w:w="729"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722"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6"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701"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900"/>
          <w:jc w:val="center"/>
        </w:trPr>
        <w:tc>
          <w:tcPr>
            <w:tcW w:w="2992" w:type="dxa"/>
            <w:gridSpan w:val="3"/>
            <w:tcBorders>
              <w:top w:val="single" w:sz="8" w:space="0" w:color="auto"/>
              <w:left w:val="single" w:sz="8" w:space="0" w:color="auto"/>
              <w:bottom w:val="nil"/>
              <w:right w:val="single" w:sz="8" w:space="0" w:color="000000"/>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TIPO DE PRESTACION </w:t>
            </w:r>
          </w:p>
        </w:tc>
        <w:tc>
          <w:tcPr>
            <w:tcW w:w="1276"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UNIDADES</w:t>
            </w:r>
          </w:p>
        </w:tc>
        <w:tc>
          <w:tcPr>
            <w:tcW w:w="151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PRESTACIONES</w:t>
            </w:r>
          </w:p>
        </w:tc>
        <w:tc>
          <w:tcPr>
            <w:tcW w:w="1887"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PRECIO UNITARIO LICITACION (€/PRESTACION)</w:t>
            </w:r>
          </w:p>
        </w:tc>
        <w:tc>
          <w:tcPr>
            <w:tcW w:w="1701"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PRECIO TOTAL LICITACION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 4 AÑOS) </w:t>
            </w:r>
          </w:p>
        </w:tc>
      </w:tr>
      <w:tr w:rsidR="002225BC" w:rsidRPr="002225BC" w:rsidTr="005F4E2E">
        <w:trPr>
          <w:trHeight w:val="289"/>
          <w:jc w:val="center"/>
        </w:trPr>
        <w:tc>
          <w:tcPr>
            <w:tcW w:w="2992"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REVISION DE EXTINTORES</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107</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428</w:t>
            </w:r>
          </w:p>
        </w:tc>
        <w:tc>
          <w:tcPr>
            <w:tcW w:w="1887" w:type="dxa"/>
            <w:tcBorders>
              <w:top w:val="single" w:sz="4" w:space="0" w:color="auto"/>
              <w:left w:val="nil"/>
              <w:bottom w:val="single" w:sz="4" w:space="0" w:color="auto"/>
              <w:right w:val="single" w:sz="8"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RECARGA DE EXTINTORES</w:t>
            </w: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17</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887"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REPOSICION DE EXTINTORES</w:t>
            </w:r>
          </w:p>
        </w:tc>
        <w:tc>
          <w:tcPr>
            <w:tcW w:w="1541"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17</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single" w:sz="4" w:space="0" w:color="auto"/>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6"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REVISION BOCAS DE INCENDIO</w:t>
            </w: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19</w:t>
            </w:r>
          </w:p>
        </w:tc>
        <w:tc>
          <w:tcPr>
            <w:tcW w:w="1515" w:type="dxa"/>
            <w:tcBorders>
              <w:top w:val="single" w:sz="8" w:space="0" w:color="auto"/>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76</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6"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BOCAS DE INCENDIO</w:t>
            </w:r>
          </w:p>
        </w:tc>
        <w:tc>
          <w:tcPr>
            <w:tcW w:w="1541"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41"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6"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2992" w:type="dxa"/>
            <w:gridSpan w:val="3"/>
            <w:vMerge w:val="restart"/>
            <w:tcBorders>
              <w:top w:val="single" w:sz="8" w:space="0" w:color="auto"/>
              <w:left w:val="single" w:sz="8" w:space="0" w:color="auto"/>
              <w:bottom w:val="nil"/>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REVISION CENTRALITA INCENDIOS COMPLETA </w:t>
            </w:r>
          </w:p>
        </w:tc>
        <w:tc>
          <w:tcPr>
            <w:tcW w:w="1276"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5</w:t>
            </w:r>
          </w:p>
        </w:tc>
        <w:tc>
          <w:tcPr>
            <w:tcW w:w="151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20</w:t>
            </w:r>
          </w:p>
        </w:tc>
        <w:tc>
          <w:tcPr>
            <w:tcW w:w="1887"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vMerge w:val="restart"/>
            <w:tcBorders>
              <w:top w:val="nil"/>
              <w:left w:val="nil"/>
              <w:bottom w:val="nil"/>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2992" w:type="dxa"/>
            <w:gridSpan w:val="3"/>
            <w:vMerge/>
            <w:tcBorders>
              <w:top w:val="single" w:sz="8" w:space="0" w:color="auto"/>
              <w:left w:val="single" w:sz="8" w:space="0" w:color="auto"/>
              <w:bottom w:val="nil"/>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6"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701" w:type="dxa"/>
            <w:vMerge/>
            <w:tcBorders>
              <w:top w:val="nil"/>
              <w:left w:val="nil"/>
              <w:bottom w:val="nil"/>
              <w:right w:val="single" w:sz="8"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300"/>
          <w:jc w:val="center"/>
        </w:trPr>
        <w:tc>
          <w:tcPr>
            <w:tcW w:w="4268" w:type="dxa"/>
            <w:gridSpan w:val="4"/>
            <w:tcBorders>
              <w:top w:val="single" w:sz="8" w:space="0" w:color="auto"/>
              <w:left w:val="single" w:sz="8" w:space="0" w:color="auto"/>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PRESUPUESTO DE LICITACION CONTRATO </w:t>
            </w:r>
          </w:p>
        </w:tc>
        <w:tc>
          <w:tcPr>
            <w:tcW w:w="1515"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887"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spacing w:after="200" w:line="276" w:lineRule="auto"/>
        <w:rPr>
          <w:rFonts w:ascii="Palatino Linotype" w:eastAsia="Calibri" w:hAnsi="Palatino Linotype"/>
          <w:b/>
          <w:sz w:val="21"/>
          <w:szCs w:val="21"/>
        </w:rPr>
      </w:pPr>
      <w:r w:rsidRPr="002225BC">
        <w:rPr>
          <w:rFonts w:ascii="Palatino Linotype" w:eastAsia="Calibri" w:hAnsi="Palatino Linotype"/>
          <w:b/>
          <w:sz w:val="21"/>
          <w:szCs w:val="21"/>
        </w:rPr>
        <w:br w:type="page"/>
      </w:r>
    </w:p>
    <w:p w:rsidR="002225BC" w:rsidRPr="002225BC" w:rsidRDefault="002225BC" w:rsidP="002225BC">
      <w:pPr>
        <w:spacing w:after="200" w:line="276" w:lineRule="auto"/>
        <w:jc w:val="center"/>
        <w:rPr>
          <w:rFonts w:ascii="Palatino Linotype" w:eastAsia="Calibri" w:hAnsi="Palatino Linotype"/>
          <w:b/>
          <w:sz w:val="21"/>
          <w:szCs w:val="21"/>
        </w:rPr>
      </w:pPr>
      <w:r w:rsidRPr="002225BC">
        <w:rPr>
          <w:rFonts w:ascii="Palatino Linotype" w:eastAsia="Calibri" w:hAnsi="Palatino Linotype"/>
          <w:b/>
          <w:sz w:val="21"/>
          <w:szCs w:val="21"/>
        </w:rPr>
        <w:t>OFERTA LOTE 2</w:t>
      </w:r>
    </w:p>
    <w:tbl>
      <w:tblPr>
        <w:tblW w:w="9229" w:type="dxa"/>
        <w:jc w:val="center"/>
        <w:tblInd w:w="55" w:type="dxa"/>
        <w:tblCellMar>
          <w:left w:w="70" w:type="dxa"/>
          <w:right w:w="70" w:type="dxa"/>
        </w:tblCellMar>
        <w:tblLook w:val="04A0" w:firstRow="1" w:lastRow="0" w:firstColumn="1" w:lastColumn="0" w:noHBand="0" w:noVBand="1"/>
      </w:tblPr>
      <w:tblGrid>
        <w:gridCol w:w="729"/>
        <w:gridCol w:w="722"/>
        <w:gridCol w:w="1683"/>
        <w:gridCol w:w="1159"/>
        <w:gridCol w:w="1577"/>
        <w:gridCol w:w="1950"/>
        <w:gridCol w:w="1496"/>
      </w:tblGrid>
      <w:tr w:rsidR="002225BC" w:rsidRPr="002225BC" w:rsidTr="005F4E2E">
        <w:trPr>
          <w:trHeight w:val="323"/>
          <w:jc w:val="center"/>
        </w:trPr>
        <w:tc>
          <w:tcPr>
            <w:tcW w:w="9229" w:type="dxa"/>
            <w:gridSpan w:val="7"/>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ATABO ALTSASU, S.L.</w:t>
            </w:r>
          </w:p>
        </w:tc>
      </w:tr>
      <w:tr w:rsidR="002225BC" w:rsidRPr="002225BC" w:rsidTr="005F4E2E">
        <w:trPr>
          <w:trHeight w:val="300"/>
          <w:jc w:val="center"/>
        </w:trPr>
        <w:tc>
          <w:tcPr>
            <w:tcW w:w="729"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722"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134"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950"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496"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900"/>
          <w:jc w:val="center"/>
        </w:trPr>
        <w:tc>
          <w:tcPr>
            <w:tcW w:w="3134" w:type="dxa"/>
            <w:gridSpan w:val="3"/>
            <w:tcBorders>
              <w:top w:val="single" w:sz="8" w:space="0" w:color="auto"/>
              <w:left w:val="single" w:sz="8" w:space="0" w:color="auto"/>
              <w:bottom w:val="nil"/>
              <w:right w:val="single" w:sz="8" w:space="0" w:color="000000"/>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bookmarkStart w:id="2" w:name="RANGE!E5:K23"/>
            <w:r w:rsidRPr="002225BC">
              <w:rPr>
                <w:rFonts w:ascii="Palatino Linotype" w:eastAsia="Times New Roman" w:hAnsi="Palatino Linotype" w:cs="Calibri"/>
                <w:b/>
                <w:bCs/>
                <w:color w:val="000000"/>
                <w:sz w:val="18"/>
                <w:szCs w:val="22"/>
                <w:lang w:eastAsia="es-ES"/>
              </w:rPr>
              <w:t xml:space="preserve">TIPO DE PRESTACION </w:t>
            </w:r>
            <w:bookmarkEnd w:id="2"/>
          </w:p>
        </w:tc>
        <w:tc>
          <w:tcPr>
            <w:tcW w:w="1134"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UNIDADES</w:t>
            </w:r>
          </w:p>
        </w:tc>
        <w:tc>
          <w:tcPr>
            <w:tcW w:w="151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PRESTACIONES</w:t>
            </w:r>
          </w:p>
        </w:tc>
        <w:tc>
          <w:tcPr>
            <w:tcW w:w="1950"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PRECIO UNITARIO LICITACION (€/PRESTACION)</w:t>
            </w:r>
          </w:p>
        </w:tc>
        <w:tc>
          <w:tcPr>
            <w:tcW w:w="1496"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PRECIO TOTAL LICITACION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4 AÑOS) </w:t>
            </w:r>
          </w:p>
        </w:tc>
      </w:tr>
      <w:tr w:rsidR="002225BC" w:rsidRPr="002225BC" w:rsidTr="005F4E2E">
        <w:trPr>
          <w:trHeight w:val="289"/>
          <w:jc w:val="center"/>
        </w:trPr>
        <w:tc>
          <w:tcPr>
            <w:tcW w:w="3134"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REVISION DE EXTINTORES</w:t>
            </w:r>
          </w:p>
        </w:tc>
        <w:tc>
          <w:tcPr>
            <w:tcW w:w="1134"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69</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276</w:t>
            </w:r>
          </w:p>
        </w:tc>
        <w:tc>
          <w:tcPr>
            <w:tcW w:w="1950" w:type="dxa"/>
            <w:tcBorders>
              <w:top w:val="single" w:sz="4" w:space="0" w:color="auto"/>
              <w:left w:val="nil"/>
              <w:bottom w:val="single" w:sz="4" w:space="0" w:color="auto"/>
              <w:right w:val="single" w:sz="8"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c>
          <w:tcPr>
            <w:tcW w:w="1496" w:type="dxa"/>
            <w:tcBorders>
              <w:top w:val="single" w:sz="4" w:space="0" w:color="auto"/>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RECARGA DE EXTINTORES</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15</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49</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10</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REPOSICION DE EXTINTORES</w:t>
            </w: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15</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49</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10</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REVISION BOCAS DE INCENDIO</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134" w:type="dxa"/>
            <w:tcBorders>
              <w:top w:val="single" w:sz="8" w:space="0" w:color="auto"/>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9</w:t>
            </w:r>
          </w:p>
        </w:tc>
        <w:tc>
          <w:tcPr>
            <w:tcW w:w="1515" w:type="dxa"/>
            <w:tcBorders>
              <w:top w:val="single" w:sz="8" w:space="0" w:color="auto"/>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36</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134"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950"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BOCAS DE INCENDIO</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134"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9</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950"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134"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950"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3134" w:type="dxa"/>
            <w:gridSpan w:val="3"/>
            <w:vMerge w:val="restart"/>
            <w:tcBorders>
              <w:top w:val="single" w:sz="8" w:space="0" w:color="auto"/>
              <w:left w:val="single" w:sz="8" w:space="0" w:color="auto"/>
              <w:bottom w:val="nil"/>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REVISION CENTRALITA INCENDIOS COMPLETA </w:t>
            </w:r>
          </w:p>
        </w:tc>
        <w:tc>
          <w:tcPr>
            <w:tcW w:w="1134"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950"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496" w:type="dxa"/>
            <w:vMerge w:val="restart"/>
            <w:tcBorders>
              <w:top w:val="nil"/>
              <w:left w:val="nil"/>
              <w:bottom w:val="nil"/>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3134" w:type="dxa"/>
            <w:gridSpan w:val="3"/>
            <w:vMerge/>
            <w:tcBorders>
              <w:top w:val="single" w:sz="8" w:space="0" w:color="auto"/>
              <w:left w:val="single" w:sz="8" w:space="0" w:color="auto"/>
              <w:bottom w:val="nil"/>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134"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950"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496" w:type="dxa"/>
            <w:vMerge/>
            <w:tcBorders>
              <w:top w:val="nil"/>
              <w:left w:val="nil"/>
              <w:bottom w:val="nil"/>
              <w:right w:val="single" w:sz="8"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300"/>
          <w:jc w:val="center"/>
        </w:trPr>
        <w:tc>
          <w:tcPr>
            <w:tcW w:w="4268" w:type="dxa"/>
            <w:gridSpan w:val="4"/>
            <w:tcBorders>
              <w:top w:val="single" w:sz="8" w:space="0" w:color="auto"/>
              <w:left w:val="single" w:sz="8" w:space="0" w:color="auto"/>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PRESUPUESTO DE LICITACION CONTRATO </w:t>
            </w:r>
          </w:p>
        </w:tc>
        <w:tc>
          <w:tcPr>
            <w:tcW w:w="1515"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950"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496" w:type="dxa"/>
            <w:tcBorders>
              <w:top w:val="single" w:sz="8" w:space="0" w:color="auto"/>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spacing w:after="200" w:line="276" w:lineRule="auto"/>
        <w:rPr>
          <w:rFonts w:ascii="Palatino Linotype" w:eastAsia="Calibri" w:hAnsi="Palatino Linotype"/>
          <w:b/>
          <w:sz w:val="21"/>
          <w:szCs w:val="21"/>
        </w:rPr>
      </w:pPr>
      <w:r w:rsidRPr="002225BC">
        <w:rPr>
          <w:rFonts w:ascii="Palatino Linotype" w:eastAsia="Calibri" w:hAnsi="Palatino Linotype"/>
          <w:b/>
          <w:sz w:val="21"/>
          <w:szCs w:val="21"/>
        </w:rPr>
        <w:br w:type="page"/>
      </w:r>
    </w:p>
    <w:p w:rsidR="002225BC" w:rsidRPr="002225BC" w:rsidRDefault="002225BC" w:rsidP="002225BC">
      <w:pPr>
        <w:spacing w:after="200" w:line="276" w:lineRule="auto"/>
        <w:jc w:val="center"/>
        <w:rPr>
          <w:rFonts w:ascii="Palatino Linotype" w:eastAsia="Calibri" w:hAnsi="Palatino Linotype"/>
          <w:b/>
          <w:sz w:val="21"/>
          <w:szCs w:val="21"/>
        </w:rPr>
      </w:pPr>
      <w:r w:rsidRPr="002225BC">
        <w:rPr>
          <w:rFonts w:ascii="Palatino Linotype" w:eastAsia="Calibri" w:hAnsi="Palatino Linotype"/>
          <w:b/>
          <w:sz w:val="21"/>
          <w:szCs w:val="21"/>
        </w:rPr>
        <w:t>OFERTA LOTE 3</w:t>
      </w:r>
    </w:p>
    <w:tbl>
      <w:tblPr>
        <w:tblW w:w="9513" w:type="dxa"/>
        <w:tblInd w:w="55" w:type="dxa"/>
        <w:tblCellMar>
          <w:left w:w="70" w:type="dxa"/>
          <w:right w:w="70" w:type="dxa"/>
        </w:tblCellMar>
        <w:tblLook w:val="04A0" w:firstRow="1" w:lastRow="0" w:firstColumn="1" w:lastColumn="0" w:noHBand="0" w:noVBand="1"/>
      </w:tblPr>
      <w:tblGrid>
        <w:gridCol w:w="729"/>
        <w:gridCol w:w="722"/>
        <w:gridCol w:w="1825"/>
        <w:gridCol w:w="1275"/>
        <w:gridCol w:w="1577"/>
        <w:gridCol w:w="1887"/>
        <w:gridCol w:w="1560"/>
      </w:tblGrid>
      <w:tr w:rsidR="002225BC" w:rsidRPr="002225BC" w:rsidTr="005F4E2E">
        <w:trPr>
          <w:trHeight w:val="323"/>
        </w:trPr>
        <w:tc>
          <w:tcPr>
            <w:tcW w:w="9513" w:type="dxa"/>
            <w:gridSpan w:val="7"/>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PATRONATO ESCUELA DE MUSICA DE ALTSASU/ ALSASUA</w:t>
            </w:r>
          </w:p>
        </w:tc>
      </w:tr>
      <w:tr w:rsidR="002225BC" w:rsidRPr="002225BC" w:rsidTr="005F4E2E">
        <w:trPr>
          <w:trHeight w:val="300"/>
        </w:trPr>
        <w:tc>
          <w:tcPr>
            <w:tcW w:w="729"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722"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60"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900"/>
        </w:trPr>
        <w:tc>
          <w:tcPr>
            <w:tcW w:w="3276" w:type="dxa"/>
            <w:gridSpan w:val="3"/>
            <w:tcBorders>
              <w:top w:val="single" w:sz="8" w:space="0" w:color="auto"/>
              <w:left w:val="single" w:sz="8" w:space="0" w:color="auto"/>
              <w:bottom w:val="nil"/>
              <w:right w:val="single" w:sz="8" w:space="0" w:color="000000"/>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TIPO DE PRESTACION </w:t>
            </w:r>
          </w:p>
        </w:tc>
        <w:tc>
          <w:tcPr>
            <w:tcW w:w="127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UNIDADES</w:t>
            </w:r>
          </w:p>
        </w:tc>
        <w:tc>
          <w:tcPr>
            <w:tcW w:w="151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PRESTACIONES</w:t>
            </w:r>
          </w:p>
        </w:tc>
        <w:tc>
          <w:tcPr>
            <w:tcW w:w="1887"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PRECIO UNITARIO LICITACION (€/PRESTACION)</w:t>
            </w:r>
          </w:p>
        </w:tc>
        <w:tc>
          <w:tcPr>
            <w:tcW w:w="1560"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PRECIO TOTAL LICITACION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 4 AÑOS) </w:t>
            </w:r>
          </w:p>
        </w:tc>
      </w:tr>
      <w:tr w:rsidR="002225BC" w:rsidRPr="002225BC" w:rsidTr="005F4E2E">
        <w:trPr>
          <w:trHeight w:val="289"/>
        </w:trPr>
        <w:tc>
          <w:tcPr>
            <w:tcW w:w="3276"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REVISION DE EXTINTORES</w:t>
            </w:r>
          </w:p>
        </w:tc>
        <w:tc>
          <w:tcPr>
            <w:tcW w:w="127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17</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68</w:t>
            </w:r>
          </w:p>
        </w:tc>
        <w:tc>
          <w:tcPr>
            <w:tcW w:w="1887" w:type="dxa"/>
            <w:tcBorders>
              <w:top w:val="single" w:sz="4" w:space="0" w:color="auto"/>
              <w:left w:val="nil"/>
              <w:bottom w:val="single" w:sz="4" w:space="0" w:color="auto"/>
              <w:right w:val="single" w:sz="8"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RECARGA DE EXTINTORES</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REPOSICION DE EXTINTORES</w:t>
            </w: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REVISION BOCAS DE INCENDIO</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w:t>
            </w:r>
          </w:p>
        </w:tc>
        <w:tc>
          <w:tcPr>
            <w:tcW w:w="1515" w:type="dxa"/>
            <w:tcBorders>
              <w:top w:val="single" w:sz="8" w:space="0" w:color="auto"/>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16</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BOCAS DE INCENDIO</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trPr>
        <w:tc>
          <w:tcPr>
            <w:tcW w:w="3276" w:type="dxa"/>
            <w:gridSpan w:val="3"/>
            <w:vMerge w:val="restart"/>
            <w:tcBorders>
              <w:top w:val="single" w:sz="8" w:space="0" w:color="auto"/>
              <w:left w:val="single" w:sz="8" w:space="0" w:color="auto"/>
              <w:bottom w:val="nil"/>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REVISION CENTRALITA INCENDIOS COMPLETA </w:t>
            </w:r>
          </w:p>
        </w:tc>
        <w:tc>
          <w:tcPr>
            <w:tcW w:w="127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560" w:type="dxa"/>
            <w:vMerge w:val="restart"/>
            <w:tcBorders>
              <w:top w:val="nil"/>
              <w:left w:val="nil"/>
              <w:bottom w:val="nil"/>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trPr>
        <w:tc>
          <w:tcPr>
            <w:tcW w:w="3276" w:type="dxa"/>
            <w:gridSpan w:val="3"/>
            <w:vMerge/>
            <w:tcBorders>
              <w:top w:val="single" w:sz="8" w:space="0" w:color="auto"/>
              <w:left w:val="single" w:sz="8" w:space="0" w:color="auto"/>
              <w:bottom w:val="nil"/>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60" w:type="dxa"/>
            <w:vMerge/>
            <w:tcBorders>
              <w:top w:val="nil"/>
              <w:left w:val="nil"/>
              <w:bottom w:val="nil"/>
              <w:right w:val="single" w:sz="8"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300"/>
        </w:trPr>
        <w:tc>
          <w:tcPr>
            <w:tcW w:w="4551" w:type="dxa"/>
            <w:gridSpan w:val="4"/>
            <w:tcBorders>
              <w:top w:val="single" w:sz="8" w:space="0" w:color="auto"/>
              <w:left w:val="single" w:sz="8" w:space="0" w:color="auto"/>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PRESUPUESTO DE LICITACION CONTRATO </w:t>
            </w:r>
          </w:p>
        </w:tc>
        <w:tc>
          <w:tcPr>
            <w:tcW w:w="1515"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887"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560" w:type="dxa"/>
            <w:tcBorders>
              <w:top w:val="single" w:sz="8" w:space="0" w:color="auto"/>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spacing w:after="200" w:line="276" w:lineRule="auto"/>
        <w:rPr>
          <w:rFonts w:ascii="Palatino Linotype" w:eastAsia="Calibri" w:hAnsi="Palatino Linotype"/>
          <w:b/>
          <w:sz w:val="21"/>
          <w:szCs w:val="21"/>
        </w:rPr>
      </w:pPr>
      <w:r w:rsidRPr="002225BC">
        <w:rPr>
          <w:rFonts w:ascii="Palatino Linotype" w:eastAsia="Calibri" w:hAnsi="Palatino Linotype"/>
          <w:b/>
          <w:sz w:val="21"/>
          <w:szCs w:val="21"/>
        </w:rPr>
        <w:br w:type="page"/>
      </w:r>
    </w:p>
    <w:p w:rsidR="002225BC" w:rsidRPr="002225BC" w:rsidRDefault="002225BC" w:rsidP="002225BC">
      <w:pPr>
        <w:spacing w:after="200" w:line="276" w:lineRule="auto"/>
        <w:jc w:val="center"/>
        <w:rPr>
          <w:rFonts w:ascii="Palatino Linotype" w:eastAsia="Calibri" w:hAnsi="Palatino Linotype"/>
          <w:b/>
          <w:sz w:val="21"/>
          <w:szCs w:val="21"/>
        </w:rPr>
      </w:pPr>
      <w:r w:rsidRPr="002225BC">
        <w:rPr>
          <w:rFonts w:ascii="Palatino Linotype" w:eastAsia="Calibri" w:hAnsi="Palatino Linotype"/>
          <w:b/>
          <w:sz w:val="21"/>
          <w:szCs w:val="21"/>
        </w:rPr>
        <w:t>OFERTA LOTE 4</w:t>
      </w:r>
    </w:p>
    <w:tbl>
      <w:tblPr>
        <w:tblW w:w="9796" w:type="dxa"/>
        <w:jc w:val="center"/>
        <w:tblInd w:w="55" w:type="dxa"/>
        <w:tblCellMar>
          <w:left w:w="70" w:type="dxa"/>
          <w:right w:w="70" w:type="dxa"/>
        </w:tblCellMar>
        <w:tblLook w:val="04A0" w:firstRow="1" w:lastRow="0" w:firstColumn="1" w:lastColumn="0" w:noHBand="0" w:noVBand="1"/>
      </w:tblPr>
      <w:tblGrid>
        <w:gridCol w:w="729"/>
        <w:gridCol w:w="722"/>
        <w:gridCol w:w="1825"/>
        <w:gridCol w:w="1275"/>
        <w:gridCol w:w="1577"/>
        <w:gridCol w:w="1887"/>
        <w:gridCol w:w="1843"/>
      </w:tblGrid>
      <w:tr w:rsidR="002225BC" w:rsidRPr="002225BC" w:rsidTr="005F4E2E">
        <w:trPr>
          <w:trHeight w:val="323"/>
          <w:jc w:val="center"/>
        </w:trPr>
        <w:tc>
          <w:tcPr>
            <w:tcW w:w="9796" w:type="dxa"/>
            <w:gridSpan w:val="7"/>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PATRONATO RESIDENCIA “AITA BARANDIARAN”</w:t>
            </w:r>
          </w:p>
        </w:tc>
      </w:tr>
      <w:tr w:rsidR="002225BC" w:rsidRPr="002225BC" w:rsidTr="005F4E2E">
        <w:trPr>
          <w:trHeight w:val="300"/>
          <w:jc w:val="center"/>
        </w:trPr>
        <w:tc>
          <w:tcPr>
            <w:tcW w:w="729"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722"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43"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900"/>
          <w:jc w:val="center"/>
        </w:trPr>
        <w:tc>
          <w:tcPr>
            <w:tcW w:w="3276" w:type="dxa"/>
            <w:gridSpan w:val="3"/>
            <w:tcBorders>
              <w:top w:val="single" w:sz="8" w:space="0" w:color="auto"/>
              <w:left w:val="single" w:sz="8" w:space="0" w:color="auto"/>
              <w:bottom w:val="nil"/>
              <w:right w:val="single" w:sz="8" w:space="0" w:color="000000"/>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TIPO DE PRESTACION </w:t>
            </w:r>
          </w:p>
        </w:tc>
        <w:tc>
          <w:tcPr>
            <w:tcW w:w="127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UNIDADES</w:t>
            </w:r>
          </w:p>
        </w:tc>
        <w:tc>
          <w:tcPr>
            <w:tcW w:w="151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PRESTACIONES</w:t>
            </w:r>
          </w:p>
        </w:tc>
        <w:tc>
          <w:tcPr>
            <w:tcW w:w="1887"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PRECIO UNITARIO LICITACION (€/PRESTACION)</w:t>
            </w:r>
          </w:p>
        </w:tc>
        <w:tc>
          <w:tcPr>
            <w:tcW w:w="1843"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PRECIO TOTAL LICITACION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4 AÑOS) </w:t>
            </w:r>
          </w:p>
        </w:tc>
      </w:tr>
      <w:tr w:rsidR="002225BC" w:rsidRPr="002225BC" w:rsidTr="005F4E2E">
        <w:trPr>
          <w:trHeight w:val="289"/>
          <w:jc w:val="center"/>
        </w:trPr>
        <w:tc>
          <w:tcPr>
            <w:tcW w:w="3276"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REVISION DE EXTINTORES</w:t>
            </w:r>
          </w:p>
        </w:tc>
        <w:tc>
          <w:tcPr>
            <w:tcW w:w="127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41</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164</w:t>
            </w:r>
          </w:p>
        </w:tc>
        <w:tc>
          <w:tcPr>
            <w:tcW w:w="1887" w:type="dxa"/>
            <w:tcBorders>
              <w:top w:val="single" w:sz="4" w:space="0" w:color="auto"/>
              <w:left w:val="nil"/>
              <w:bottom w:val="single" w:sz="4" w:space="0" w:color="auto"/>
              <w:right w:val="single" w:sz="8"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RECARGA DE EXTINTORES</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37</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REPOSICION DE EXTINTORES</w:t>
            </w: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37</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8</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single" w:sz="4" w:space="0" w:color="auto"/>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REVISION BOCAS DE INCENDIO</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5" w:type="dxa"/>
            <w:tcBorders>
              <w:top w:val="single" w:sz="8" w:space="0" w:color="auto"/>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single" w:sz="8" w:space="0" w:color="auto"/>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11</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44</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BOCAS DE INCENDIO</w:t>
            </w:r>
          </w:p>
        </w:tc>
        <w:tc>
          <w:tcPr>
            <w:tcW w:w="1825"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5"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25"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5"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11</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3</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3276" w:type="dxa"/>
            <w:gridSpan w:val="3"/>
            <w:vMerge w:val="restart"/>
            <w:tcBorders>
              <w:top w:val="single" w:sz="8" w:space="0" w:color="auto"/>
              <w:left w:val="single" w:sz="8" w:space="0" w:color="auto"/>
              <w:bottom w:val="nil"/>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REVISION CENTRALITA INCENDIOS COMPLETA </w:t>
            </w:r>
          </w:p>
        </w:tc>
        <w:tc>
          <w:tcPr>
            <w:tcW w:w="127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4</w:t>
            </w:r>
          </w:p>
        </w:tc>
        <w:tc>
          <w:tcPr>
            <w:tcW w:w="1887"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843" w:type="dxa"/>
            <w:vMerge w:val="restart"/>
            <w:tcBorders>
              <w:top w:val="nil"/>
              <w:left w:val="nil"/>
              <w:bottom w:val="nil"/>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3276" w:type="dxa"/>
            <w:gridSpan w:val="3"/>
            <w:vMerge/>
            <w:tcBorders>
              <w:top w:val="single" w:sz="8" w:space="0" w:color="auto"/>
              <w:left w:val="single" w:sz="8" w:space="0" w:color="auto"/>
              <w:bottom w:val="nil"/>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43" w:type="dxa"/>
            <w:vMerge/>
            <w:tcBorders>
              <w:top w:val="nil"/>
              <w:left w:val="nil"/>
              <w:bottom w:val="nil"/>
              <w:right w:val="single" w:sz="8"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300"/>
          <w:jc w:val="center"/>
        </w:trPr>
        <w:tc>
          <w:tcPr>
            <w:tcW w:w="4551" w:type="dxa"/>
            <w:gridSpan w:val="4"/>
            <w:tcBorders>
              <w:top w:val="single" w:sz="8" w:space="0" w:color="auto"/>
              <w:left w:val="single" w:sz="8" w:space="0" w:color="auto"/>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PRESUPUESTO DE LICITACION CONTRATO </w:t>
            </w:r>
          </w:p>
        </w:tc>
        <w:tc>
          <w:tcPr>
            <w:tcW w:w="1515"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887"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843" w:type="dxa"/>
            <w:tcBorders>
              <w:top w:val="single" w:sz="8" w:space="0" w:color="auto"/>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spacing w:after="200" w:line="276" w:lineRule="auto"/>
        <w:rPr>
          <w:rFonts w:ascii="Palatino Linotype" w:eastAsia="Calibri" w:hAnsi="Palatino Linotype"/>
          <w:b/>
          <w:sz w:val="21"/>
          <w:szCs w:val="21"/>
        </w:rPr>
      </w:pPr>
      <w:r w:rsidRPr="002225BC">
        <w:rPr>
          <w:rFonts w:ascii="Palatino Linotype" w:eastAsia="Calibri" w:hAnsi="Palatino Linotype"/>
          <w:b/>
          <w:sz w:val="21"/>
          <w:szCs w:val="21"/>
        </w:rPr>
        <w:br w:type="page"/>
      </w:r>
    </w:p>
    <w:p w:rsidR="002225BC" w:rsidRPr="002225BC" w:rsidRDefault="002225BC" w:rsidP="002225BC">
      <w:pPr>
        <w:spacing w:after="200" w:line="276" w:lineRule="auto"/>
        <w:jc w:val="center"/>
        <w:rPr>
          <w:rFonts w:ascii="Palatino Linotype" w:eastAsia="Calibri" w:hAnsi="Palatino Linotype"/>
          <w:b/>
          <w:sz w:val="21"/>
          <w:szCs w:val="21"/>
        </w:rPr>
      </w:pPr>
      <w:r w:rsidRPr="002225BC">
        <w:rPr>
          <w:rFonts w:ascii="Palatino Linotype" w:eastAsia="Calibri" w:hAnsi="Palatino Linotype"/>
          <w:b/>
          <w:sz w:val="21"/>
          <w:szCs w:val="21"/>
        </w:rPr>
        <w:t>OFERTA LOTE 5</w:t>
      </w:r>
    </w:p>
    <w:tbl>
      <w:tblPr>
        <w:tblW w:w="9513" w:type="dxa"/>
        <w:jc w:val="center"/>
        <w:tblInd w:w="55" w:type="dxa"/>
        <w:tblCellMar>
          <w:left w:w="70" w:type="dxa"/>
          <w:right w:w="70" w:type="dxa"/>
        </w:tblCellMar>
        <w:tblLook w:val="04A0" w:firstRow="1" w:lastRow="0" w:firstColumn="1" w:lastColumn="0" w:noHBand="0" w:noVBand="1"/>
      </w:tblPr>
      <w:tblGrid>
        <w:gridCol w:w="729"/>
        <w:gridCol w:w="722"/>
        <w:gridCol w:w="1683"/>
        <w:gridCol w:w="1276"/>
        <w:gridCol w:w="1577"/>
        <w:gridCol w:w="1887"/>
        <w:gridCol w:w="1701"/>
      </w:tblGrid>
      <w:tr w:rsidR="002225BC" w:rsidRPr="002225BC" w:rsidTr="005F4E2E">
        <w:trPr>
          <w:trHeight w:val="323"/>
          <w:jc w:val="center"/>
        </w:trPr>
        <w:tc>
          <w:tcPr>
            <w:tcW w:w="9513" w:type="dxa"/>
            <w:gridSpan w:val="7"/>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MANCOMUNIDAD DE SERVICIOS SOCIALES DE BASE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DE ALSASUA, OLAZAGUTIA Y ZIORDIA </w:t>
            </w:r>
          </w:p>
        </w:tc>
      </w:tr>
      <w:tr w:rsidR="002225BC" w:rsidRPr="002225BC" w:rsidTr="005F4E2E">
        <w:trPr>
          <w:trHeight w:val="300"/>
          <w:jc w:val="center"/>
        </w:trPr>
        <w:tc>
          <w:tcPr>
            <w:tcW w:w="729"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722"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6"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701" w:type="dxa"/>
            <w:tcBorders>
              <w:top w:val="nil"/>
              <w:left w:val="nil"/>
              <w:bottom w:val="nil"/>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900"/>
          <w:jc w:val="center"/>
        </w:trPr>
        <w:tc>
          <w:tcPr>
            <w:tcW w:w="3134" w:type="dxa"/>
            <w:gridSpan w:val="3"/>
            <w:tcBorders>
              <w:top w:val="single" w:sz="8" w:space="0" w:color="auto"/>
              <w:left w:val="single" w:sz="8" w:space="0" w:color="auto"/>
              <w:bottom w:val="nil"/>
              <w:right w:val="single" w:sz="8" w:space="0" w:color="000000"/>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TIPO DE PRESTACION </w:t>
            </w:r>
          </w:p>
        </w:tc>
        <w:tc>
          <w:tcPr>
            <w:tcW w:w="1276"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UNIDADES</w:t>
            </w:r>
          </w:p>
        </w:tc>
        <w:tc>
          <w:tcPr>
            <w:tcW w:w="1515" w:type="dxa"/>
            <w:tcBorders>
              <w:top w:val="single" w:sz="8" w:space="0" w:color="auto"/>
              <w:left w:val="nil"/>
              <w:bottom w:val="nil"/>
              <w:right w:val="single" w:sz="8" w:space="0" w:color="auto"/>
            </w:tcBorders>
            <w:shd w:val="clear" w:color="000000" w:fill="D9D9D9"/>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Nº PRESTACIONES</w:t>
            </w:r>
          </w:p>
        </w:tc>
        <w:tc>
          <w:tcPr>
            <w:tcW w:w="1887"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PRECIO UNITARIO LICITACION (€/PRESTACION)</w:t>
            </w:r>
          </w:p>
        </w:tc>
        <w:tc>
          <w:tcPr>
            <w:tcW w:w="1701" w:type="dxa"/>
            <w:tcBorders>
              <w:top w:val="single" w:sz="8" w:space="0" w:color="auto"/>
              <w:left w:val="nil"/>
              <w:bottom w:val="nil"/>
              <w:right w:val="single" w:sz="8" w:space="0" w:color="auto"/>
            </w:tcBorders>
            <w:shd w:val="clear" w:color="000000" w:fill="D9D9D9"/>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PRECIO TOTAL LICITACION </w:t>
            </w:r>
          </w:p>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4 AÑOS) </w:t>
            </w:r>
          </w:p>
        </w:tc>
      </w:tr>
      <w:tr w:rsidR="002225BC" w:rsidRPr="002225BC" w:rsidTr="005F4E2E">
        <w:trPr>
          <w:trHeight w:val="289"/>
          <w:jc w:val="center"/>
        </w:trPr>
        <w:tc>
          <w:tcPr>
            <w:tcW w:w="3134"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REVISION DE EXTINTORES</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3</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12</w:t>
            </w:r>
          </w:p>
        </w:tc>
        <w:tc>
          <w:tcPr>
            <w:tcW w:w="1887" w:type="dxa"/>
            <w:tcBorders>
              <w:top w:val="single" w:sz="4" w:space="0" w:color="auto"/>
              <w:left w:val="nil"/>
              <w:bottom w:val="single" w:sz="4" w:space="0" w:color="auto"/>
              <w:right w:val="single" w:sz="8"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RECARGA DE EXTINTORES</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nil"/>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REPOSICION DE EXTINTORES</w:t>
            </w: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2Kg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5Kg CO2</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3Kg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40"/>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6Kg ABC</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2</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1</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555"/>
          <w:jc w:val="center"/>
        </w:trPr>
        <w:tc>
          <w:tcPr>
            <w:tcW w:w="1451" w:type="dxa"/>
            <w:gridSpan w:val="2"/>
            <w:vMerge/>
            <w:tcBorders>
              <w:top w:val="single" w:sz="8" w:space="0" w:color="auto"/>
              <w:left w:val="single" w:sz="8" w:space="0" w:color="auto"/>
              <w:bottom w:val="single" w:sz="8" w:space="0" w:color="000000"/>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single" w:sz="4" w:space="0" w:color="auto"/>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Extintor 9Kg ABC</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4"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REVISION BOCAS DE INCENDIO</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6" w:type="dxa"/>
            <w:tcBorders>
              <w:top w:val="single" w:sz="8" w:space="0" w:color="auto"/>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single" w:sz="8" w:space="0" w:color="auto"/>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6"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145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RETIMBRADO BOCAS DE INCENDIO</w:t>
            </w:r>
          </w:p>
        </w:tc>
        <w:tc>
          <w:tcPr>
            <w:tcW w:w="1683" w:type="dxa"/>
            <w:tcBorders>
              <w:top w:val="nil"/>
              <w:left w:val="nil"/>
              <w:bottom w:val="single" w:sz="4"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25mm</w:t>
            </w:r>
          </w:p>
        </w:tc>
        <w:tc>
          <w:tcPr>
            <w:tcW w:w="1276" w:type="dxa"/>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nil"/>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1451" w:type="dxa"/>
            <w:gridSpan w:val="2"/>
            <w:vMerge/>
            <w:tcBorders>
              <w:top w:val="single" w:sz="8" w:space="0" w:color="auto"/>
              <w:left w:val="single" w:sz="8" w:space="0" w:color="auto"/>
              <w:bottom w:val="single" w:sz="8" w:space="0" w:color="000000"/>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683" w:type="dxa"/>
            <w:tcBorders>
              <w:top w:val="nil"/>
              <w:left w:val="nil"/>
              <w:bottom w:val="single" w:sz="8" w:space="0" w:color="auto"/>
              <w:right w:val="nil"/>
            </w:tcBorders>
            <w:shd w:val="clear" w:color="auto" w:fill="auto"/>
            <w:vAlign w:val="center"/>
            <w:hideMark/>
          </w:tcPr>
          <w:p w:rsidR="002225BC" w:rsidRPr="002225BC" w:rsidRDefault="002225BC" w:rsidP="002225BC">
            <w:pPr>
              <w:rPr>
                <w:rFonts w:ascii="Palatino Linotype" w:eastAsia="Times New Roman" w:hAnsi="Palatino Linotype" w:cs="Calibri"/>
                <w:b/>
                <w:bCs/>
                <w:color w:val="000000"/>
                <w:sz w:val="18"/>
                <w:szCs w:val="16"/>
                <w:lang w:eastAsia="es-ES"/>
              </w:rPr>
            </w:pPr>
            <w:r w:rsidRPr="002225BC">
              <w:rPr>
                <w:rFonts w:ascii="Palatino Linotype" w:eastAsia="Times New Roman" w:hAnsi="Palatino Linotype" w:cs="Calibri"/>
                <w:b/>
                <w:bCs/>
                <w:color w:val="000000"/>
                <w:sz w:val="18"/>
                <w:szCs w:val="16"/>
                <w:lang w:eastAsia="es-ES"/>
              </w:rPr>
              <w:t>BIE 45 mm</w:t>
            </w:r>
          </w:p>
        </w:tc>
        <w:tc>
          <w:tcPr>
            <w:tcW w:w="1276" w:type="dxa"/>
            <w:tcBorders>
              <w:top w:val="nil"/>
              <w:left w:val="single" w:sz="4" w:space="0" w:color="auto"/>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tcBorders>
              <w:top w:val="nil"/>
              <w:left w:val="nil"/>
              <w:bottom w:val="single" w:sz="8" w:space="0" w:color="auto"/>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tcBorders>
              <w:top w:val="nil"/>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00"/>
          <w:jc w:val="center"/>
        </w:trPr>
        <w:tc>
          <w:tcPr>
            <w:tcW w:w="3134" w:type="dxa"/>
            <w:gridSpan w:val="3"/>
            <w:vMerge w:val="restart"/>
            <w:tcBorders>
              <w:top w:val="single" w:sz="8" w:space="0" w:color="auto"/>
              <w:left w:val="single" w:sz="8" w:space="0" w:color="auto"/>
              <w:bottom w:val="nil"/>
              <w:right w:val="nil"/>
            </w:tcBorders>
            <w:shd w:val="clear" w:color="auto" w:fill="auto"/>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REVISION CENTRALITA INCENDIOS COMPLETA </w:t>
            </w:r>
          </w:p>
        </w:tc>
        <w:tc>
          <w:tcPr>
            <w:tcW w:w="1276"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515"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0</w:t>
            </w:r>
          </w:p>
        </w:tc>
        <w:tc>
          <w:tcPr>
            <w:tcW w:w="1887" w:type="dxa"/>
            <w:vMerge w:val="restart"/>
            <w:tcBorders>
              <w:top w:val="nil"/>
              <w:left w:val="single" w:sz="4" w:space="0" w:color="auto"/>
              <w:bottom w:val="nil"/>
              <w:right w:val="single" w:sz="4"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c>
          <w:tcPr>
            <w:tcW w:w="1701" w:type="dxa"/>
            <w:vMerge w:val="restart"/>
            <w:tcBorders>
              <w:top w:val="nil"/>
              <w:left w:val="nil"/>
              <w:bottom w:val="nil"/>
              <w:right w:val="single" w:sz="8" w:space="0" w:color="auto"/>
            </w:tcBorders>
            <w:shd w:val="clear" w:color="auto" w:fill="auto"/>
            <w:noWrap/>
            <w:vAlign w:val="center"/>
            <w:hideMark/>
          </w:tcPr>
          <w:p w:rsidR="002225BC" w:rsidRPr="002225BC" w:rsidRDefault="002225BC" w:rsidP="002225BC">
            <w:pPr>
              <w:jc w:val="center"/>
              <w:rPr>
                <w:rFonts w:ascii="Palatino Linotype" w:eastAsia="Times New Roman" w:hAnsi="Palatino Linotype" w:cs="Calibri"/>
                <w:color w:val="000000"/>
                <w:sz w:val="18"/>
                <w:szCs w:val="22"/>
                <w:lang w:eastAsia="es-ES"/>
              </w:rPr>
            </w:pPr>
            <w:r w:rsidRPr="002225BC">
              <w:rPr>
                <w:rFonts w:ascii="Palatino Linotype" w:eastAsia="Times New Roman" w:hAnsi="Palatino Linotype" w:cs="Calibri"/>
                <w:color w:val="000000"/>
                <w:sz w:val="18"/>
                <w:szCs w:val="22"/>
                <w:lang w:eastAsia="es-ES"/>
              </w:rPr>
              <w:t xml:space="preserve"> </w:t>
            </w:r>
          </w:p>
        </w:tc>
      </w:tr>
      <w:tr w:rsidR="002225BC" w:rsidRPr="002225BC" w:rsidTr="005F4E2E">
        <w:trPr>
          <w:trHeight w:val="315"/>
          <w:jc w:val="center"/>
        </w:trPr>
        <w:tc>
          <w:tcPr>
            <w:tcW w:w="3134" w:type="dxa"/>
            <w:gridSpan w:val="3"/>
            <w:vMerge/>
            <w:tcBorders>
              <w:top w:val="single" w:sz="8" w:space="0" w:color="auto"/>
              <w:left w:val="single" w:sz="8" w:space="0" w:color="auto"/>
              <w:bottom w:val="nil"/>
              <w:right w:val="nil"/>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276"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515"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887" w:type="dxa"/>
            <w:vMerge/>
            <w:tcBorders>
              <w:top w:val="nil"/>
              <w:left w:val="single" w:sz="4" w:space="0" w:color="auto"/>
              <w:bottom w:val="nil"/>
              <w:right w:val="single" w:sz="4"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c>
          <w:tcPr>
            <w:tcW w:w="1701" w:type="dxa"/>
            <w:vMerge/>
            <w:tcBorders>
              <w:top w:val="nil"/>
              <w:left w:val="nil"/>
              <w:bottom w:val="nil"/>
              <w:right w:val="single" w:sz="8" w:space="0" w:color="auto"/>
            </w:tcBorders>
            <w:vAlign w:val="center"/>
            <w:hideMark/>
          </w:tcPr>
          <w:p w:rsidR="002225BC" w:rsidRPr="002225BC" w:rsidRDefault="002225BC" w:rsidP="002225BC">
            <w:pPr>
              <w:rPr>
                <w:rFonts w:ascii="Palatino Linotype" w:eastAsia="Times New Roman" w:hAnsi="Palatino Linotype" w:cs="Calibri"/>
                <w:color w:val="000000"/>
                <w:sz w:val="18"/>
                <w:szCs w:val="22"/>
                <w:lang w:eastAsia="es-ES"/>
              </w:rPr>
            </w:pPr>
          </w:p>
        </w:tc>
      </w:tr>
      <w:tr w:rsidR="002225BC" w:rsidRPr="002225BC" w:rsidTr="005F4E2E">
        <w:trPr>
          <w:trHeight w:val="300"/>
          <w:jc w:val="center"/>
        </w:trPr>
        <w:tc>
          <w:tcPr>
            <w:tcW w:w="4410" w:type="dxa"/>
            <w:gridSpan w:val="4"/>
            <w:tcBorders>
              <w:top w:val="single" w:sz="8" w:space="0" w:color="auto"/>
              <w:left w:val="single" w:sz="8" w:space="0" w:color="auto"/>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PRESUPUESTO DE LICITACION CONTRATO </w:t>
            </w:r>
          </w:p>
        </w:tc>
        <w:tc>
          <w:tcPr>
            <w:tcW w:w="1515"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887" w:type="dxa"/>
            <w:tcBorders>
              <w:top w:val="single" w:sz="8" w:space="0" w:color="auto"/>
              <w:left w:val="nil"/>
              <w:bottom w:val="single" w:sz="8" w:space="0" w:color="auto"/>
              <w:right w:val="nil"/>
            </w:tcBorders>
            <w:shd w:val="clear" w:color="auto" w:fill="auto"/>
            <w:noWrap/>
            <w:vAlign w:val="bottom"/>
            <w:hideMark/>
          </w:tcPr>
          <w:p w:rsidR="002225BC" w:rsidRPr="002225BC" w:rsidRDefault="002225BC" w:rsidP="002225BC">
            <w:pP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2225BC" w:rsidRPr="002225BC" w:rsidRDefault="002225BC" w:rsidP="002225BC">
            <w:pPr>
              <w:jc w:val="center"/>
              <w:rPr>
                <w:rFonts w:ascii="Palatino Linotype" w:eastAsia="Times New Roman" w:hAnsi="Palatino Linotype" w:cs="Calibri"/>
                <w:b/>
                <w:bCs/>
                <w:color w:val="000000"/>
                <w:sz w:val="18"/>
                <w:szCs w:val="22"/>
                <w:lang w:eastAsia="es-ES"/>
              </w:rPr>
            </w:pPr>
            <w:r w:rsidRPr="002225BC">
              <w:rPr>
                <w:rFonts w:ascii="Palatino Linotype" w:eastAsia="Times New Roman" w:hAnsi="Palatino Linotype" w:cs="Calibri"/>
                <w:b/>
                <w:bCs/>
                <w:color w:val="000000"/>
                <w:sz w:val="18"/>
                <w:szCs w:val="22"/>
                <w:lang w:eastAsia="es-ES"/>
              </w:rPr>
              <w:t xml:space="preserve"> </w:t>
            </w:r>
          </w:p>
        </w:tc>
      </w:tr>
    </w:tbl>
    <w:p w:rsidR="002225BC" w:rsidRPr="002225BC" w:rsidRDefault="002225BC" w:rsidP="002225BC">
      <w:pPr>
        <w:spacing w:after="200" w:line="276" w:lineRule="auto"/>
        <w:rPr>
          <w:rFonts w:ascii="Palatino Linotype" w:eastAsia="Calibri" w:hAnsi="Palatino Linotype"/>
          <w:b/>
          <w:sz w:val="21"/>
          <w:szCs w:val="21"/>
        </w:rPr>
      </w:pPr>
    </w:p>
    <w:p w:rsidR="002225BC" w:rsidRPr="002225BC" w:rsidRDefault="002225BC" w:rsidP="002225BC">
      <w:pPr>
        <w:spacing w:after="200" w:line="276" w:lineRule="auto"/>
        <w:rPr>
          <w:rFonts w:ascii="Palatino Linotype" w:eastAsia="Calibri" w:hAnsi="Palatino Linotype"/>
          <w:b/>
          <w:sz w:val="21"/>
          <w:szCs w:val="21"/>
        </w:rPr>
      </w:pPr>
      <w:r w:rsidRPr="002225BC">
        <w:rPr>
          <w:rFonts w:ascii="Palatino Linotype" w:eastAsia="Calibri" w:hAnsi="Palatino Linotype"/>
          <w:b/>
          <w:sz w:val="21"/>
          <w:szCs w:val="21"/>
        </w:rPr>
        <w:br w:type="page"/>
      </w:r>
    </w:p>
    <w:p w:rsidR="002225BC" w:rsidRPr="002225BC" w:rsidRDefault="002225BC" w:rsidP="002225BC">
      <w:pPr>
        <w:tabs>
          <w:tab w:val="left" w:pos="567"/>
          <w:tab w:val="left" w:pos="993"/>
          <w:tab w:val="left" w:pos="1418"/>
          <w:tab w:val="left" w:pos="1843"/>
        </w:tabs>
        <w:autoSpaceDE w:val="0"/>
        <w:autoSpaceDN w:val="0"/>
        <w:adjustRightInd w:val="0"/>
        <w:jc w:val="center"/>
        <w:rPr>
          <w:rFonts w:ascii="Palatino Linotype" w:eastAsia="Calibri" w:hAnsi="Palatino Linotype"/>
          <w:b/>
          <w:sz w:val="21"/>
          <w:szCs w:val="21"/>
        </w:rPr>
      </w:pPr>
      <w:r w:rsidRPr="002225BC">
        <w:rPr>
          <w:rFonts w:ascii="Palatino Linotype" w:eastAsia="Calibri" w:hAnsi="Palatino Linotype"/>
          <w:b/>
          <w:sz w:val="21"/>
          <w:szCs w:val="21"/>
        </w:rPr>
        <w:t>ANEXO IV “TRATAMIENTO DE DATOS PERSONALES”</w:t>
      </w: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b/>
          <w:color w:val="000000"/>
          <w:sz w:val="21"/>
          <w:szCs w:val="21"/>
        </w:rPr>
      </w:pPr>
      <w:r w:rsidRPr="002225BC">
        <w:rPr>
          <w:rFonts w:ascii="Palatino Linotype" w:eastAsia="Calibri" w:hAnsi="Palatino Linotype"/>
          <w:b/>
          <w:color w:val="000000"/>
          <w:sz w:val="21"/>
          <w:szCs w:val="21"/>
        </w:rPr>
        <w:t>COLECTIVOS Y DATOS TRATADOS</w:t>
      </w: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jc w:val="both"/>
        <w:textAlignment w:val="baseline"/>
        <w:rPr>
          <w:rFonts w:ascii="Palatino Linotype" w:eastAsia="Times New Roman" w:hAnsi="Palatino Linotype"/>
          <w:sz w:val="21"/>
          <w:szCs w:val="21"/>
          <w:lang w:eastAsia="es-ES_tradnl"/>
        </w:rPr>
      </w:pPr>
      <w:r w:rsidRPr="002225BC">
        <w:rPr>
          <w:rFonts w:ascii="Palatino Linotype" w:eastAsia="Times New Roman" w:hAnsi="Palatino Linotype"/>
          <w:sz w:val="21"/>
          <w:szCs w:val="21"/>
          <w:lang w:eastAsia="es-ES_tradnl"/>
        </w:rPr>
        <w:tab/>
        <w:t>Las categorías de interesados/as cuyos datos serán tratados por el ENCARGADO DE TRATAMIENTO son las siguientes:</w:t>
      </w:r>
    </w:p>
    <w:p w:rsidR="002225BC" w:rsidRPr="002225BC" w:rsidRDefault="002225BC" w:rsidP="002225BC">
      <w:pPr>
        <w:tabs>
          <w:tab w:val="left" w:pos="567"/>
          <w:tab w:val="left" w:pos="993"/>
          <w:tab w:val="left" w:pos="1418"/>
          <w:tab w:val="left" w:pos="1843"/>
        </w:tabs>
        <w:jc w:val="both"/>
        <w:textAlignment w:val="baseline"/>
        <w:rPr>
          <w:rFonts w:ascii="Palatino Linotype" w:eastAsia="Times New Roman" w:hAnsi="Palatino Linotype"/>
          <w:sz w:val="21"/>
          <w:szCs w:val="21"/>
          <w:lang w:val="es-ES_tradnl" w:eastAsia="es-ES_tradnl"/>
        </w:rPr>
      </w:pPr>
    </w:p>
    <w:p w:rsidR="002225BC" w:rsidRPr="002225BC" w:rsidRDefault="002225BC" w:rsidP="002225BC">
      <w:pPr>
        <w:numPr>
          <w:ilvl w:val="0"/>
          <w:numId w:val="8"/>
        </w:numPr>
        <w:tabs>
          <w:tab w:val="left" w:pos="567"/>
          <w:tab w:val="left" w:pos="993"/>
          <w:tab w:val="left" w:pos="1418"/>
          <w:tab w:val="left" w:pos="1843"/>
        </w:tabs>
        <w:ind w:left="240"/>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Ciudadanos/as.</w:t>
      </w:r>
      <w:r w:rsidRPr="002225BC">
        <w:rPr>
          <w:rFonts w:ascii="Palatino Linotype" w:eastAsia="Times New Roman" w:hAnsi="Palatino Linotype"/>
          <w:sz w:val="21"/>
          <w:szCs w:val="21"/>
          <w:lang w:val="es-ES_tradnl" w:eastAsia="es-ES_tradnl"/>
        </w:rPr>
        <w:t> </w:t>
      </w:r>
    </w:p>
    <w:p w:rsidR="002225BC" w:rsidRPr="002225BC" w:rsidRDefault="002225BC" w:rsidP="002225BC">
      <w:pPr>
        <w:numPr>
          <w:ilvl w:val="0"/>
          <w:numId w:val="9"/>
        </w:numPr>
        <w:tabs>
          <w:tab w:val="left" w:pos="567"/>
          <w:tab w:val="left" w:pos="993"/>
          <w:tab w:val="left" w:pos="1418"/>
          <w:tab w:val="left" w:pos="1843"/>
        </w:tabs>
        <w:ind w:left="240"/>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Personas de contacto.</w:t>
      </w:r>
      <w:r w:rsidRPr="002225BC">
        <w:rPr>
          <w:rFonts w:ascii="Palatino Linotype" w:eastAsia="Times New Roman" w:hAnsi="Palatino Linotype"/>
          <w:sz w:val="21"/>
          <w:szCs w:val="21"/>
          <w:lang w:val="es-ES_tradnl" w:eastAsia="es-ES_tradnl"/>
        </w:rPr>
        <w:t> </w:t>
      </w:r>
    </w:p>
    <w:p w:rsidR="002225BC" w:rsidRPr="002225BC" w:rsidRDefault="002225BC" w:rsidP="002225BC">
      <w:pPr>
        <w:numPr>
          <w:ilvl w:val="0"/>
          <w:numId w:val="9"/>
        </w:numPr>
        <w:tabs>
          <w:tab w:val="left" w:pos="567"/>
          <w:tab w:val="left" w:pos="993"/>
          <w:tab w:val="left" w:pos="1418"/>
          <w:tab w:val="left" w:pos="1843"/>
        </w:tabs>
        <w:ind w:left="240"/>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Empleados/as.</w:t>
      </w:r>
      <w:r w:rsidRPr="002225BC">
        <w:rPr>
          <w:rFonts w:ascii="Palatino Linotype" w:eastAsia="Times New Roman" w:hAnsi="Palatino Linotype"/>
          <w:sz w:val="21"/>
          <w:szCs w:val="21"/>
          <w:lang w:val="es-ES_tradnl" w:eastAsia="es-ES_tradnl"/>
        </w:rPr>
        <w:t>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ab/>
        <w:t>Para la ejecución del contrato objeto de este pliego el Ayuntamiento pone a disposición de la entidad adjudicataria los siguientes tipos de datos:</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color w:val="000000"/>
          <w:sz w:val="21"/>
          <w:szCs w:val="21"/>
        </w:rPr>
      </w:pPr>
    </w:p>
    <w:p w:rsidR="002225BC" w:rsidRPr="002225BC" w:rsidRDefault="002225BC" w:rsidP="002225BC">
      <w:pPr>
        <w:numPr>
          <w:ilvl w:val="0"/>
          <w:numId w:val="3"/>
        </w:numPr>
        <w:tabs>
          <w:tab w:val="left" w:pos="567"/>
          <w:tab w:val="left" w:pos="993"/>
          <w:tab w:val="left" w:pos="1418"/>
          <w:tab w:val="left" w:pos="1843"/>
        </w:tabs>
        <w:ind w:left="240"/>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Datos identificativos (nombre y apellidos, NIF/DNI, dirección, teléfono, firma).</w:t>
      </w:r>
      <w:r w:rsidRPr="002225BC">
        <w:rPr>
          <w:rFonts w:ascii="Palatino Linotype" w:eastAsia="Times New Roman" w:hAnsi="Palatino Linotype"/>
          <w:sz w:val="21"/>
          <w:szCs w:val="21"/>
          <w:lang w:val="es-ES_tradnl" w:eastAsia="es-ES_tradnl"/>
        </w:rPr>
        <w:t> </w:t>
      </w:r>
    </w:p>
    <w:p w:rsidR="002225BC" w:rsidRPr="002225BC" w:rsidRDefault="002225BC" w:rsidP="002225BC">
      <w:pPr>
        <w:numPr>
          <w:ilvl w:val="0"/>
          <w:numId w:val="4"/>
        </w:numPr>
        <w:tabs>
          <w:tab w:val="left" w:pos="567"/>
          <w:tab w:val="left" w:pos="993"/>
          <w:tab w:val="left" w:pos="1418"/>
          <w:tab w:val="left" w:pos="1843"/>
        </w:tabs>
        <w:ind w:left="240"/>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Datos de circunstancias sociales características de alojamiento/vivienda, propiedades o posesiones, licencias, permisos o autorizaciones).</w:t>
      </w:r>
      <w:r w:rsidRPr="002225BC">
        <w:rPr>
          <w:rFonts w:ascii="Palatino Linotype" w:eastAsia="Times New Roman" w:hAnsi="Palatino Linotype"/>
          <w:sz w:val="21"/>
          <w:szCs w:val="21"/>
          <w:lang w:val="es-ES_tradnl" w:eastAsia="es-ES_tradnl"/>
        </w:rPr>
        <w:t> </w:t>
      </w:r>
    </w:p>
    <w:p w:rsidR="002225BC" w:rsidRPr="002225BC" w:rsidRDefault="002225BC" w:rsidP="002225BC">
      <w:pPr>
        <w:tabs>
          <w:tab w:val="left" w:pos="567"/>
          <w:tab w:val="left" w:pos="993"/>
          <w:tab w:val="left" w:pos="1418"/>
          <w:tab w:val="left" w:pos="1843"/>
        </w:tabs>
        <w:jc w:val="both"/>
        <w:textAlignment w:val="baseline"/>
        <w:rPr>
          <w:rFonts w:ascii="Palatino Linotype" w:eastAsia="Times New Roman" w:hAnsi="Palatino Linotype"/>
          <w:sz w:val="21"/>
          <w:szCs w:val="21"/>
          <w:lang w:eastAsia="es-ES_tradnl"/>
        </w:rPr>
      </w:pPr>
    </w:p>
    <w:p w:rsidR="002225BC" w:rsidRPr="002225BC" w:rsidRDefault="002225BC" w:rsidP="002225BC">
      <w:pPr>
        <w:tabs>
          <w:tab w:val="left" w:pos="567"/>
          <w:tab w:val="left" w:pos="993"/>
          <w:tab w:val="left" w:pos="1418"/>
          <w:tab w:val="left" w:pos="1843"/>
        </w:tabs>
        <w:jc w:val="both"/>
        <w:textAlignment w:val="baseline"/>
        <w:rPr>
          <w:rFonts w:ascii="Palatino Linotype" w:eastAsia="Times New Roman" w:hAnsi="Palatino Linotype"/>
          <w:sz w:val="21"/>
          <w:szCs w:val="21"/>
          <w:lang w:val="es-ES_tradnl" w:eastAsia="es-ES_tradnl"/>
        </w:rPr>
      </w:pPr>
      <w:r w:rsidRPr="002225BC">
        <w:rPr>
          <w:rFonts w:ascii="Palatino Linotype" w:eastAsia="Times New Roman" w:hAnsi="Palatino Linotype"/>
          <w:sz w:val="21"/>
          <w:szCs w:val="21"/>
          <w:lang w:eastAsia="es-ES_tradnl"/>
        </w:rPr>
        <w:tab/>
        <w:t xml:space="preserve">Este acceso se realizará en los locales del RESPONSABLE DEL TRATAMIENTO. Teniendo la prohibición expresa de incorporar los datos a sistemas y soportes distintos de los del RESPONSABLE DEL TRATAMIENTO sin el consentimiento de éste. </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jc w:val="both"/>
        <w:rPr>
          <w:rFonts w:ascii="Palatino Linotype" w:eastAsia="Calibri" w:hAnsi="Palatino Linotype"/>
          <w:b/>
          <w:color w:val="000000"/>
          <w:sz w:val="21"/>
          <w:szCs w:val="21"/>
        </w:rPr>
      </w:pPr>
      <w:r w:rsidRPr="002225BC">
        <w:rPr>
          <w:rFonts w:ascii="Palatino Linotype" w:eastAsia="Calibri" w:hAnsi="Palatino Linotype"/>
          <w:b/>
          <w:color w:val="000000"/>
          <w:sz w:val="21"/>
          <w:szCs w:val="21"/>
        </w:rPr>
        <w:t>MEDIDAS DE SEGURIDAD</w:t>
      </w:r>
    </w:p>
    <w:p w:rsidR="002225BC" w:rsidRPr="002225BC" w:rsidRDefault="002225BC" w:rsidP="002225BC">
      <w:pPr>
        <w:tabs>
          <w:tab w:val="left" w:pos="567"/>
          <w:tab w:val="left" w:pos="993"/>
          <w:tab w:val="left" w:pos="1418"/>
          <w:tab w:val="left" w:pos="1843"/>
        </w:tabs>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ab/>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Identificación y autenticación en los sistemas de tratamiento: Denegación, a las personas no autorizadas, al acceso a cualesquiera sistemas de tratamiento vinculados al tratamiento de los datos de carácter personal.</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Gestión de soportes: Implementación de medidas orientadas a impedir la lectura, modificación, copia o sustracción de soportes sin autorización.</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Control de acceso a los datos: Garantizar que el personal autorizado tiene acceso únicamente a los datos correspondientes a su rol o perfil de usuario. Establecer un sistema de gestión de usuarios.</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 xml:space="preserve">Sistema de copias de seguridad que permita garantizar la disponibilidad y la resilencia de los sistemas </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Establecer un procedimiento de control para garantizar la protección de la información, mediante la revisión, valoración y evaluación periódica de la efectividad de las medidas técnicas y organizativas y así garantizar la seguridad del tratamiento.</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Emitir instrucciones de trabajo al personal que tiene acceso a los datos personales para garantizar que se tratan conforme con la normativa de protección de datos, en las instrucciones se incluirán las medidas técnicas y organizativas.</w:t>
      </w:r>
    </w:p>
    <w:p w:rsidR="002225BC" w:rsidRPr="002225BC" w:rsidRDefault="002225BC" w:rsidP="002225BC">
      <w:pPr>
        <w:numPr>
          <w:ilvl w:val="0"/>
          <w:numId w:val="7"/>
        </w:num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 xml:space="preserve">Registro de modificaciones: Medidas que permitan identificar qué datos se han modificado, por quien, y en qué momento. </w:t>
      </w: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p>
    <w:p w:rsidR="002225BC" w:rsidRPr="002225BC" w:rsidRDefault="002225BC" w:rsidP="002225BC">
      <w:pPr>
        <w:tabs>
          <w:tab w:val="left" w:pos="567"/>
          <w:tab w:val="left" w:pos="993"/>
          <w:tab w:val="left" w:pos="1418"/>
          <w:tab w:val="left" w:pos="1843"/>
        </w:tabs>
        <w:autoSpaceDE w:val="0"/>
        <w:autoSpaceDN w:val="0"/>
        <w:adjustRightInd w:val="0"/>
        <w:jc w:val="both"/>
        <w:rPr>
          <w:rFonts w:ascii="Palatino Linotype" w:eastAsia="Calibri" w:hAnsi="Palatino Linotype"/>
          <w:color w:val="000000"/>
          <w:sz w:val="21"/>
          <w:szCs w:val="21"/>
        </w:rPr>
      </w:pPr>
      <w:r w:rsidRPr="002225BC">
        <w:rPr>
          <w:rFonts w:ascii="Palatino Linotype" w:eastAsia="Calibri" w:hAnsi="Palatino Linotype"/>
          <w:color w:val="000000"/>
          <w:sz w:val="21"/>
          <w:szCs w:val="21"/>
        </w:rPr>
        <w:tab/>
        <w:t>Mediante el empleo de un análisis de riesgos o evaluación de impacto, la entidad adjudicataria no dejará de implementar las medidas indicadas, salvo que, previamente justifique, ante el Ayuntamiento, la no necesidad de aplicarlas y obtenga la aprobación expresa.</w:t>
      </w:r>
    </w:p>
    <w:p w:rsidR="002225BC" w:rsidRPr="002225BC" w:rsidRDefault="002225BC" w:rsidP="002225BC">
      <w:pPr>
        <w:tabs>
          <w:tab w:val="left" w:pos="567"/>
          <w:tab w:val="left" w:pos="993"/>
          <w:tab w:val="left" w:pos="1418"/>
          <w:tab w:val="left" w:pos="1843"/>
        </w:tabs>
        <w:rPr>
          <w:rFonts w:ascii="Palatino Linotype" w:eastAsia="Calibri" w:hAnsi="Palatino Linotype"/>
          <w:sz w:val="21"/>
          <w:szCs w:val="21"/>
        </w:rPr>
      </w:pPr>
    </w:p>
    <w:p w:rsidR="002225BC" w:rsidRPr="002225BC" w:rsidRDefault="002225BC" w:rsidP="002225BC">
      <w:pPr>
        <w:spacing w:after="200" w:line="276" w:lineRule="auto"/>
        <w:rPr>
          <w:rFonts w:ascii="Palatino Linotype" w:eastAsia="Calibri" w:hAnsi="Palatino Linotype"/>
          <w:sz w:val="21"/>
          <w:szCs w:val="21"/>
        </w:rPr>
      </w:pPr>
      <w:r w:rsidRPr="002225BC">
        <w:rPr>
          <w:rFonts w:ascii="Palatino Linotype" w:eastAsia="Calibri" w:hAnsi="Palatino Linotype"/>
          <w:sz w:val="21"/>
          <w:szCs w:val="21"/>
        </w:rPr>
        <w:br w:type="page"/>
      </w:r>
    </w:p>
    <w:p w:rsidR="002225BC" w:rsidRPr="002225BC" w:rsidRDefault="002225BC" w:rsidP="002225BC">
      <w:pPr>
        <w:pBdr>
          <w:top w:val="single" w:sz="4" w:space="1" w:color="auto"/>
          <w:left w:val="single" w:sz="4" w:space="4" w:color="auto"/>
          <w:bottom w:val="single" w:sz="4" w:space="1" w:color="auto"/>
          <w:right w:val="single" w:sz="4" w:space="4" w:color="auto"/>
        </w:pBdr>
        <w:tabs>
          <w:tab w:val="left" w:pos="567"/>
          <w:tab w:val="left" w:pos="992"/>
          <w:tab w:val="left" w:pos="1417"/>
          <w:tab w:val="left" w:pos="1843"/>
        </w:tabs>
        <w:autoSpaceDE w:val="0"/>
        <w:autoSpaceDN w:val="0"/>
        <w:adjustRightInd w:val="0"/>
        <w:jc w:val="both"/>
        <w:rPr>
          <w:rFonts w:ascii="Palatino Linotype" w:eastAsia="Times New Roman" w:hAnsi="Palatino Linotype" w:cs="Arial"/>
          <w:b/>
          <w:bCs/>
          <w:sz w:val="22"/>
          <w:szCs w:val="21"/>
          <w:lang w:val="es-ES_tradnl" w:eastAsia="es-ES"/>
        </w:rPr>
      </w:pPr>
      <w:r w:rsidRPr="002225BC">
        <w:rPr>
          <w:rFonts w:ascii="Palatino Linotype" w:eastAsia="Calibri" w:hAnsi="Palatino Linotype"/>
          <w:b/>
          <w:sz w:val="21"/>
          <w:szCs w:val="21"/>
        </w:rPr>
        <w:t>II.- CLÁUSULAS TÉCNICAS QUE HAN DE REGIR LA CONTRATACIÓN DEL SERVICIO DE REVISIÓN Y MANTENIMIENTO DE LOS EQUIPOS DE PROTECCIÓN CONTRA INCENDIOS DE LAS DEPENDENCIAS MUNICIPALES.</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 xml:space="preserve">Constituye el objeto del presente documento el establecimiento de las condiciones técnicas particulares que han de regir el contrato de revisión y mantenimiento de los equipos de protección contra incendios de los siguientes edificios: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 xml:space="preserve"> </w:t>
      </w:r>
      <w:r w:rsidRPr="002225BC">
        <w:rPr>
          <w:rFonts w:ascii="Palatino Linotype" w:eastAsia="Calibri" w:hAnsi="Palatino Linotype"/>
          <w:sz w:val="21"/>
          <w:szCs w:val="21"/>
        </w:rPr>
        <w:tab/>
        <w:t>1.-Gestionados por el Ayuntamiento de Altsasu/Alsasua: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-Casa Consistorial</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-Centro cultural Iortia</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-Edificio Lavadero: Ludoteca, Juzgado, Gimnasio</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-Colegio Público Zelandi</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-Escuela Infantil Txirinbulo</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-Casa de cultura Gure-Etxea</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-Nave Brigada Municipal</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 xml:space="preserve">-Casa de la juventud Intxostiapunta </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-Almacén Policía Municipal</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2.-Gestionados por Atabo Altsasu S.L: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-Complejo deportivo Zelandi</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-Complejo deportivo Dantzaleku</w:t>
      </w: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-Frontón y Bar Burunda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3. -Gestionado por el Patronato Escuela de Música y Danza: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t>-Escuela de música en Intxostiapunta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4.- Gestionado por el Patronato de la residencia “Aita Barandiaran”: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t>-Residencia Aita Barandiaran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5.- Gestionado por Mancomunidad de Servicios sociales de base de Alsasua, Olazagutia y Ziordia:</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r>
      <w:r w:rsidRPr="002225BC">
        <w:rPr>
          <w:rFonts w:ascii="Palatino Linotype" w:eastAsia="Calibri" w:hAnsi="Palatino Linotype"/>
          <w:sz w:val="21"/>
          <w:szCs w:val="21"/>
        </w:rPr>
        <w:tab/>
        <w:t>-Oficinas de Mancomunidad de Servicios sociales de base en edificio Lavadero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 xml:space="preserve">La empresa adjudicataria planificará y realizará las revisiones según el Programa de mantenimiento establecido en el Anexo II del Reglamento de Instalaciones de Protección Contra Incendios (Real Decreto 513/2017, de 22 de mayo, BOE nº 139 de 12 de junio de 2017) de todos los elementos indicados en el Anexo VI.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 xml:space="preserve">La empresa adjudicataria deberá estar habilitada como empresa instaladora y mantenedora de instalaciones de protección contra incendios conforme al Real Decreto 513/2017. Las empresas licitadoras deberán justificar las mencionadas habilitaciones mediante declaración responsable. La empresa deberá cumplir las obligaciones determinadas por dicho Reglamento.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Proceso a seguir en cada revisión:</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numPr>
          <w:ilvl w:val="0"/>
          <w:numId w:val="16"/>
        </w:num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Con al menos una semana de antelación, la empresa mantenedora comunicará por correo electrónico a los diferentes gestores la propuesta de calendario de las revisiones, y el calendario definitivo será consensuado por ambas partes.</w:t>
      </w:r>
    </w:p>
    <w:p w:rsidR="002225BC" w:rsidRPr="002225BC" w:rsidRDefault="002225BC" w:rsidP="002225BC">
      <w:pPr>
        <w:tabs>
          <w:tab w:val="left" w:pos="567"/>
          <w:tab w:val="left" w:pos="992"/>
          <w:tab w:val="left" w:pos="1417"/>
          <w:tab w:val="left" w:pos="1843"/>
        </w:tabs>
        <w:suppressAutoHyphens/>
        <w:ind w:left="897"/>
        <w:jc w:val="both"/>
        <w:rPr>
          <w:rFonts w:ascii="Palatino Linotype" w:eastAsia="Calibri" w:hAnsi="Palatino Linotype"/>
          <w:sz w:val="21"/>
          <w:szCs w:val="21"/>
        </w:rPr>
      </w:pPr>
    </w:p>
    <w:p w:rsidR="002225BC" w:rsidRPr="002225BC" w:rsidRDefault="002225BC" w:rsidP="002225BC">
      <w:pPr>
        <w:numPr>
          <w:ilvl w:val="0"/>
          <w:numId w:val="16"/>
        </w:num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 xml:space="preserve">Las operaciones de revisión y mantenimiento deberán efectuarse en el horario en el que el centro permanezca abierto y sin interferir en las actividades de cada uno de ellos.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numPr>
          <w:ilvl w:val="0"/>
          <w:numId w:val="16"/>
        </w:num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Revisión: Se realizarán las revisiones según el calendario establecido. En caso de ser necesario recargar, retimbrar, realizar prueba de presión o reparar algún elemento, en el momento de llevárselo se dejará otro de la misma calidad y características, hasta que se reponga el elemento original.</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Si es necesario reparar o sustituir algún equipo de forma definitiva, será previo presupuesto y autorización del Área correspondiente y el nuevo equipo deberá ser al menos, de la misma calidad y características que el sustituido.</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ind w:left="567"/>
        <w:jc w:val="both"/>
        <w:rPr>
          <w:rFonts w:ascii="Palatino Linotype" w:eastAsia="Calibri" w:hAnsi="Palatino Linotype"/>
          <w:sz w:val="21"/>
          <w:szCs w:val="21"/>
        </w:rPr>
      </w:pPr>
      <w:r w:rsidRPr="002225BC">
        <w:rPr>
          <w:rFonts w:ascii="Palatino Linotype" w:eastAsia="Calibri" w:hAnsi="Palatino Linotype"/>
          <w:sz w:val="21"/>
          <w:szCs w:val="21"/>
        </w:rPr>
        <w:tab/>
        <w:t xml:space="preserve">El personal de la empresa adjudicataria deberá estar identificado perfectamente como trabajadores de dicha empresa.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numPr>
          <w:ilvl w:val="0"/>
          <w:numId w:val="16"/>
        </w:num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 xml:space="preserve">Tras las revisiones, además de emitir el certificado de mantenimiento periódico, la empresa adjudicataria remitirá a cada gestor el listado actualizado de los equipos de cada edificio con sus características. </w:t>
      </w: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both"/>
        <w:rPr>
          <w:rFonts w:ascii="Palatino Linotype" w:eastAsia="Calibri" w:hAnsi="Palatino Linotype"/>
          <w:sz w:val="21"/>
          <w:szCs w:val="21"/>
        </w:rPr>
      </w:pPr>
      <w:r w:rsidRPr="002225BC">
        <w:rPr>
          <w:rFonts w:ascii="Palatino Linotype" w:eastAsia="Calibri" w:hAnsi="Palatino Linotype"/>
          <w:sz w:val="21"/>
          <w:szCs w:val="21"/>
        </w:rPr>
        <w:tab/>
        <w:t xml:space="preserve">Anualmente, en el mes de octubre, la empresa adjudicataria deberá remitir el plan de las operaciones de revisión y mantenimiento para cada edificio para el ejercicio siguiente y su presupuesto. </w:t>
      </w:r>
    </w:p>
    <w:p w:rsidR="002225BC" w:rsidRPr="002225BC" w:rsidRDefault="002225BC" w:rsidP="002225BC">
      <w:pPr>
        <w:tabs>
          <w:tab w:val="left" w:pos="567"/>
          <w:tab w:val="left" w:pos="992"/>
          <w:tab w:val="left" w:pos="1417"/>
          <w:tab w:val="left" w:pos="1843"/>
        </w:tabs>
        <w:suppressAutoHyphens/>
        <w:jc w:val="center"/>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center"/>
        <w:rPr>
          <w:rFonts w:ascii="Palatino Linotype" w:eastAsia="Calibri" w:hAnsi="Palatino Linotype"/>
          <w:sz w:val="21"/>
          <w:szCs w:val="21"/>
        </w:rPr>
      </w:pPr>
    </w:p>
    <w:p w:rsidR="002225BC" w:rsidRPr="002225BC" w:rsidRDefault="002225BC" w:rsidP="002225BC">
      <w:pPr>
        <w:spacing w:after="200" w:line="276" w:lineRule="auto"/>
        <w:rPr>
          <w:rFonts w:ascii="Palatino Linotype" w:eastAsia="Calibri" w:hAnsi="Palatino Linotype"/>
          <w:sz w:val="21"/>
          <w:szCs w:val="21"/>
        </w:rPr>
      </w:pPr>
      <w:r w:rsidRPr="002225BC">
        <w:rPr>
          <w:rFonts w:ascii="Palatino Linotype" w:eastAsia="Calibri" w:hAnsi="Palatino Linotype"/>
          <w:sz w:val="21"/>
          <w:szCs w:val="21"/>
        </w:rPr>
        <w:br w:type="page"/>
      </w:r>
    </w:p>
    <w:p w:rsidR="002225BC" w:rsidRPr="002225BC" w:rsidRDefault="002225BC" w:rsidP="002225BC">
      <w:pPr>
        <w:spacing w:before="52"/>
        <w:ind w:left="868" w:right="199"/>
        <w:jc w:val="center"/>
        <w:rPr>
          <w:rFonts w:ascii="Palatino Linotype" w:eastAsia="Calibri" w:hAnsi="Palatino Linotype"/>
          <w:b/>
          <w:sz w:val="24"/>
          <w:szCs w:val="22"/>
        </w:rPr>
      </w:pPr>
      <w:r w:rsidRPr="002225BC">
        <w:rPr>
          <w:rFonts w:ascii="Palatino Linotype" w:eastAsia="Calibri" w:hAnsi="Palatino Linotype"/>
          <w:b/>
          <w:sz w:val="24"/>
          <w:szCs w:val="22"/>
        </w:rPr>
        <w:t xml:space="preserve">ANEXO </w:t>
      </w:r>
    </w:p>
    <w:p w:rsidR="002225BC" w:rsidRPr="002225BC" w:rsidRDefault="002225BC" w:rsidP="002225BC">
      <w:pPr>
        <w:tabs>
          <w:tab w:val="left" w:pos="3337"/>
          <w:tab w:val="right" w:leader="dot" w:pos="9656"/>
        </w:tabs>
        <w:spacing w:before="8" w:line="360" w:lineRule="auto"/>
        <w:jc w:val="both"/>
        <w:rPr>
          <w:rFonts w:ascii="Palatino Linotype" w:eastAsia="Times New Roman" w:hAnsi="Palatino Linotype"/>
          <w:b/>
          <w:lang w:eastAsia="es-ES"/>
        </w:rPr>
      </w:pPr>
    </w:p>
    <w:p w:rsidR="002225BC" w:rsidRPr="002225BC" w:rsidRDefault="002225BC" w:rsidP="002225BC">
      <w:pPr>
        <w:ind w:left="868" w:right="662"/>
        <w:jc w:val="center"/>
        <w:rPr>
          <w:rFonts w:ascii="Palatino Linotype" w:eastAsia="Calibri" w:hAnsi="Palatino Linotype"/>
          <w:b/>
          <w:sz w:val="24"/>
          <w:szCs w:val="22"/>
        </w:rPr>
      </w:pPr>
      <w:r w:rsidRPr="002225BC">
        <w:rPr>
          <w:rFonts w:ascii="Palatino Linotype" w:eastAsia="Calibri" w:hAnsi="Palatino Linotype"/>
          <w:b/>
          <w:sz w:val="24"/>
          <w:szCs w:val="22"/>
        </w:rPr>
        <w:t>LISTADO</w:t>
      </w:r>
      <w:r w:rsidRPr="002225BC">
        <w:rPr>
          <w:rFonts w:ascii="Palatino Linotype" w:eastAsia="Calibri" w:hAnsi="Palatino Linotype"/>
          <w:b/>
          <w:spacing w:val="-1"/>
          <w:sz w:val="24"/>
          <w:szCs w:val="22"/>
        </w:rPr>
        <w:t xml:space="preserve"> </w:t>
      </w:r>
      <w:r w:rsidRPr="002225BC">
        <w:rPr>
          <w:rFonts w:ascii="Palatino Linotype" w:eastAsia="Calibri" w:hAnsi="Palatino Linotype"/>
          <w:b/>
          <w:sz w:val="24"/>
          <w:szCs w:val="22"/>
        </w:rPr>
        <w:t>DE</w:t>
      </w:r>
      <w:r w:rsidRPr="002225BC">
        <w:rPr>
          <w:rFonts w:ascii="Palatino Linotype" w:eastAsia="Calibri" w:hAnsi="Palatino Linotype"/>
          <w:b/>
          <w:spacing w:val="-1"/>
          <w:sz w:val="24"/>
          <w:szCs w:val="22"/>
        </w:rPr>
        <w:t xml:space="preserve"> </w:t>
      </w:r>
      <w:r w:rsidRPr="002225BC">
        <w:rPr>
          <w:rFonts w:ascii="Palatino Linotype" w:eastAsia="Calibri" w:hAnsi="Palatino Linotype"/>
          <w:b/>
          <w:sz w:val="24"/>
          <w:szCs w:val="22"/>
        </w:rPr>
        <w:t>EQUIPOS</w:t>
      </w:r>
      <w:r w:rsidRPr="002225BC">
        <w:rPr>
          <w:rFonts w:ascii="Palatino Linotype" w:eastAsia="Calibri" w:hAnsi="Palatino Linotype"/>
          <w:b/>
          <w:spacing w:val="-2"/>
          <w:sz w:val="24"/>
          <w:szCs w:val="22"/>
        </w:rPr>
        <w:t xml:space="preserve"> </w:t>
      </w:r>
      <w:r w:rsidRPr="002225BC">
        <w:rPr>
          <w:rFonts w:ascii="Palatino Linotype" w:eastAsia="Calibri" w:hAnsi="Palatino Linotype"/>
          <w:b/>
          <w:sz w:val="24"/>
          <w:szCs w:val="22"/>
        </w:rPr>
        <w:t>A</w:t>
      </w:r>
      <w:r w:rsidRPr="002225BC">
        <w:rPr>
          <w:rFonts w:ascii="Palatino Linotype" w:eastAsia="Calibri" w:hAnsi="Palatino Linotype"/>
          <w:b/>
          <w:spacing w:val="-4"/>
          <w:sz w:val="24"/>
          <w:szCs w:val="22"/>
        </w:rPr>
        <w:t xml:space="preserve"> </w:t>
      </w:r>
      <w:r w:rsidRPr="002225BC">
        <w:rPr>
          <w:rFonts w:ascii="Palatino Linotype" w:eastAsia="Calibri" w:hAnsi="Palatino Linotype"/>
          <w:b/>
          <w:sz w:val="24"/>
          <w:szCs w:val="22"/>
        </w:rPr>
        <w:t>REVISAR</w:t>
      </w:r>
      <w:r w:rsidRPr="002225BC">
        <w:rPr>
          <w:rFonts w:ascii="Palatino Linotype" w:eastAsia="Calibri" w:hAnsi="Palatino Linotype"/>
          <w:b/>
          <w:spacing w:val="-2"/>
          <w:sz w:val="24"/>
          <w:szCs w:val="22"/>
        </w:rPr>
        <w:t xml:space="preserve"> </w:t>
      </w:r>
      <w:r w:rsidRPr="002225BC">
        <w:rPr>
          <w:rFonts w:ascii="Palatino Linotype" w:eastAsia="Calibri" w:hAnsi="Palatino Linotype"/>
          <w:b/>
          <w:sz w:val="24"/>
          <w:szCs w:val="22"/>
        </w:rPr>
        <w:t>POR EDIFICIOS</w:t>
      </w:r>
    </w:p>
    <w:p w:rsidR="002225BC" w:rsidRPr="002225BC" w:rsidRDefault="002225BC" w:rsidP="002225BC">
      <w:pPr>
        <w:ind w:left="868" w:right="662"/>
        <w:jc w:val="center"/>
        <w:rPr>
          <w:rFonts w:ascii="Palatino Linotype" w:eastAsia="Calibri" w:hAnsi="Palatino Linotype"/>
          <w:b/>
          <w:sz w:val="24"/>
          <w:szCs w:val="22"/>
        </w:rPr>
      </w:pPr>
    </w:p>
    <w:p w:rsidR="002225BC" w:rsidRPr="002225BC" w:rsidRDefault="002225BC" w:rsidP="002225BC">
      <w:pPr>
        <w:tabs>
          <w:tab w:val="left" w:pos="567"/>
          <w:tab w:val="left" w:pos="992"/>
          <w:tab w:val="left" w:pos="1417"/>
          <w:tab w:val="left" w:pos="1843"/>
        </w:tabs>
        <w:suppressAutoHyphens/>
        <w:jc w:val="center"/>
        <w:rPr>
          <w:rFonts w:ascii="Palatino Linotype" w:eastAsia="Calibri" w:hAnsi="Palatino Linotype"/>
          <w:sz w:val="21"/>
          <w:szCs w:val="21"/>
        </w:rPr>
      </w:pPr>
    </w:p>
    <w:p w:rsidR="002225BC" w:rsidRPr="002225BC" w:rsidRDefault="002225BC" w:rsidP="002225BC">
      <w:pPr>
        <w:tabs>
          <w:tab w:val="left" w:pos="567"/>
          <w:tab w:val="left" w:pos="992"/>
          <w:tab w:val="left" w:pos="1417"/>
          <w:tab w:val="left" w:pos="1843"/>
        </w:tabs>
        <w:suppressAutoHyphens/>
        <w:jc w:val="center"/>
        <w:rPr>
          <w:rFonts w:ascii="Palatino Linotype" w:eastAsia="Calibri" w:hAnsi="Palatino Linotype"/>
          <w:sz w:val="21"/>
          <w:szCs w:val="21"/>
        </w:rPr>
      </w:pPr>
      <w:r w:rsidRPr="002225BC">
        <w:rPr>
          <w:rFonts w:eastAsia="Calibri"/>
          <w:noProof/>
          <w:sz w:val="24"/>
          <w:szCs w:val="22"/>
          <w:lang w:eastAsia="es-ES"/>
        </w:rPr>
        <w:drawing>
          <wp:inline distT="0" distB="0" distL="0" distR="0" wp14:anchorId="6B3FEFFE" wp14:editId="0EE6CC8D">
            <wp:extent cx="5759450" cy="585045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5850457"/>
                    </a:xfrm>
                    <a:prstGeom prst="rect">
                      <a:avLst/>
                    </a:prstGeom>
                    <a:noFill/>
                    <a:ln>
                      <a:noFill/>
                    </a:ln>
                  </pic:spPr>
                </pic:pic>
              </a:graphicData>
            </a:graphic>
          </wp:inline>
        </w:drawing>
      </w:r>
    </w:p>
    <w:p w:rsidR="005F4E2E" w:rsidRDefault="005F4E2E" w:rsidP="00EA2422"/>
    <w:sectPr w:rsidR="005F4E2E" w:rsidSect="002225BC">
      <w:headerReference w:type="default" r:id="rId11"/>
      <w:footerReference w:type="default" r:id="rId12"/>
      <w:pgSz w:w="11906" w:h="16838" w:code="9"/>
      <w:pgMar w:top="2552" w:right="1418" w:bottom="1134"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E2E" w:rsidRDefault="005F4E2E" w:rsidP="00323CA9">
      <w:r>
        <w:separator/>
      </w:r>
    </w:p>
  </w:endnote>
  <w:endnote w:type="continuationSeparator" w:id="0">
    <w:p w:rsidR="005F4E2E" w:rsidRDefault="005F4E2E"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enturyGothic">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3" w:name="DirecPie1" w:displacedByCustomXml="next"/>
  <w:bookmarkEnd w:id="3" w:displacedByCustomXml="next"/>
  <w:sdt>
    <w:sdtPr>
      <w:id w:val="-1392880602"/>
      <w:docPartObj>
        <w:docPartGallery w:val="Page Numbers (Bottom of Page)"/>
        <w:docPartUnique/>
      </w:docPartObj>
    </w:sdtPr>
    <w:sdtEndPr/>
    <w:sdtContent>
      <w:p w:rsidR="005F4E2E" w:rsidRDefault="005F4E2E">
        <w:pPr>
          <w:pStyle w:val="Piedepgina"/>
          <w:jc w:val="right"/>
        </w:pPr>
        <w:r w:rsidRPr="002225BC">
          <w:rPr>
            <w:rFonts w:ascii="Palatino Linotype" w:hAnsi="Palatino Linotype"/>
            <w:sz w:val="18"/>
          </w:rPr>
          <w:fldChar w:fldCharType="begin"/>
        </w:r>
        <w:r w:rsidRPr="002225BC">
          <w:rPr>
            <w:rFonts w:ascii="Palatino Linotype" w:hAnsi="Palatino Linotype"/>
            <w:sz w:val="18"/>
          </w:rPr>
          <w:instrText>PAGE   \* MERGEFORMAT</w:instrText>
        </w:r>
        <w:r w:rsidRPr="002225BC">
          <w:rPr>
            <w:rFonts w:ascii="Palatino Linotype" w:hAnsi="Palatino Linotype"/>
            <w:sz w:val="18"/>
          </w:rPr>
          <w:fldChar w:fldCharType="separate"/>
        </w:r>
        <w:r w:rsidR="00492E7B">
          <w:rPr>
            <w:rFonts w:ascii="Palatino Linotype" w:hAnsi="Palatino Linotype"/>
            <w:noProof/>
            <w:sz w:val="18"/>
          </w:rPr>
          <w:t>1</w:t>
        </w:r>
        <w:r w:rsidRPr="002225BC">
          <w:rPr>
            <w:rFonts w:ascii="Palatino Linotype" w:hAnsi="Palatino Linotype"/>
            <w:sz w:val="18"/>
          </w:rPr>
          <w:fldChar w:fldCharType="end"/>
        </w:r>
      </w:p>
    </w:sdtContent>
  </w:sdt>
  <w:p w:rsidR="005F4E2E" w:rsidRDefault="005F4E2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E2E" w:rsidRDefault="005F4E2E" w:rsidP="00323CA9">
      <w:r>
        <w:separator/>
      </w:r>
    </w:p>
  </w:footnote>
  <w:footnote w:type="continuationSeparator" w:id="0">
    <w:p w:rsidR="005F4E2E" w:rsidRDefault="005F4E2E" w:rsidP="0032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08" w:type="dxa"/>
      <w:tblInd w:w="-905" w:type="dxa"/>
      <w:tblLook w:val="01E0" w:firstRow="1" w:lastRow="1" w:firstColumn="1" w:lastColumn="1" w:noHBand="0" w:noVBand="0"/>
    </w:tblPr>
    <w:tblGrid>
      <w:gridCol w:w="1813"/>
      <w:gridCol w:w="5093"/>
      <w:gridCol w:w="4002"/>
    </w:tblGrid>
    <w:tr w:rsidR="005F4E2E" w:rsidRPr="00575221" w:rsidTr="005F4E2E">
      <w:trPr>
        <w:trHeight w:val="1875"/>
      </w:trPr>
      <w:tc>
        <w:tcPr>
          <w:tcW w:w="1813" w:type="dxa"/>
          <w:shd w:val="clear" w:color="auto" w:fill="auto"/>
          <w:vAlign w:val="center"/>
        </w:tcPr>
        <w:p w:rsidR="005F4E2E" w:rsidRDefault="005F4E2E" w:rsidP="005F4E2E">
          <w:pPr>
            <w:jc w:val="right"/>
          </w:pPr>
          <w:r>
            <w:rPr>
              <w:noProof/>
              <w:lang w:eastAsia="es-ES"/>
            </w:rPr>
            <w:drawing>
              <wp:inline distT="0" distB="0" distL="0" distR="0">
                <wp:extent cx="1009650" cy="1143000"/>
                <wp:effectExtent l="0" t="0" r="0" b="0"/>
                <wp:docPr id="2"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143000"/>
                        </a:xfrm>
                        <a:prstGeom prst="rect">
                          <a:avLst/>
                        </a:prstGeom>
                        <a:noFill/>
                        <a:ln>
                          <a:noFill/>
                        </a:ln>
                      </pic:spPr>
                    </pic:pic>
                  </a:graphicData>
                </a:graphic>
              </wp:inline>
            </w:drawing>
          </w:r>
        </w:p>
      </w:tc>
      <w:tc>
        <w:tcPr>
          <w:tcW w:w="5093" w:type="dxa"/>
          <w:shd w:val="clear" w:color="auto" w:fill="auto"/>
        </w:tcPr>
        <w:p w:rsidR="005F4E2E" w:rsidRDefault="005F4E2E" w:rsidP="005F4E2E"/>
        <w:p w:rsidR="005F4E2E" w:rsidRPr="00167EF2" w:rsidRDefault="005F4E2E" w:rsidP="005F4E2E">
          <w:pPr>
            <w:jc w:val="both"/>
            <w:rPr>
              <w:rFonts w:ascii="Palatino Linotype" w:hAnsi="Palatino Linotype"/>
              <w:b/>
              <w:color w:val="993300"/>
            </w:rPr>
          </w:pPr>
        </w:p>
        <w:p w:rsidR="005F4E2E" w:rsidRPr="00167EF2" w:rsidRDefault="005F4E2E" w:rsidP="005F4E2E">
          <w:pPr>
            <w:jc w:val="both"/>
            <w:rPr>
              <w:rFonts w:ascii="Palatino Linotype" w:hAnsi="Palatino Linotype"/>
              <w:b/>
              <w:color w:val="993300"/>
            </w:rPr>
          </w:pPr>
        </w:p>
        <w:p w:rsidR="005F4E2E" w:rsidRPr="00167EF2" w:rsidRDefault="005F4E2E" w:rsidP="005F4E2E">
          <w:pPr>
            <w:jc w:val="both"/>
            <w:rPr>
              <w:rFonts w:ascii="Palatino Linotype" w:hAnsi="Palatino Linotype"/>
              <w:i/>
              <w:color w:val="999999"/>
              <w:sz w:val="21"/>
              <w:szCs w:val="21"/>
            </w:rPr>
          </w:pPr>
          <w:r w:rsidRPr="00167EF2">
            <w:rPr>
              <w:rFonts w:ascii="Palatino Linotype" w:hAnsi="Palatino Linotype"/>
              <w:b/>
              <w:color w:val="993300"/>
              <w:sz w:val="21"/>
              <w:szCs w:val="21"/>
            </w:rPr>
            <w:t>Altsasuko Udala</w:t>
          </w:r>
          <w:r w:rsidRPr="00167EF2">
            <w:rPr>
              <w:rFonts w:ascii="Palatino Linotype" w:hAnsi="Palatino Linotype"/>
              <w:i/>
              <w:color w:val="999999"/>
              <w:sz w:val="21"/>
              <w:szCs w:val="21"/>
            </w:rPr>
            <w:t xml:space="preserve"> </w:t>
          </w:r>
        </w:p>
        <w:p w:rsidR="005F4E2E" w:rsidRPr="00167EF2" w:rsidRDefault="005F4E2E" w:rsidP="005F4E2E">
          <w:pPr>
            <w:jc w:val="both"/>
            <w:rPr>
              <w:rFonts w:ascii="Palatino Linotype" w:hAnsi="Palatino Linotype"/>
              <w:color w:val="333333"/>
              <w:sz w:val="14"/>
            </w:rPr>
          </w:pPr>
          <w:r w:rsidRPr="00167EF2">
            <w:rPr>
              <w:rFonts w:ascii="Palatino Linotype" w:hAnsi="Palatino Linotype"/>
              <w:i/>
              <w:color w:val="333333"/>
              <w:sz w:val="21"/>
              <w:szCs w:val="21"/>
            </w:rPr>
            <w:t>Ayuntamiento de Alsasua</w:t>
          </w:r>
          <w:r w:rsidRPr="00167EF2">
            <w:rPr>
              <w:rFonts w:ascii="Palatino Linotype" w:hAnsi="Palatino Linotype"/>
              <w:color w:val="333333"/>
              <w:sz w:val="14"/>
            </w:rPr>
            <w:t xml:space="preserve"> </w:t>
          </w:r>
        </w:p>
        <w:p w:rsidR="005F4E2E" w:rsidRPr="00167EF2" w:rsidRDefault="005F4E2E" w:rsidP="005F4E2E">
          <w:pPr>
            <w:jc w:val="both"/>
            <w:rPr>
              <w:i/>
              <w:color w:val="999999"/>
            </w:rPr>
          </w:pPr>
          <w:r w:rsidRPr="00167EF2">
            <w:rPr>
              <w:rFonts w:ascii="Palatino Linotype" w:hAnsi="Palatino Linotype"/>
              <w:color w:val="333333"/>
              <w:sz w:val="16"/>
            </w:rPr>
            <w:t xml:space="preserve">I.F.K. / </w:t>
          </w:r>
          <w:r w:rsidRPr="00167EF2">
            <w:rPr>
              <w:rFonts w:ascii="Palatino Linotype" w:hAnsi="Palatino Linotype"/>
              <w:i/>
              <w:iCs/>
              <w:color w:val="333333"/>
              <w:sz w:val="16"/>
            </w:rPr>
            <w:t>C.I.F.</w:t>
          </w:r>
          <w:r w:rsidRPr="00167EF2">
            <w:rPr>
              <w:rFonts w:ascii="Palatino Linotype" w:hAnsi="Palatino Linotype"/>
              <w:color w:val="333333"/>
              <w:sz w:val="16"/>
            </w:rPr>
            <w:t>: P-3101000-B</w:t>
          </w:r>
        </w:p>
      </w:tc>
      <w:tc>
        <w:tcPr>
          <w:tcW w:w="4002" w:type="dxa"/>
          <w:shd w:val="clear" w:color="auto" w:fill="auto"/>
          <w:vAlign w:val="center"/>
        </w:tcPr>
        <w:p w:rsidR="005F4E2E" w:rsidRPr="00167EF2" w:rsidRDefault="005F4E2E" w:rsidP="005F4E2E">
          <w:pPr>
            <w:jc w:val="right"/>
            <w:rPr>
              <w:rFonts w:ascii="Palatino Linotype" w:hAnsi="Palatino Linotype"/>
              <w:color w:val="333333"/>
              <w:sz w:val="14"/>
            </w:rPr>
          </w:pPr>
        </w:p>
        <w:p w:rsidR="005F4E2E" w:rsidRPr="00167EF2" w:rsidRDefault="005F4E2E" w:rsidP="005F4E2E">
          <w:pPr>
            <w:jc w:val="right"/>
            <w:rPr>
              <w:rFonts w:ascii="Palatino Linotype" w:hAnsi="Palatino Linotype"/>
              <w:color w:val="333333"/>
              <w:sz w:val="14"/>
            </w:rPr>
          </w:pPr>
        </w:p>
        <w:p w:rsidR="005F4E2E" w:rsidRPr="00167EF2" w:rsidRDefault="005F4E2E" w:rsidP="005F4E2E">
          <w:pPr>
            <w:jc w:val="right"/>
            <w:rPr>
              <w:rFonts w:ascii="Palatino Linotype" w:hAnsi="Palatino Linotype"/>
              <w:color w:val="333333"/>
              <w:sz w:val="14"/>
            </w:rPr>
          </w:pPr>
          <w:r w:rsidRPr="00167EF2">
            <w:rPr>
              <w:rFonts w:ascii="Palatino Linotype" w:hAnsi="Palatino Linotype"/>
              <w:color w:val="333333"/>
              <w:sz w:val="14"/>
              <w:lang w:val="en-GB"/>
            </w:rPr>
            <w:sym w:font="Wingdings" w:char="F028"/>
          </w:r>
          <w:r>
            <w:rPr>
              <w:rFonts w:ascii="Palatino Linotype" w:hAnsi="Palatino Linotype"/>
              <w:color w:val="333333"/>
              <w:sz w:val="14"/>
            </w:rPr>
            <w:t xml:space="preserve"> </w:t>
          </w:r>
          <w:r w:rsidRPr="00167EF2">
            <w:rPr>
              <w:rFonts w:ascii="Palatino Linotype" w:hAnsi="Palatino Linotype"/>
              <w:color w:val="333333"/>
              <w:sz w:val="14"/>
            </w:rPr>
            <w:t>948 56 21 61</w:t>
          </w:r>
        </w:p>
        <w:p w:rsidR="005F4E2E" w:rsidRPr="00167EF2" w:rsidRDefault="005F4E2E" w:rsidP="005F4E2E">
          <w:pPr>
            <w:jc w:val="right"/>
            <w:rPr>
              <w:rFonts w:ascii="Palatino Linotype" w:hAnsi="Palatino Linotype"/>
              <w:color w:val="333333"/>
              <w:sz w:val="14"/>
            </w:rPr>
          </w:pPr>
          <w:r w:rsidRPr="00167EF2">
            <w:rPr>
              <w:rFonts w:ascii="Palatino Linotype" w:hAnsi="Palatino Linotype"/>
              <w:color w:val="333333"/>
              <w:sz w:val="14"/>
            </w:rPr>
            <w:t>FAX</w:t>
          </w:r>
          <w:r>
            <w:rPr>
              <w:rFonts w:ascii="Palatino Linotype" w:hAnsi="Palatino Linotype"/>
              <w:color w:val="333333"/>
              <w:sz w:val="14"/>
            </w:rPr>
            <w:t xml:space="preserve"> </w:t>
          </w:r>
          <w:r w:rsidRPr="00167EF2">
            <w:rPr>
              <w:rFonts w:ascii="Palatino Linotype" w:hAnsi="Palatino Linotype"/>
              <w:color w:val="333333"/>
              <w:sz w:val="14"/>
            </w:rPr>
            <w:t>948 56 38 55</w:t>
          </w:r>
        </w:p>
        <w:p w:rsidR="005F4E2E" w:rsidRPr="00167EF2" w:rsidRDefault="005F4E2E" w:rsidP="005F4E2E">
          <w:pPr>
            <w:jc w:val="right"/>
            <w:rPr>
              <w:rFonts w:ascii="Palatino Linotype" w:hAnsi="Palatino Linotype"/>
              <w:color w:val="333333"/>
              <w:sz w:val="14"/>
            </w:rPr>
          </w:pPr>
          <w:r w:rsidRPr="00167EF2">
            <w:rPr>
              <w:rFonts w:ascii="Palatino Linotype" w:hAnsi="Palatino Linotype"/>
              <w:color w:val="333333"/>
              <w:sz w:val="14"/>
            </w:rPr>
            <w:t xml:space="preserve">www.altsasu.net </w:t>
          </w:r>
        </w:p>
        <w:p w:rsidR="005F4E2E" w:rsidRPr="00167EF2" w:rsidRDefault="005F4E2E" w:rsidP="005F4E2E">
          <w:pPr>
            <w:jc w:val="right"/>
            <w:rPr>
              <w:rFonts w:ascii="Palatino Linotype" w:hAnsi="Palatino Linotype"/>
              <w:color w:val="333333"/>
              <w:sz w:val="14"/>
            </w:rPr>
          </w:pPr>
          <w:r w:rsidRPr="00167EF2">
            <w:rPr>
              <w:rFonts w:ascii="Palatino Linotype" w:hAnsi="Palatino Linotype"/>
              <w:color w:val="333333"/>
              <w:sz w:val="14"/>
            </w:rPr>
            <w:t>altsasu@altsasu.net</w:t>
          </w:r>
        </w:p>
        <w:p w:rsidR="005F4E2E" w:rsidRPr="00167EF2" w:rsidRDefault="005F4E2E" w:rsidP="005F4E2E">
          <w:pPr>
            <w:jc w:val="right"/>
            <w:rPr>
              <w:rFonts w:ascii="Palatino Linotype" w:hAnsi="Palatino Linotype"/>
              <w:color w:val="333333"/>
              <w:sz w:val="16"/>
            </w:rPr>
          </w:pPr>
          <w:r w:rsidRPr="00167EF2">
            <w:rPr>
              <w:rFonts w:ascii="Palatino Linotype" w:hAnsi="Palatino Linotype"/>
              <w:color w:val="333333"/>
              <w:sz w:val="16"/>
            </w:rPr>
            <w:sym w:font="Wingdings" w:char="F02A"/>
          </w:r>
          <w:r w:rsidRPr="00167EF2">
            <w:rPr>
              <w:rFonts w:ascii="Palatino Linotype" w:hAnsi="Palatino Linotype"/>
              <w:color w:val="333333"/>
              <w:sz w:val="16"/>
            </w:rPr>
            <w:t xml:space="preserve"> Garcia Ximenez 36 - 31800 </w:t>
          </w:r>
        </w:p>
        <w:p w:rsidR="005F4E2E" w:rsidRPr="00167EF2" w:rsidRDefault="005F4E2E" w:rsidP="005F4E2E">
          <w:pPr>
            <w:jc w:val="right"/>
            <w:rPr>
              <w:rFonts w:ascii="Palatino Linotype" w:hAnsi="Palatino Linotype"/>
              <w:color w:val="333333"/>
              <w:sz w:val="14"/>
            </w:rPr>
          </w:pPr>
        </w:p>
      </w:tc>
    </w:tr>
  </w:tbl>
  <w:p w:rsidR="005F4E2E" w:rsidRPr="002225BC" w:rsidRDefault="005F4E2E">
    <w:pPr>
      <w:pStyle w:val="Encabezad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527D"/>
    <w:multiLevelType w:val="hybridMultilevel"/>
    <w:tmpl w:val="DC6A652C"/>
    <w:lvl w:ilvl="0" w:tplc="1388BF5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61606A"/>
    <w:multiLevelType w:val="multilevel"/>
    <w:tmpl w:val="19D42542"/>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F2A6A88"/>
    <w:multiLevelType w:val="multilevel"/>
    <w:tmpl w:val="7870D3D4"/>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1336271C"/>
    <w:multiLevelType w:val="hybridMultilevel"/>
    <w:tmpl w:val="C90EBEFA"/>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4E972C4"/>
    <w:multiLevelType w:val="multilevel"/>
    <w:tmpl w:val="48904822"/>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208B2C0B"/>
    <w:multiLevelType w:val="hybridMultilevel"/>
    <w:tmpl w:val="3BE889A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
    <w:nsid w:val="2BB91E24"/>
    <w:multiLevelType w:val="multilevel"/>
    <w:tmpl w:val="01649E14"/>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C5159E6"/>
    <w:multiLevelType w:val="hybridMultilevel"/>
    <w:tmpl w:val="4EF446C4"/>
    <w:lvl w:ilvl="0" w:tplc="0C0A0001">
      <w:start w:val="1"/>
      <w:numFmt w:val="bullet"/>
      <w:lvlText w:val=""/>
      <w:lvlJc w:val="left"/>
      <w:pPr>
        <w:ind w:left="1290" w:hanging="360"/>
      </w:pPr>
      <w:rPr>
        <w:rFonts w:ascii="Symbol" w:hAnsi="Symbol" w:hint="default"/>
      </w:rPr>
    </w:lvl>
    <w:lvl w:ilvl="1" w:tplc="0C0A0003" w:tentative="1">
      <w:start w:val="1"/>
      <w:numFmt w:val="bullet"/>
      <w:lvlText w:val="o"/>
      <w:lvlJc w:val="left"/>
      <w:pPr>
        <w:ind w:left="2010" w:hanging="360"/>
      </w:pPr>
      <w:rPr>
        <w:rFonts w:ascii="Courier New" w:hAnsi="Courier New" w:cs="Courier New" w:hint="default"/>
      </w:rPr>
    </w:lvl>
    <w:lvl w:ilvl="2" w:tplc="0C0A0005" w:tentative="1">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8">
    <w:nsid w:val="419D5A79"/>
    <w:multiLevelType w:val="hybridMultilevel"/>
    <w:tmpl w:val="5CA82084"/>
    <w:lvl w:ilvl="0" w:tplc="A2F89988">
      <w:numFmt w:val="bullet"/>
      <w:lvlText w:val=""/>
      <w:lvlJc w:val="left"/>
      <w:pPr>
        <w:ind w:left="93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B64708E"/>
    <w:multiLevelType w:val="hybridMultilevel"/>
    <w:tmpl w:val="7C7C112C"/>
    <w:lvl w:ilvl="0" w:tplc="040A0001">
      <w:start w:val="1"/>
      <w:numFmt w:val="bullet"/>
      <w:lvlText w:val=""/>
      <w:lvlJc w:val="left"/>
      <w:pPr>
        <w:ind w:left="720" w:hanging="360"/>
      </w:pPr>
      <w:rPr>
        <w:rFonts w:ascii="Symbol" w:hAnsi="Symbol" w:cs="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cs="Wingdings" w:hint="default"/>
      </w:rPr>
    </w:lvl>
    <w:lvl w:ilvl="3" w:tplc="040A0001">
      <w:start w:val="1"/>
      <w:numFmt w:val="bullet"/>
      <w:lvlText w:val=""/>
      <w:lvlJc w:val="left"/>
      <w:pPr>
        <w:ind w:left="2880" w:hanging="360"/>
      </w:pPr>
      <w:rPr>
        <w:rFonts w:ascii="Symbol" w:hAnsi="Symbol" w:cs="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cs="Wingdings" w:hint="default"/>
      </w:rPr>
    </w:lvl>
    <w:lvl w:ilvl="6" w:tplc="040A0001">
      <w:start w:val="1"/>
      <w:numFmt w:val="bullet"/>
      <w:lvlText w:val=""/>
      <w:lvlJc w:val="left"/>
      <w:pPr>
        <w:ind w:left="5040" w:hanging="360"/>
      </w:pPr>
      <w:rPr>
        <w:rFonts w:ascii="Symbol" w:hAnsi="Symbol" w:cs="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cs="Wingdings" w:hint="default"/>
      </w:rPr>
    </w:lvl>
  </w:abstractNum>
  <w:abstractNum w:abstractNumId="10">
    <w:nsid w:val="513B1C86"/>
    <w:multiLevelType w:val="multilevel"/>
    <w:tmpl w:val="D8583218"/>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5AA522F8"/>
    <w:multiLevelType w:val="hybridMultilevel"/>
    <w:tmpl w:val="8544F4D0"/>
    <w:lvl w:ilvl="0" w:tplc="A2F89988">
      <w:numFmt w:val="bullet"/>
      <w:lvlText w:val=""/>
      <w:lvlJc w:val="left"/>
      <w:pPr>
        <w:ind w:left="930" w:hanging="360"/>
      </w:pPr>
      <w:rPr>
        <w:rFonts w:ascii="Calibri" w:eastAsiaTheme="minorHAnsi" w:hAnsi="Calibri" w:cs="Calibri"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
    <w:nsid w:val="6270266B"/>
    <w:multiLevelType w:val="hybridMultilevel"/>
    <w:tmpl w:val="01405564"/>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642F23BF"/>
    <w:multiLevelType w:val="hybridMultilevel"/>
    <w:tmpl w:val="00EA9086"/>
    <w:lvl w:ilvl="0" w:tplc="040A0001">
      <w:start w:val="1"/>
      <w:numFmt w:val="bullet"/>
      <w:lvlText w:val=""/>
      <w:lvlJc w:val="left"/>
      <w:pPr>
        <w:ind w:left="720" w:hanging="360"/>
      </w:pPr>
      <w:rPr>
        <w:rFonts w:ascii="Symbol" w:hAnsi="Symbol" w:cs="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cs="Wingdings" w:hint="default"/>
      </w:rPr>
    </w:lvl>
    <w:lvl w:ilvl="3" w:tplc="040A0001">
      <w:start w:val="1"/>
      <w:numFmt w:val="bullet"/>
      <w:lvlText w:val=""/>
      <w:lvlJc w:val="left"/>
      <w:pPr>
        <w:ind w:left="2880" w:hanging="360"/>
      </w:pPr>
      <w:rPr>
        <w:rFonts w:ascii="Symbol" w:hAnsi="Symbol" w:cs="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cs="Wingdings" w:hint="default"/>
      </w:rPr>
    </w:lvl>
    <w:lvl w:ilvl="6" w:tplc="040A0001">
      <w:start w:val="1"/>
      <w:numFmt w:val="bullet"/>
      <w:lvlText w:val=""/>
      <w:lvlJc w:val="left"/>
      <w:pPr>
        <w:ind w:left="5040" w:hanging="360"/>
      </w:pPr>
      <w:rPr>
        <w:rFonts w:ascii="Symbol" w:hAnsi="Symbol" w:cs="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cs="Wingdings" w:hint="default"/>
      </w:rPr>
    </w:lvl>
  </w:abstractNum>
  <w:abstractNum w:abstractNumId="14">
    <w:nsid w:val="708451E6"/>
    <w:multiLevelType w:val="hybridMultilevel"/>
    <w:tmpl w:val="744E5580"/>
    <w:lvl w:ilvl="0" w:tplc="F0348EEE">
      <w:numFmt w:val="bullet"/>
      <w:lvlText w:val="-"/>
      <w:lvlJc w:val="left"/>
      <w:pPr>
        <w:ind w:left="601" w:hanging="360"/>
      </w:pPr>
      <w:rPr>
        <w:rFonts w:ascii="Times New Roman" w:eastAsia="Times New Roman" w:hAnsi="Times New Roman" w:cs="Times New Roman" w:hint="default"/>
        <w:w w:val="99"/>
        <w:sz w:val="20"/>
        <w:szCs w:val="20"/>
        <w:lang w:val="es-ES" w:eastAsia="en-US" w:bidi="ar-SA"/>
      </w:rPr>
    </w:lvl>
    <w:lvl w:ilvl="1" w:tplc="0C0A0003" w:tentative="1">
      <w:start w:val="1"/>
      <w:numFmt w:val="bullet"/>
      <w:lvlText w:val="o"/>
      <w:lvlJc w:val="left"/>
      <w:pPr>
        <w:ind w:left="1321" w:hanging="360"/>
      </w:pPr>
      <w:rPr>
        <w:rFonts w:ascii="Courier New" w:hAnsi="Courier New" w:cs="Courier New" w:hint="default"/>
      </w:rPr>
    </w:lvl>
    <w:lvl w:ilvl="2" w:tplc="0C0A0005" w:tentative="1">
      <w:start w:val="1"/>
      <w:numFmt w:val="bullet"/>
      <w:lvlText w:val=""/>
      <w:lvlJc w:val="left"/>
      <w:pPr>
        <w:ind w:left="2041" w:hanging="360"/>
      </w:pPr>
      <w:rPr>
        <w:rFonts w:ascii="Wingdings" w:hAnsi="Wingdings" w:hint="default"/>
      </w:rPr>
    </w:lvl>
    <w:lvl w:ilvl="3" w:tplc="0C0A0001" w:tentative="1">
      <w:start w:val="1"/>
      <w:numFmt w:val="bullet"/>
      <w:lvlText w:val=""/>
      <w:lvlJc w:val="left"/>
      <w:pPr>
        <w:ind w:left="2761" w:hanging="360"/>
      </w:pPr>
      <w:rPr>
        <w:rFonts w:ascii="Symbol" w:hAnsi="Symbol" w:hint="default"/>
      </w:rPr>
    </w:lvl>
    <w:lvl w:ilvl="4" w:tplc="0C0A0003" w:tentative="1">
      <w:start w:val="1"/>
      <w:numFmt w:val="bullet"/>
      <w:lvlText w:val="o"/>
      <w:lvlJc w:val="left"/>
      <w:pPr>
        <w:ind w:left="3481" w:hanging="360"/>
      </w:pPr>
      <w:rPr>
        <w:rFonts w:ascii="Courier New" w:hAnsi="Courier New" w:cs="Courier New" w:hint="default"/>
      </w:rPr>
    </w:lvl>
    <w:lvl w:ilvl="5" w:tplc="0C0A0005" w:tentative="1">
      <w:start w:val="1"/>
      <w:numFmt w:val="bullet"/>
      <w:lvlText w:val=""/>
      <w:lvlJc w:val="left"/>
      <w:pPr>
        <w:ind w:left="4201" w:hanging="360"/>
      </w:pPr>
      <w:rPr>
        <w:rFonts w:ascii="Wingdings" w:hAnsi="Wingdings" w:hint="default"/>
      </w:rPr>
    </w:lvl>
    <w:lvl w:ilvl="6" w:tplc="0C0A0001" w:tentative="1">
      <w:start w:val="1"/>
      <w:numFmt w:val="bullet"/>
      <w:lvlText w:val=""/>
      <w:lvlJc w:val="left"/>
      <w:pPr>
        <w:ind w:left="4921" w:hanging="360"/>
      </w:pPr>
      <w:rPr>
        <w:rFonts w:ascii="Symbol" w:hAnsi="Symbol" w:hint="default"/>
      </w:rPr>
    </w:lvl>
    <w:lvl w:ilvl="7" w:tplc="0C0A0003" w:tentative="1">
      <w:start w:val="1"/>
      <w:numFmt w:val="bullet"/>
      <w:lvlText w:val="o"/>
      <w:lvlJc w:val="left"/>
      <w:pPr>
        <w:ind w:left="5641" w:hanging="360"/>
      </w:pPr>
      <w:rPr>
        <w:rFonts w:ascii="Courier New" w:hAnsi="Courier New" w:cs="Courier New" w:hint="default"/>
      </w:rPr>
    </w:lvl>
    <w:lvl w:ilvl="8" w:tplc="0C0A0005" w:tentative="1">
      <w:start w:val="1"/>
      <w:numFmt w:val="bullet"/>
      <w:lvlText w:val=""/>
      <w:lvlJc w:val="left"/>
      <w:pPr>
        <w:ind w:left="6361" w:hanging="360"/>
      </w:pPr>
      <w:rPr>
        <w:rFonts w:ascii="Wingdings" w:hAnsi="Wingdings" w:hint="default"/>
      </w:rPr>
    </w:lvl>
  </w:abstractNum>
  <w:abstractNum w:abstractNumId="15">
    <w:nsid w:val="71B155D4"/>
    <w:multiLevelType w:val="multilevel"/>
    <w:tmpl w:val="B8BA5EEC"/>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7C132CC9"/>
    <w:multiLevelType w:val="hybridMultilevel"/>
    <w:tmpl w:val="B1B0638A"/>
    <w:lvl w:ilvl="0" w:tplc="21308A60">
      <w:numFmt w:val="bullet"/>
      <w:lvlText w:val=""/>
      <w:lvlJc w:val="left"/>
      <w:pPr>
        <w:ind w:left="897" w:hanging="464"/>
      </w:pPr>
      <w:rPr>
        <w:rFonts w:ascii="Symbol" w:eastAsia="Symbol" w:hAnsi="Symbol" w:cs="Symbol" w:hint="default"/>
        <w:color w:val="202020"/>
        <w:w w:val="100"/>
        <w:sz w:val="22"/>
        <w:szCs w:val="22"/>
        <w:lang w:val="es-ES" w:eastAsia="en-US" w:bidi="ar-SA"/>
      </w:rPr>
    </w:lvl>
    <w:lvl w:ilvl="1" w:tplc="03D42D40">
      <w:numFmt w:val="bullet"/>
      <w:lvlText w:val="•"/>
      <w:lvlJc w:val="left"/>
      <w:pPr>
        <w:ind w:left="1804" w:hanging="464"/>
      </w:pPr>
      <w:rPr>
        <w:rFonts w:hint="default"/>
        <w:lang w:val="es-ES" w:eastAsia="en-US" w:bidi="ar-SA"/>
      </w:rPr>
    </w:lvl>
    <w:lvl w:ilvl="2" w:tplc="54141F34">
      <w:numFmt w:val="bullet"/>
      <w:lvlText w:val="•"/>
      <w:lvlJc w:val="left"/>
      <w:pPr>
        <w:ind w:left="2709" w:hanging="464"/>
      </w:pPr>
      <w:rPr>
        <w:rFonts w:hint="default"/>
        <w:lang w:val="es-ES" w:eastAsia="en-US" w:bidi="ar-SA"/>
      </w:rPr>
    </w:lvl>
    <w:lvl w:ilvl="3" w:tplc="638A2C1C">
      <w:numFmt w:val="bullet"/>
      <w:lvlText w:val="•"/>
      <w:lvlJc w:val="left"/>
      <w:pPr>
        <w:ind w:left="3613" w:hanging="464"/>
      </w:pPr>
      <w:rPr>
        <w:rFonts w:hint="default"/>
        <w:lang w:val="es-ES" w:eastAsia="en-US" w:bidi="ar-SA"/>
      </w:rPr>
    </w:lvl>
    <w:lvl w:ilvl="4" w:tplc="7F149262">
      <w:numFmt w:val="bullet"/>
      <w:lvlText w:val="•"/>
      <w:lvlJc w:val="left"/>
      <w:pPr>
        <w:ind w:left="4518" w:hanging="464"/>
      </w:pPr>
      <w:rPr>
        <w:rFonts w:hint="default"/>
        <w:lang w:val="es-ES" w:eastAsia="en-US" w:bidi="ar-SA"/>
      </w:rPr>
    </w:lvl>
    <w:lvl w:ilvl="5" w:tplc="52E0E8FA">
      <w:numFmt w:val="bullet"/>
      <w:lvlText w:val="•"/>
      <w:lvlJc w:val="left"/>
      <w:pPr>
        <w:ind w:left="5423" w:hanging="464"/>
      </w:pPr>
      <w:rPr>
        <w:rFonts w:hint="default"/>
        <w:lang w:val="es-ES" w:eastAsia="en-US" w:bidi="ar-SA"/>
      </w:rPr>
    </w:lvl>
    <w:lvl w:ilvl="6" w:tplc="66D687EA">
      <w:numFmt w:val="bullet"/>
      <w:lvlText w:val="•"/>
      <w:lvlJc w:val="left"/>
      <w:pPr>
        <w:ind w:left="6327" w:hanging="464"/>
      </w:pPr>
      <w:rPr>
        <w:rFonts w:hint="default"/>
        <w:lang w:val="es-ES" w:eastAsia="en-US" w:bidi="ar-SA"/>
      </w:rPr>
    </w:lvl>
    <w:lvl w:ilvl="7" w:tplc="A8509C90">
      <w:numFmt w:val="bullet"/>
      <w:lvlText w:val="•"/>
      <w:lvlJc w:val="left"/>
      <w:pPr>
        <w:ind w:left="7232" w:hanging="464"/>
      </w:pPr>
      <w:rPr>
        <w:rFonts w:hint="default"/>
        <w:lang w:val="es-ES" w:eastAsia="en-US" w:bidi="ar-SA"/>
      </w:rPr>
    </w:lvl>
    <w:lvl w:ilvl="8" w:tplc="BC907A3C">
      <w:numFmt w:val="bullet"/>
      <w:lvlText w:val="•"/>
      <w:lvlJc w:val="left"/>
      <w:pPr>
        <w:ind w:left="8137" w:hanging="464"/>
      </w:pPr>
      <w:rPr>
        <w:rFonts w:hint="default"/>
        <w:lang w:val="es-ES" w:eastAsia="en-US" w:bidi="ar-SA"/>
      </w:rPr>
    </w:lvl>
  </w:abstractNum>
  <w:num w:numId="1">
    <w:abstractNumId w:val="12"/>
  </w:num>
  <w:num w:numId="2">
    <w:abstractNumId w:val="9"/>
  </w:num>
  <w:num w:numId="3">
    <w:abstractNumId w:val="10"/>
  </w:num>
  <w:num w:numId="4">
    <w:abstractNumId w:val="1"/>
  </w:num>
  <w:num w:numId="5">
    <w:abstractNumId w:val="6"/>
  </w:num>
  <w:num w:numId="6">
    <w:abstractNumId w:val="4"/>
  </w:num>
  <w:num w:numId="7">
    <w:abstractNumId w:val="13"/>
  </w:num>
  <w:num w:numId="8">
    <w:abstractNumId w:val="15"/>
  </w:num>
  <w:num w:numId="9">
    <w:abstractNumId w:val="2"/>
  </w:num>
  <w:num w:numId="10">
    <w:abstractNumId w:val="0"/>
  </w:num>
  <w:num w:numId="11">
    <w:abstractNumId w:val="7"/>
  </w:num>
  <w:num w:numId="12">
    <w:abstractNumId w:val="11"/>
  </w:num>
  <w:num w:numId="13">
    <w:abstractNumId w:val="8"/>
  </w:num>
  <w:num w:numId="14">
    <w:abstractNumId w:val="3"/>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5BC"/>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25BC"/>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686C"/>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4EF9"/>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2E7B"/>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749"/>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4E2E"/>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66471"/>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497B"/>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78E"/>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900"/>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D8D"/>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customStyle="1" w:styleId="Miestilo">
    <w:name w:val="Mi estilo"/>
    <w:basedOn w:val="Normal"/>
    <w:autoRedefine/>
    <w:qFormat/>
    <w:rsid w:val="00766471"/>
    <w:pPr>
      <w:tabs>
        <w:tab w:val="left" w:pos="567"/>
        <w:tab w:val="left" w:pos="992"/>
        <w:tab w:val="left" w:pos="1418"/>
        <w:tab w:val="left" w:pos="1843"/>
      </w:tabs>
      <w:jc w:val="both"/>
    </w:pPr>
    <w:rPr>
      <w:rFonts w:ascii="Palatino Linotype" w:hAnsi="Palatino Linotype"/>
      <w:sz w:val="21"/>
    </w:rPr>
  </w:style>
  <w:style w:type="numbering" w:customStyle="1" w:styleId="Sinlista1">
    <w:name w:val="Sin lista1"/>
    <w:next w:val="Sinlista"/>
    <w:uiPriority w:val="99"/>
    <w:semiHidden/>
    <w:unhideWhenUsed/>
    <w:rsid w:val="002225BC"/>
  </w:style>
  <w:style w:type="paragraph" w:styleId="Sinespaciado">
    <w:name w:val="No Spacing"/>
    <w:uiPriority w:val="1"/>
    <w:qFormat/>
    <w:rsid w:val="002225BC"/>
    <w:rPr>
      <w:rFonts w:ascii="Times New Roman" w:hAnsi="Times New Roman"/>
      <w:sz w:val="24"/>
      <w:szCs w:val="22"/>
    </w:rPr>
  </w:style>
  <w:style w:type="table" w:styleId="Tablaconcuadrcula">
    <w:name w:val="Table Grid"/>
    <w:basedOn w:val="Tablanormal"/>
    <w:rsid w:val="002225B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2225BC"/>
    <w:pPr>
      <w:tabs>
        <w:tab w:val="left" w:pos="3337"/>
        <w:tab w:val="right" w:leader="dot" w:pos="9656"/>
      </w:tabs>
      <w:spacing w:line="360" w:lineRule="auto"/>
      <w:jc w:val="both"/>
    </w:pPr>
    <w:rPr>
      <w:rFonts w:ascii="Arial" w:eastAsia="Times New Roman" w:hAnsi="Arial"/>
      <w:sz w:val="32"/>
      <w:lang w:eastAsia="es-ES"/>
    </w:rPr>
  </w:style>
  <w:style w:type="character" w:customStyle="1" w:styleId="TextoindependienteCar">
    <w:name w:val="Texto independiente Car"/>
    <w:basedOn w:val="Fuentedeprrafopredeter"/>
    <w:link w:val="Textoindependiente"/>
    <w:uiPriority w:val="99"/>
    <w:rsid w:val="002225BC"/>
    <w:rPr>
      <w:rFonts w:ascii="Arial" w:eastAsia="Times New Roman" w:hAnsi="Arial"/>
      <w:sz w:val="32"/>
      <w:lang w:eastAsia="es-ES"/>
    </w:rPr>
  </w:style>
  <w:style w:type="paragraph" w:styleId="Prrafodelista">
    <w:name w:val="List Paragraph"/>
    <w:basedOn w:val="Normal"/>
    <w:uiPriority w:val="99"/>
    <w:qFormat/>
    <w:rsid w:val="002225BC"/>
    <w:pPr>
      <w:ind w:left="720"/>
      <w:contextualSpacing/>
    </w:pPr>
    <w:rPr>
      <w:sz w:val="24"/>
      <w:szCs w:val="22"/>
    </w:rPr>
  </w:style>
  <w:style w:type="paragraph" w:customStyle="1" w:styleId="Ttulo31">
    <w:name w:val="Título 31"/>
    <w:basedOn w:val="Normal"/>
    <w:uiPriority w:val="99"/>
    <w:rsid w:val="002225BC"/>
    <w:pPr>
      <w:widowControl w:val="0"/>
      <w:outlineLvl w:val="3"/>
    </w:pPr>
    <w:rPr>
      <w:rFonts w:ascii="Arial" w:eastAsia="Calibri" w:hAnsi="Arial"/>
      <w:b/>
      <w:bCs/>
      <w:sz w:val="16"/>
      <w:szCs w:val="16"/>
      <w:lang w:val="en-US"/>
    </w:rPr>
  </w:style>
  <w:style w:type="paragraph" w:customStyle="1" w:styleId="Default">
    <w:name w:val="Default"/>
    <w:uiPriority w:val="99"/>
    <w:rsid w:val="002225BC"/>
    <w:pPr>
      <w:autoSpaceDE w:val="0"/>
      <w:autoSpaceDN w:val="0"/>
      <w:adjustRightInd w:val="0"/>
    </w:pPr>
    <w:rPr>
      <w:rFonts w:ascii="Arial" w:eastAsia="Calibri" w:hAnsi="Arial" w:cs="Arial"/>
      <w:color w:val="000000"/>
      <w:sz w:val="24"/>
      <w:szCs w:val="24"/>
    </w:rPr>
  </w:style>
  <w:style w:type="character" w:customStyle="1" w:styleId="normaltextrun">
    <w:name w:val="normaltextrun"/>
    <w:basedOn w:val="Fuentedeprrafopredeter"/>
    <w:uiPriority w:val="99"/>
    <w:rsid w:val="002225BC"/>
  </w:style>
  <w:style w:type="character" w:styleId="Hipervnculo">
    <w:name w:val="Hyperlink"/>
    <w:basedOn w:val="Fuentedeprrafopredeter"/>
    <w:uiPriority w:val="99"/>
    <w:rsid w:val="002225BC"/>
    <w:rPr>
      <w:color w:val="0000FF"/>
      <w:u w:val="single"/>
    </w:rPr>
  </w:style>
  <w:style w:type="paragraph" w:customStyle="1" w:styleId="paragraph">
    <w:name w:val="paragraph"/>
    <w:basedOn w:val="Normal"/>
    <w:uiPriority w:val="99"/>
    <w:rsid w:val="002225BC"/>
    <w:pPr>
      <w:spacing w:before="100" w:beforeAutospacing="1" w:after="100" w:afterAutospacing="1"/>
    </w:pPr>
    <w:rPr>
      <w:rFonts w:eastAsia="Times New Roman"/>
      <w:sz w:val="24"/>
      <w:szCs w:val="24"/>
      <w:lang w:val="es-ES_tradnl" w:eastAsia="es-ES_tradnl"/>
    </w:rPr>
  </w:style>
  <w:style w:type="character" w:customStyle="1" w:styleId="eop">
    <w:name w:val="eop"/>
    <w:basedOn w:val="Fuentedeprrafopredeter"/>
    <w:uiPriority w:val="99"/>
    <w:rsid w:val="002225BC"/>
  </w:style>
  <w:style w:type="table" w:customStyle="1" w:styleId="Sombreadoclaro1">
    <w:name w:val="Sombreado claro1"/>
    <w:basedOn w:val="Tablanormal"/>
    <w:next w:val="Sombreadoclaro"/>
    <w:uiPriority w:val="60"/>
    <w:rsid w:val="002225BC"/>
    <w:rPr>
      <w:rFonts w:ascii="Calibri" w:eastAsia="Calibri" w:hAnsi="Calibri"/>
      <w:color w:val="000000"/>
      <w:sz w:val="22"/>
      <w:szCs w:val="22"/>
      <w:lang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2225BC"/>
    <w:rPr>
      <w:rFonts w:ascii="Tahoma" w:hAnsi="Tahoma" w:cs="Tahoma"/>
      <w:sz w:val="16"/>
      <w:szCs w:val="16"/>
    </w:rPr>
  </w:style>
  <w:style w:type="character" w:customStyle="1" w:styleId="TextodegloboCar">
    <w:name w:val="Texto de globo Car"/>
    <w:basedOn w:val="Fuentedeprrafopredeter"/>
    <w:link w:val="Textodeglobo"/>
    <w:uiPriority w:val="99"/>
    <w:semiHidden/>
    <w:rsid w:val="002225BC"/>
    <w:rPr>
      <w:rFonts w:ascii="Tahoma" w:hAnsi="Tahoma" w:cs="Tahoma"/>
      <w:sz w:val="16"/>
      <w:szCs w:val="16"/>
    </w:rPr>
  </w:style>
  <w:style w:type="paragraph" w:customStyle="1" w:styleId="TableParagraph">
    <w:name w:val="Table Paragraph"/>
    <w:basedOn w:val="Normal"/>
    <w:uiPriority w:val="1"/>
    <w:qFormat/>
    <w:rsid w:val="002225BC"/>
    <w:pPr>
      <w:widowControl w:val="0"/>
      <w:autoSpaceDE w:val="0"/>
      <w:autoSpaceDN w:val="0"/>
      <w:adjustRightInd w:val="0"/>
    </w:pPr>
    <w:rPr>
      <w:rFonts w:eastAsia="Times New Roman"/>
      <w:sz w:val="24"/>
      <w:szCs w:val="24"/>
      <w:lang w:eastAsia="es-ES"/>
    </w:rPr>
  </w:style>
  <w:style w:type="paragraph" w:customStyle="1" w:styleId="Textosinformato1">
    <w:name w:val="Texto sin formato1"/>
    <w:basedOn w:val="Normal"/>
    <w:rsid w:val="002225BC"/>
    <w:rPr>
      <w:rFonts w:ascii="Courier New" w:eastAsia="Times New Roman" w:hAnsi="Courier New"/>
      <w:lang w:eastAsia="es-ES"/>
    </w:rPr>
  </w:style>
  <w:style w:type="table" w:styleId="Sombreadoclaro">
    <w:name w:val="Light Shading"/>
    <w:basedOn w:val="Tablanormal"/>
    <w:uiPriority w:val="60"/>
    <w:rsid w:val="002225B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customStyle="1" w:styleId="Miestilo">
    <w:name w:val="Mi estilo"/>
    <w:basedOn w:val="Normal"/>
    <w:autoRedefine/>
    <w:qFormat/>
    <w:rsid w:val="00766471"/>
    <w:pPr>
      <w:tabs>
        <w:tab w:val="left" w:pos="567"/>
        <w:tab w:val="left" w:pos="992"/>
        <w:tab w:val="left" w:pos="1418"/>
        <w:tab w:val="left" w:pos="1843"/>
      </w:tabs>
      <w:jc w:val="both"/>
    </w:pPr>
    <w:rPr>
      <w:rFonts w:ascii="Palatino Linotype" w:hAnsi="Palatino Linotype"/>
      <w:sz w:val="21"/>
    </w:rPr>
  </w:style>
  <w:style w:type="numbering" w:customStyle="1" w:styleId="Sinlista1">
    <w:name w:val="Sin lista1"/>
    <w:next w:val="Sinlista"/>
    <w:uiPriority w:val="99"/>
    <w:semiHidden/>
    <w:unhideWhenUsed/>
    <w:rsid w:val="002225BC"/>
  </w:style>
  <w:style w:type="paragraph" w:styleId="Sinespaciado">
    <w:name w:val="No Spacing"/>
    <w:uiPriority w:val="1"/>
    <w:qFormat/>
    <w:rsid w:val="002225BC"/>
    <w:rPr>
      <w:rFonts w:ascii="Times New Roman" w:hAnsi="Times New Roman"/>
      <w:sz w:val="24"/>
      <w:szCs w:val="22"/>
    </w:rPr>
  </w:style>
  <w:style w:type="table" w:styleId="Tablaconcuadrcula">
    <w:name w:val="Table Grid"/>
    <w:basedOn w:val="Tablanormal"/>
    <w:rsid w:val="002225BC"/>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2225BC"/>
    <w:pPr>
      <w:tabs>
        <w:tab w:val="left" w:pos="3337"/>
        <w:tab w:val="right" w:leader="dot" w:pos="9656"/>
      </w:tabs>
      <w:spacing w:line="360" w:lineRule="auto"/>
      <w:jc w:val="both"/>
    </w:pPr>
    <w:rPr>
      <w:rFonts w:ascii="Arial" w:eastAsia="Times New Roman" w:hAnsi="Arial"/>
      <w:sz w:val="32"/>
      <w:lang w:eastAsia="es-ES"/>
    </w:rPr>
  </w:style>
  <w:style w:type="character" w:customStyle="1" w:styleId="TextoindependienteCar">
    <w:name w:val="Texto independiente Car"/>
    <w:basedOn w:val="Fuentedeprrafopredeter"/>
    <w:link w:val="Textoindependiente"/>
    <w:uiPriority w:val="99"/>
    <w:rsid w:val="002225BC"/>
    <w:rPr>
      <w:rFonts w:ascii="Arial" w:eastAsia="Times New Roman" w:hAnsi="Arial"/>
      <w:sz w:val="32"/>
      <w:lang w:eastAsia="es-ES"/>
    </w:rPr>
  </w:style>
  <w:style w:type="paragraph" w:styleId="Prrafodelista">
    <w:name w:val="List Paragraph"/>
    <w:basedOn w:val="Normal"/>
    <w:uiPriority w:val="99"/>
    <w:qFormat/>
    <w:rsid w:val="002225BC"/>
    <w:pPr>
      <w:ind w:left="720"/>
      <w:contextualSpacing/>
    </w:pPr>
    <w:rPr>
      <w:sz w:val="24"/>
      <w:szCs w:val="22"/>
    </w:rPr>
  </w:style>
  <w:style w:type="paragraph" w:customStyle="1" w:styleId="Ttulo31">
    <w:name w:val="Título 31"/>
    <w:basedOn w:val="Normal"/>
    <w:uiPriority w:val="99"/>
    <w:rsid w:val="002225BC"/>
    <w:pPr>
      <w:widowControl w:val="0"/>
      <w:outlineLvl w:val="3"/>
    </w:pPr>
    <w:rPr>
      <w:rFonts w:ascii="Arial" w:eastAsia="Calibri" w:hAnsi="Arial"/>
      <w:b/>
      <w:bCs/>
      <w:sz w:val="16"/>
      <w:szCs w:val="16"/>
      <w:lang w:val="en-US"/>
    </w:rPr>
  </w:style>
  <w:style w:type="paragraph" w:customStyle="1" w:styleId="Default">
    <w:name w:val="Default"/>
    <w:uiPriority w:val="99"/>
    <w:rsid w:val="002225BC"/>
    <w:pPr>
      <w:autoSpaceDE w:val="0"/>
      <w:autoSpaceDN w:val="0"/>
      <w:adjustRightInd w:val="0"/>
    </w:pPr>
    <w:rPr>
      <w:rFonts w:ascii="Arial" w:eastAsia="Calibri" w:hAnsi="Arial" w:cs="Arial"/>
      <w:color w:val="000000"/>
      <w:sz w:val="24"/>
      <w:szCs w:val="24"/>
    </w:rPr>
  </w:style>
  <w:style w:type="character" w:customStyle="1" w:styleId="normaltextrun">
    <w:name w:val="normaltextrun"/>
    <w:basedOn w:val="Fuentedeprrafopredeter"/>
    <w:uiPriority w:val="99"/>
    <w:rsid w:val="002225BC"/>
  </w:style>
  <w:style w:type="character" w:styleId="Hipervnculo">
    <w:name w:val="Hyperlink"/>
    <w:basedOn w:val="Fuentedeprrafopredeter"/>
    <w:uiPriority w:val="99"/>
    <w:rsid w:val="002225BC"/>
    <w:rPr>
      <w:color w:val="0000FF"/>
      <w:u w:val="single"/>
    </w:rPr>
  </w:style>
  <w:style w:type="paragraph" w:customStyle="1" w:styleId="paragraph">
    <w:name w:val="paragraph"/>
    <w:basedOn w:val="Normal"/>
    <w:uiPriority w:val="99"/>
    <w:rsid w:val="002225BC"/>
    <w:pPr>
      <w:spacing w:before="100" w:beforeAutospacing="1" w:after="100" w:afterAutospacing="1"/>
    </w:pPr>
    <w:rPr>
      <w:rFonts w:eastAsia="Times New Roman"/>
      <w:sz w:val="24"/>
      <w:szCs w:val="24"/>
      <w:lang w:val="es-ES_tradnl" w:eastAsia="es-ES_tradnl"/>
    </w:rPr>
  </w:style>
  <w:style w:type="character" w:customStyle="1" w:styleId="eop">
    <w:name w:val="eop"/>
    <w:basedOn w:val="Fuentedeprrafopredeter"/>
    <w:uiPriority w:val="99"/>
    <w:rsid w:val="002225BC"/>
  </w:style>
  <w:style w:type="table" w:customStyle="1" w:styleId="Sombreadoclaro1">
    <w:name w:val="Sombreado claro1"/>
    <w:basedOn w:val="Tablanormal"/>
    <w:next w:val="Sombreadoclaro"/>
    <w:uiPriority w:val="60"/>
    <w:rsid w:val="002225BC"/>
    <w:rPr>
      <w:rFonts w:ascii="Calibri" w:eastAsia="Calibri" w:hAnsi="Calibri"/>
      <w:color w:val="000000"/>
      <w:sz w:val="22"/>
      <w:szCs w:val="22"/>
      <w:lang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2225BC"/>
    <w:rPr>
      <w:rFonts w:ascii="Tahoma" w:hAnsi="Tahoma" w:cs="Tahoma"/>
      <w:sz w:val="16"/>
      <w:szCs w:val="16"/>
    </w:rPr>
  </w:style>
  <w:style w:type="character" w:customStyle="1" w:styleId="TextodegloboCar">
    <w:name w:val="Texto de globo Car"/>
    <w:basedOn w:val="Fuentedeprrafopredeter"/>
    <w:link w:val="Textodeglobo"/>
    <w:uiPriority w:val="99"/>
    <w:semiHidden/>
    <w:rsid w:val="002225BC"/>
    <w:rPr>
      <w:rFonts w:ascii="Tahoma" w:hAnsi="Tahoma" w:cs="Tahoma"/>
      <w:sz w:val="16"/>
      <w:szCs w:val="16"/>
    </w:rPr>
  </w:style>
  <w:style w:type="paragraph" w:customStyle="1" w:styleId="TableParagraph">
    <w:name w:val="Table Paragraph"/>
    <w:basedOn w:val="Normal"/>
    <w:uiPriority w:val="1"/>
    <w:qFormat/>
    <w:rsid w:val="002225BC"/>
    <w:pPr>
      <w:widowControl w:val="0"/>
      <w:autoSpaceDE w:val="0"/>
      <w:autoSpaceDN w:val="0"/>
      <w:adjustRightInd w:val="0"/>
    </w:pPr>
    <w:rPr>
      <w:rFonts w:eastAsia="Times New Roman"/>
      <w:sz w:val="24"/>
      <w:szCs w:val="24"/>
      <w:lang w:eastAsia="es-ES"/>
    </w:rPr>
  </w:style>
  <w:style w:type="paragraph" w:customStyle="1" w:styleId="Textosinformato1">
    <w:name w:val="Texto sin formato1"/>
    <w:basedOn w:val="Normal"/>
    <w:rsid w:val="002225BC"/>
    <w:rPr>
      <w:rFonts w:ascii="Courier New" w:eastAsia="Times New Roman" w:hAnsi="Courier New"/>
      <w:lang w:eastAsia="es-ES"/>
    </w:rPr>
  </w:style>
  <w:style w:type="table" w:styleId="Sombreadoclaro">
    <w:name w:val="Light Shading"/>
    <w:basedOn w:val="Tablanormal"/>
    <w:uiPriority w:val="60"/>
    <w:rsid w:val="002225B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www.agp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3725D-4610-4DCC-BC88-D75DA04F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10765</Words>
  <Characters>59213</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69839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Isaak Valencia Alzueta</dc:creator>
  <cp:lastModifiedBy>Leyre Villabona Perurena</cp:lastModifiedBy>
  <cp:revision>2</cp:revision>
  <dcterms:created xsi:type="dcterms:W3CDTF">2022-01-03T11:07:00Z</dcterms:created>
  <dcterms:modified xsi:type="dcterms:W3CDTF">2022-01-03T11:07:00Z</dcterms:modified>
</cp:coreProperties>
</file>