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CellMar>
          <w:left w:w="0" w:type="dxa"/>
          <w:right w:w="0" w:type="dxa"/>
        </w:tblCellMar>
        <w:tblLook w:val="0000" w:firstRow="0" w:lastRow="0" w:firstColumn="0" w:lastColumn="0" w:noHBand="0" w:noVBand="0"/>
      </w:tblPr>
      <w:tblGrid>
        <w:gridCol w:w="2381"/>
        <w:gridCol w:w="7087"/>
      </w:tblGrid>
      <w:tr w:rsidR="00C4384E" w14:paraId="480E7C44" w14:textId="77777777">
        <w:trPr>
          <w:trHeight w:val="1440"/>
        </w:trPr>
        <w:tc>
          <w:tcPr>
            <w:tcW w:w="2381" w:type="dxa"/>
            <w:tcBorders>
              <w:top w:val="nil"/>
              <w:left w:val="nil"/>
              <w:bottom w:val="nil"/>
              <w:right w:val="nil"/>
            </w:tcBorders>
          </w:tcPr>
          <w:p w14:paraId="673AF9E2" w14:textId="77777777" w:rsidR="00C4384E" w:rsidRDefault="000F6BAB">
            <w:pPr>
              <w:pStyle w:val="ZCom"/>
            </w:pPr>
            <w:r>
              <w:rPr>
                <w:noProof/>
                <w:sz w:val="20"/>
                <w:szCs w:val="20"/>
                <w:lang w:val="en-US" w:eastAsia="en-US"/>
              </w:rPr>
              <w:drawing>
                <wp:inline distT="0" distB="0" distL="0" distR="0" wp14:anchorId="674E88C6" wp14:editId="4AE21063">
                  <wp:extent cx="1359535" cy="683895"/>
                  <wp:effectExtent l="0" t="0" r="0" b="1905"/>
                  <wp:docPr id="1" name="Picture 1" descr="logo_ec_17_colors_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ec_17_colors_300dp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59535" cy="683895"/>
                          </a:xfrm>
                          <a:prstGeom prst="rect">
                            <a:avLst/>
                          </a:prstGeom>
                          <a:noFill/>
                          <a:ln>
                            <a:noFill/>
                          </a:ln>
                        </pic:spPr>
                      </pic:pic>
                    </a:graphicData>
                  </a:graphic>
                </wp:inline>
              </w:drawing>
            </w:r>
          </w:p>
        </w:tc>
        <w:tc>
          <w:tcPr>
            <w:tcW w:w="7087" w:type="dxa"/>
            <w:tcBorders>
              <w:top w:val="nil"/>
              <w:left w:val="nil"/>
              <w:bottom w:val="nil"/>
              <w:right w:val="nil"/>
            </w:tcBorders>
          </w:tcPr>
          <w:p w14:paraId="5C9153E7" w14:textId="77777777" w:rsidR="00C4384E" w:rsidRDefault="0043253C">
            <w:pPr>
              <w:pStyle w:val="ZCom"/>
              <w:spacing w:before="90"/>
              <w:rPr>
                <w:rFonts w:ascii="Times New Roman" w:hAnsi="Times New Roman" w:cs="Times New Roman"/>
              </w:rPr>
            </w:pPr>
            <w:r>
              <w:rPr>
                <w:rFonts w:ascii="Times New Roman" w:hAnsi="Times New Roman"/>
              </w:rPr>
              <w:t>COMISIÓN EUROPEA</w:t>
            </w:r>
          </w:p>
          <w:p w14:paraId="4E4CA7F9" w14:textId="77777777" w:rsidR="00C4384E" w:rsidRDefault="0043253C">
            <w:pPr>
              <w:pStyle w:val="ZDGName"/>
              <w:rPr>
                <w:rFonts w:ascii="Times New Roman" w:hAnsi="Times New Roman" w:cs="Times New Roman"/>
              </w:rPr>
            </w:pPr>
            <w:r>
              <w:rPr>
                <w:rFonts w:ascii="Times New Roman" w:hAnsi="Times New Roman"/>
              </w:rPr>
              <w:t>DIRECCIÓN GENERAL DE AGRICULTURA Y DESARROLLO RURAL</w:t>
            </w:r>
          </w:p>
          <w:p w14:paraId="6DD4DA3D" w14:textId="77777777" w:rsidR="00C4384E" w:rsidRDefault="0043253C">
            <w:pPr>
              <w:pStyle w:val="ZDGName"/>
              <w:rPr>
                <w:rFonts w:ascii="Times New Roman" w:hAnsi="Times New Roman" w:cs="Times New Roman"/>
              </w:rPr>
            </w:pPr>
            <w:r>
              <w:rPr>
                <w:rFonts w:ascii="Times New Roman" w:hAnsi="Times New Roman"/>
              </w:rPr>
              <w:t xml:space="preserve"> </w:t>
            </w:r>
          </w:p>
          <w:p w14:paraId="19C54DC0" w14:textId="77777777" w:rsidR="00C4384E" w:rsidRDefault="00EF4086">
            <w:pPr>
              <w:widowControl w:val="0"/>
              <w:spacing w:after="0"/>
              <w:ind w:right="85"/>
              <w:rPr>
                <w:snapToGrid w:val="0"/>
                <w:sz w:val="16"/>
              </w:rPr>
            </w:pPr>
            <w:r>
              <w:rPr>
                <w:sz w:val="16"/>
              </w:rPr>
              <w:t>Dirección H. Fiabilidad y Auditoría</w:t>
            </w:r>
          </w:p>
          <w:p w14:paraId="11DF8C1A" w14:textId="00C7C53B" w:rsidR="00C4384E" w:rsidRDefault="00EF4086" w:rsidP="004C779D">
            <w:pPr>
              <w:pStyle w:val="ZDGName"/>
            </w:pPr>
            <w:r>
              <w:rPr>
                <w:rFonts w:ascii="Times New Roman" w:hAnsi="Times New Roman"/>
                <w:b/>
              </w:rPr>
              <w:t>H.5 Fiabilidad y Auditoría Financiera</w:t>
            </w:r>
          </w:p>
        </w:tc>
      </w:tr>
    </w:tbl>
    <w:p w14:paraId="6EC206BB" w14:textId="027CEBAF" w:rsidR="00C4384E" w:rsidRDefault="00366BB1">
      <w:pPr>
        <w:pStyle w:val="Date"/>
      </w:pPr>
      <w:r>
        <w:t xml:space="preserve">Bruselas, </w:t>
      </w:r>
      <w:r>
        <w:br/>
      </w:r>
      <w:r>
        <w:rPr>
          <w:sz w:val="20"/>
          <w:szCs w:val="20"/>
        </w:rPr>
        <w:t>MI/ak - agri.ddg3.h.5(2019)4565560</w:t>
      </w:r>
    </w:p>
    <w:p w14:paraId="3B889828" w14:textId="77777777" w:rsidR="00C4384E" w:rsidRDefault="00C4384E">
      <w:pPr>
        <w:pStyle w:val="NoteHead"/>
        <w:rPr>
          <w:highlight w:val="yellow"/>
        </w:rPr>
      </w:pPr>
    </w:p>
    <w:p w14:paraId="02420968" w14:textId="77777777" w:rsidR="00C4384E" w:rsidRDefault="00C4384E">
      <w:pPr>
        <w:pStyle w:val="Subject"/>
        <w:rPr>
          <w:highlight w:val="yellow"/>
        </w:rPr>
      </w:pPr>
      <w:bookmarkStart w:id="0" w:name="_GoBack"/>
      <w:bookmarkEnd w:id="0"/>
    </w:p>
    <w:p w14:paraId="3A6F8A36" w14:textId="77777777" w:rsidR="00C4384E" w:rsidRDefault="00C4384E">
      <w:pPr>
        <w:rPr>
          <w:highlight w:val="yellow"/>
        </w:rPr>
      </w:pPr>
    </w:p>
    <w:p w14:paraId="641612A2" w14:textId="77777777" w:rsidR="00C4384E" w:rsidRDefault="00C4384E">
      <w:pPr>
        <w:rPr>
          <w:highlight w:val="yellow"/>
        </w:rPr>
      </w:pPr>
    </w:p>
    <w:p w14:paraId="3DD5B99A" w14:textId="77777777" w:rsidR="00C4384E" w:rsidRDefault="008A1F11">
      <w:pPr>
        <w:pStyle w:val="NoteHead"/>
        <w:spacing w:before="480"/>
        <w:outlineLvl w:val="0"/>
        <w:rPr>
          <w:sz w:val="40"/>
          <w:szCs w:val="40"/>
        </w:rPr>
      </w:pPr>
      <w:r>
        <w:rPr>
          <w:sz w:val="40"/>
          <w:szCs w:val="40"/>
        </w:rPr>
        <w:t>Directriz n.º 2</w:t>
      </w:r>
    </w:p>
    <w:p w14:paraId="4B3E203D" w14:textId="77777777" w:rsidR="00C4384E" w:rsidRDefault="00C4384E">
      <w:pPr>
        <w:jc w:val="center"/>
        <w:rPr>
          <w:b/>
          <w:bCs/>
          <w:sz w:val="32"/>
          <w:szCs w:val="32"/>
        </w:rPr>
      </w:pPr>
    </w:p>
    <w:p w14:paraId="29678F17" w14:textId="77777777" w:rsidR="00C4384E" w:rsidRDefault="008A1F11">
      <w:pPr>
        <w:jc w:val="center"/>
        <w:rPr>
          <w:b/>
          <w:bCs/>
          <w:sz w:val="26"/>
          <w:szCs w:val="26"/>
        </w:rPr>
      </w:pPr>
      <w:r>
        <w:rPr>
          <w:b/>
          <w:bCs/>
        </w:rPr>
        <w:t>DIRECTRIZ SOBRE LA AUDITORÍA DE CERTIFICACIÓN ANUAL DE GASTOS DEL FEAGA/FEADER</w:t>
      </w:r>
    </w:p>
    <w:p w14:paraId="04E93169" w14:textId="09B208DA" w:rsidR="00C4384E" w:rsidRDefault="002A069D">
      <w:pPr>
        <w:jc w:val="center"/>
      </w:pPr>
      <w:r>
        <w:rPr>
          <w:b/>
          <w:bCs/>
          <w:sz w:val="26"/>
          <w:szCs w:val="26"/>
        </w:rPr>
        <w:t>Ejercicio financiero de 2020</w:t>
      </w:r>
    </w:p>
    <w:p w14:paraId="01194AA3" w14:textId="77777777" w:rsidR="00C4384E" w:rsidRDefault="00C4384E">
      <w:pPr>
        <w:pStyle w:val="Subject"/>
        <w:rPr>
          <w:highlight w:val="yellow"/>
        </w:rPr>
      </w:pPr>
    </w:p>
    <w:p w14:paraId="4250F940" w14:textId="77777777" w:rsidR="00C4384E" w:rsidRDefault="001D2194">
      <w:pPr>
        <w:pStyle w:val="Text1"/>
        <w:jc w:val="center"/>
        <w:rPr>
          <w:smallCaps/>
        </w:rPr>
      </w:pPr>
      <w:r>
        <w:rPr>
          <w:smallCaps/>
        </w:rPr>
        <w:t xml:space="preserve"> (en la que se abordan los requisitos para los organismos de certificación en virtud del artículo 9 del Reglamento (UE) n.º 1306/2013 sobre la financiación, gestión y seguimiento de la Política Agrícola Común)</w:t>
      </w:r>
    </w:p>
    <w:p w14:paraId="3776E245" w14:textId="77777777" w:rsidR="00C4384E" w:rsidRDefault="00C4384E"/>
    <w:p w14:paraId="66D34416" w14:textId="77777777" w:rsidR="00C4384E" w:rsidRDefault="00C4384E"/>
    <w:p w14:paraId="51E7E3B9" w14:textId="77777777" w:rsidR="00C4384E" w:rsidRPr="00805BA2" w:rsidRDefault="0043253C">
      <w:pPr>
        <w:jc w:val="center"/>
        <w:rPr>
          <w:b/>
        </w:rPr>
      </w:pPr>
      <w:r w:rsidRPr="00805BA2">
        <w:br w:type="page"/>
      </w:r>
      <w:r w:rsidRPr="00805BA2">
        <w:rPr>
          <w:b/>
        </w:rPr>
        <w:lastRenderedPageBreak/>
        <w:t>ÍNDICE</w:t>
      </w:r>
    </w:p>
    <w:p w14:paraId="2E630A19" w14:textId="4E5FA944" w:rsidR="00805BA2" w:rsidRDefault="00366BB1">
      <w:pPr>
        <w:pStyle w:val="TOC1"/>
        <w:rPr>
          <w:rFonts w:asciiTheme="minorHAnsi" w:eastAsiaTheme="minorEastAsia" w:hAnsiTheme="minorHAnsi" w:cstheme="minorBidi"/>
          <w:caps w:val="0"/>
          <w:noProof/>
          <w:sz w:val="22"/>
          <w:szCs w:val="22"/>
          <w:lang w:eastAsia="es-ES"/>
        </w:rPr>
      </w:pPr>
      <w:r>
        <w:rPr>
          <w:b/>
          <w:u w:val="single"/>
        </w:rPr>
        <w:fldChar w:fldCharType="begin"/>
      </w:r>
      <w:r w:rsidRPr="00805BA2">
        <w:rPr>
          <w:b/>
          <w:u w:val="single"/>
        </w:rPr>
        <w:instrText xml:space="preserve"> TOC \o "1-3" </w:instrText>
      </w:r>
      <w:r>
        <w:rPr>
          <w:b/>
          <w:u w:val="single"/>
        </w:rPr>
        <w:fldChar w:fldCharType="separate"/>
      </w:r>
      <w:r w:rsidR="00805BA2">
        <w:rPr>
          <w:noProof/>
        </w:rPr>
        <w:t>1</w:t>
      </w:r>
      <w:r w:rsidR="00805BA2">
        <w:rPr>
          <w:rFonts w:asciiTheme="minorHAnsi" w:eastAsiaTheme="minorEastAsia" w:hAnsiTheme="minorHAnsi" w:cstheme="minorBidi"/>
          <w:caps w:val="0"/>
          <w:noProof/>
          <w:sz w:val="22"/>
          <w:szCs w:val="22"/>
          <w:lang w:eastAsia="es-ES"/>
        </w:rPr>
        <w:tab/>
      </w:r>
      <w:r w:rsidR="00805BA2">
        <w:rPr>
          <w:noProof/>
        </w:rPr>
        <w:t>Finalidad</w:t>
      </w:r>
      <w:r w:rsidR="00805BA2">
        <w:rPr>
          <w:noProof/>
        </w:rPr>
        <w:tab/>
      </w:r>
      <w:r w:rsidR="00805BA2">
        <w:rPr>
          <w:noProof/>
        </w:rPr>
        <w:fldChar w:fldCharType="begin"/>
      </w:r>
      <w:r w:rsidR="00805BA2">
        <w:rPr>
          <w:noProof/>
        </w:rPr>
        <w:instrText xml:space="preserve"> PAGEREF _Toc16667583 \h </w:instrText>
      </w:r>
      <w:r w:rsidR="00805BA2">
        <w:rPr>
          <w:noProof/>
        </w:rPr>
      </w:r>
      <w:r w:rsidR="00805BA2">
        <w:rPr>
          <w:noProof/>
        </w:rPr>
        <w:fldChar w:fldCharType="separate"/>
      </w:r>
      <w:r w:rsidR="00805BA2">
        <w:rPr>
          <w:noProof/>
        </w:rPr>
        <w:t>7</w:t>
      </w:r>
      <w:r w:rsidR="00805BA2">
        <w:rPr>
          <w:noProof/>
        </w:rPr>
        <w:fldChar w:fldCharType="end"/>
      </w:r>
    </w:p>
    <w:p w14:paraId="28873920" w14:textId="352BB8FD" w:rsidR="00805BA2" w:rsidRDefault="00805BA2">
      <w:pPr>
        <w:pStyle w:val="TOC1"/>
        <w:rPr>
          <w:rFonts w:asciiTheme="minorHAnsi" w:eastAsiaTheme="minorEastAsia" w:hAnsiTheme="minorHAnsi" w:cstheme="minorBidi"/>
          <w:caps w:val="0"/>
          <w:noProof/>
          <w:sz w:val="22"/>
          <w:szCs w:val="22"/>
          <w:lang w:eastAsia="es-ES"/>
        </w:rPr>
      </w:pPr>
      <w:r>
        <w:rPr>
          <w:noProof/>
        </w:rPr>
        <w:t>2</w:t>
      </w:r>
      <w:r>
        <w:rPr>
          <w:rFonts w:asciiTheme="minorHAnsi" w:eastAsiaTheme="minorEastAsia" w:hAnsiTheme="minorHAnsi" w:cstheme="minorBidi"/>
          <w:caps w:val="0"/>
          <w:noProof/>
          <w:sz w:val="22"/>
          <w:szCs w:val="22"/>
          <w:lang w:eastAsia="es-ES"/>
        </w:rPr>
        <w:tab/>
      </w:r>
      <w:r>
        <w:rPr>
          <w:noProof/>
        </w:rPr>
        <w:t>Modelo de garantía y marco jurídico</w:t>
      </w:r>
      <w:r>
        <w:rPr>
          <w:noProof/>
        </w:rPr>
        <w:tab/>
      </w:r>
      <w:r>
        <w:rPr>
          <w:noProof/>
        </w:rPr>
        <w:fldChar w:fldCharType="begin"/>
      </w:r>
      <w:r>
        <w:rPr>
          <w:noProof/>
        </w:rPr>
        <w:instrText xml:space="preserve"> PAGEREF _Toc16667584 \h </w:instrText>
      </w:r>
      <w:r>
        <w:rPr>
          <w:noProof/>
        </w:rPr>
      </w:r>
      <w:r>
        <w:rPr>
          <w:noProof/>
        </w:rPr>
        <w:fldChar w:fldCharType="separate"/>
      </w:r>
      <w:r>
        <w:rPr>
          <w:noProof/>
        </w:rPr>
        <w:t>9</w:t>
      </w:r>
      <w:r>
        <w:rPr>
          <w:noProof/>
        </w:rPr>
        <w:fldChar w:fldCharType="end"/>
      </w:r>
    </w:p>
    <w:p w14:paraId="66A74482" w14:textId="3611C669" w:rsidR="00805BA2" w:rsidRDefault="00805BA2">
      <w:pPr>
        <w:pStyle w:val="TOC2"/>
        <w:rPr>
          <w:rFonts w:asciiTheme="minorHAnsi" w:eastAsiaTheme="minorEastAsia" w:hAnsiTheme="minorHAnsi" w:cstheme="minorBidi"/>
          <w:noProof/>
          <w:sz w:val="22"/>
          <w:szCs w:val="22"/>
          <w:lang w:eastAsia="es-ES"/>
        </w:rPr>
      </w:pPr>
      <w:r>
        <w:rPr>
          <w:noProof/>
        </w:rPr>
        <w:t>2.1 Modelo de garantía</w:t>
      </w:r>
      <w:r>
        <w:rPr>
          <w:noProof/>
        </w:rPr>
        <w:tab/>
      </w:r>
      <w:r>
        <w:rPr>
          <w:noProof/>
        </w:rPr>
        <w:fldChar w:fldCharType="begin"/>
      </w:r>
      <w:r>
        <w:rPr>
          <w:noProof/>
        </w:rPr>
        <w:instrText xml:space="preserve"> PAGEREF _Toc16667585 \h </w:instrText>
      </w:r>
      <w:r>
        <w:rPr>
          <w:noProof/>
        </w:rPr>
      </w:r>
      <w:r>
        <w:rPr>
          <w:noProof/>
        </w:rPr>
        <w:fldChar w:fldCharType="separate"/>
      </w:r>
      <w:r>
        <w:rPr>
          <w:noProof/>
        </w:rPr>
        <w:t>9</w:t>
      </w:r>
      <w:r>
        <w:rPr>
          <w:noProof/>
        </w:rPr>
        <w:fldChar w:fldCharType="end"/>
      </w:r>
    </w:p>
    <w:p w14:paraId="39FC1ECC" w14:textId="0AF263AB" w:rsidR="00805BA2" w:rsidRDefault="00805BA2">
      <w:pPr>
        <w:pStyle w:val="TOC2"/>
        <w:rPr>
          <w:rFonts w:asciiTheme="minorHAnsi" w:eastAsiaTheme="minorEastAsia" w:hAnsiTheme="minorHAnsi" w:cstheme="minorBidi"/>
          <w:noProof/>
          <w:sz w:val="22"/>
          <w:szCs w:val="22"/>
          <w:lang w:eastAsia="es-ES"/>
        </w:rPr>
      </w:pPr>
      <w:r>
        <w:rPr>
          <w:noProof/>
        </w:rPr>
        <w:t>2.2 Marco jurídico</w:t>
      </w:r>
      <w:r>
        <w:rPr>
          <w:noProof/>
        </w:rPr>
        <w:tab/>
      </w:r>
      <w:r>
        <w:rPr>
          <w:noProof/>
        </w:rPr>
        <w:fldChar w:fldCharType="begin"/>
      </w:r>
      <w:r>
        <w:rPr>
          <w:noProof/>
        </w:rPr>
        <w:instrText xml:space="preserve"> PAGEREF _Toc16667586 \h </w:instrText>
      </w:r>
      <w:r>
        <w:rPr>
          <w:noProof/>
        </w:rPr>
      </w:r>
      <w:r>
        <w:rPr>
          <w:noProof/>
        </w:rPr>
        <w:fldChar w:fldCharType="separate"/>
      </w:r>
      <w:r>
        <w:rPr>
          <w:noProof/>
        </w:rPr>
        <w:t>10</w:t>
      </w:r>
      <w:r>
        <w:rPr>
          <w:noProof/>
        </w:rPr>
        <w:fldChar w:fldCharType="end"/>
      </w:r>
    </w:p>
    <w:p w14:paraId="18363D59" w14:textId="059FC28A" w:rsidR="00805BA2" w:rsidRDefault="00805BA2">
      <w:pPr>
        <w:pStyle w:val="TOC1"/>
        <w:rPr>
          <w:rFonts w:asciiTheme="minorHAnsi" w:eastAsiaTheme="minorEastAsia" w:hAnsiTheme="minorHAnsi" w:cstheme="minorBidi"/>
          <w:caps w:val="0"/>
          <w:noProof/>
          <w:sz w:val="22"/>
          <w:szCs w:val="22"/>
          <w:lang w:eastAsia="es-ES"/>
        </w:rPr>
      </w:pPr>
      <w:r>
        <w:rPr>
          <w:noProof/>
        </w:rPr>
        <w:t>3</w:t>
      </w:r>
      <w:r>
        <w:rPr>
          <w:rFonts w:asciiTheme="minorHAnsi" w:eastAsiaTheme="minorEastAsia" w:hAnsiTheme="minorHAnsi" w:cstheme="minorBidi"/>
          <w:caps w:val="0"/>
          <w:noProof/>
          <w:sz w:val="22"/>
          <w:szCs w:val="22"/>
          <w:lang w:eastAsia="es-ES"/>
        </w:rPr>
        <w:tab/>
      </w:r>
      <w:r>
        <w:rPr>
          <w:noProof/>
        </w:rPr>
        <w:t>Objetivos de auditoría</w:t>
      </w:r>
      <w:r>
        <w:rPr>
          <w:noProof/>
        </w:rPr>
        <w:tab/>
      </w:r>
      <w:r>
        <w:rPr>
          <w:noProof/>
        </w:rPr>
        <w:fldChar w:fldCharType="begin"/>
      </w:r>
      <w:r>
        <w:rPr>
          <w:noProof/>
        </w:rPr>
        <w:instrText xml:space="preserve"> PAGEREF _Toc16667587 \h </w:instrText>
      </w:r>
      <w:r>
        <w:rPr>
          <w:noProof/>
        </w:rPr>
      </w:r>
      <w:r>
        <w:rPr>
          <w:noProof/>
        </w:rPr>
        <w:fldChar w:fldCharType="separate"/>
      </w:r>
      <w:r>
        <w:rPr>
          <w:noProof/>
        </w:rPr>
        <w:t>11</w:t>
      </w:r>
      <w:r>
        <w:rPr>
          <w:noProof/>
        </w:rPr>
        <w:fldChar w:fldCharType="end"/>
      </w:r>
    </w:p>
    <w:p w14:paraId="73DC2C83" w14:textId="654E71F8" w:rsidR="00805BA2" w:rsidRDefault="00805BA2">
      <w:pPr>
        <w:pStyle w:val="TOC2"/>
        <w:tabs>
          <w:tab w:val="left" w:pos="1077"/>
        </w:tabs>
        <w:rPr>
          <w:rFonts w:asciiTheme="minorHAnsi" w:eastAsiaTheme="minorEastAsia" w:hAnsiTheme="minorHAnsi" w:cstheme="minorBidi"/>
          <w:noProof/>
          <w:sz w:val="22"/>
          <w:szCs w:val="22"/>
          <w:lang w:eastAsia="es-ES"/>
        </w:rPr>
      </w:pPr>
      <w:r>
        <w:rPr>
          <w:noProof/>
        </w:rPr>
        <w:t>3.1</w:t>
      </w:r>
      <w:r>
        <w:rPr>
          <w:rFonts w:asciiTheme="minorHAnsi" w:eastAsiaTheme="minorEastAsia" w:hAnsiTheme="minorHAnsi" w:cstheme="minorBidi"/>
          <w:noProof/>
          <w:sz w:val="22"/>
          <w:szCs w:val="22"/>
          <w:lang w:eastAsia="es-ES"/>
        </w:rPr>
        <w:tab/>
      </w:r>
      <w:r>
        <w:rPr>
          <w:noProof/>
        </w:rPr>
        <w:t>Objetivo de auditoría n.º 1</w:t>
      </w:r>
      <w:r>
        <w:rPr>
          <w:noProof/>
        </w:rPr>
        <w:tab/>
      </w:r>
      <w:r>
        <w:rPr>
          <w:noProof/>
        </w:rPr>
        <w:fldChar w:fldCharType="begin"/>
      </w:r>
      <w:r>
        <w:rPr>
          <w:noProof/>
        </w:rPr>
        <w:instrText xml:space="preserve"> PAGEREF _Toc16667588 \h </w:instrText>
      </w:r>
      <w:r>
        <w:rPr>
          <w:noProof/>
        </w:rPr>
      </w:r>
      <w:r>
        <w:rPr>
          <w:noProof/>
        </w:rPr>
        <w:fldChar w:fldCharType="separate"/>
      </w:r>
      <w:r>
        <w:rPr>
          <w:noProof/>
        </w:rPr>
        <w:t>11</w:t>
      </w:r>
      <w:r>
        <w:rPr>
          <w:noProof/>
        </w:rPr>
        <w:fldChar w:fldCharType="end"/>
      </w:r>
    </w:p>
    <w:p w14:paraId="60A48BBC" w14:textId="7526A889" w:rsidR="00805BA2" w:rsidRDefault="00805BA2">
      <w:pPr>
        <w:pStyle w:val="TOC2"/>
        <w:rPr>
          <w:rFonts w:asciiTheme="minorHAnsi" w:eastAsiaTheme="minorEastAsia" w:hAnsiTheme="minorHAnsi" w:cstheme="minorBidi"/>
          <w:noProof/>
          <w:sz w:val="22"/>
          <w:szCs w:val="22"/>
          <w:lang w:eastAsia="es-ES"/>
        </w:rPr>
      </w:pPr>
      <w:r>
        <w:rPr>
          <w:noProof/>
        </w:rPr>
        <w:t>3.2 Ámbito de auditoría del objetivo de auditoría n.º 1</w:t>
      </w:r>
      <w:r>
        <w:rPr>
          <w:noProof/>
        </w:rPr>
        <w:tab/>
      </w:r>
      <w:r>
        <w:rPr>
          <w:noProof/>
        </w:rPr>
        <w:fldChar w:fldCharType="begin"/>
      </w:r>
      <w:r>
        <w:rPr>
          <w:noProof/>
        </w:rPr>
        <w:instrText xml:space="preserve"> PAGEREF _Toc16667589 \h </w:instrText>
      </w:r>
      <w:r>
        <w:rPr>
          <w:noProof/>
        </w:rPr>
      </w:r>
      <w:r>
        <w:rPr>
          <w:noProof/>
        </w:rPr>
        <w:fldChar w:fldCharType="separate"/>
      </w:r>
      <w:r>
        <w:rPr>
          <w:noProof/>
        </w:rPr>
        <w:t>12</w:t>
      </w:r>
      <w:r>
        <w:rPr>
          <w:noProof/>
        </w:rPr>
        <w:fldChar w:fldCharType="end"/>
      </w:r>
    </w:p>
    <w:p w14:paraId="239185BD" w14:textId="764BC853" w:rsidR="00805BA2" w:rsidRDefault="00805BA2">
      <w:pPr>
        <w:pStyle w:val="TOC2"/>
        <w:rPr>
          <w:rFonts w:asciiTheme="minorHAnsi" w:eastAsiaTheme="minorEastAsia" w:hAnsiTheme="minorHAnsi" w:cstheme="minorBidi"/>
          <w:noProof/>
          <w:sz w:val="22"/>
          <w:szCs w:val="22"/>
          <w:lang w:eastAsia="es-ES"/>
        </w:rPr>
      </w:pPr>
      <w:r>
        <w:rPr>
          <w:noProof/>
        </w:rPr>
        <w:t>3.3 Objetivo de auditoría n.º 2</w:t>
      </w:r>
      <w:r>
        <w:rPr>
          <w:noProof/>
        </w:rPr>
        <w:tab/>
      </w:r>
      <w:r>
        <w:rPr>
          <w:noProof/>
        </w:rPr>
        <w:fldChar w:fldCharType="begin"/>
      </w:r>
      <w:r>
        <w:rPr>
          <w:noProof/>
        </w:rPr>
        <w:instrText xml:space="preserve"> PAGEREF _Toc16667590 \h </w:instrText>
      </w:r>
      <w:r>
        <w:rPr>
          <w:noProof/>
        </w:rPr>
      </w:r>
      <w:r>
        <w:rPr>
          <w:noProof/>
        </w:rPr>
        <w:fldChar w:fldCharType="separate"/>
      </w:r>
      <w:r>
        <w:rPr>
          <w:noProof/>
        </w:rPr>
        <w:t>12</w:t>
      </w:r>
      <w:r>
        <w:rPr>
          <w:noProof/>
        </w:rPr>
        <w:fldChar w:fldCharType="end"/>
      </w:r>
    </w:p>
    <w:p w14:paraId="20C4605B" w14:textId="246F31E9" w:rsidR="00805BA2" w:rsidRDefault="00805BA2">
      <w:pPr>
        <w:pStyle w:val="TOC2"/>
        <w:rPr>
          <w:rFonts w:asciiTheme="minorHAnsi" w:eastAsiaTheme="minorEastAsia" w:hAnsiTheme="minorHAnsi" w:cstheme="minorBidi"/>
          <w:noProof/>
          <w:sz w:val="22"/>
          <w:szCs w:val="22"/>
          <w:lang w:eastAsia="es-ES"/>
        </w:rPr>
      </w:pPr>
      <w:r>
        <w:rPr>
          <w:noProof/>
        </w:rPr>
        <w:t>3.4 Ámbito de auditoría del objetivo de auditoría n.º 2</w:t>
      </w:r>
      <w:r>
        <w:rPr>
          <w:noProof/>
        </w:rPr>
        <w:tab/>
      </w:r>
      <w:r>
        <w:rPr>
          <w:noProof/>
        </w:rPr>
        <w:fldChar w:fldCharType="begin"/>
      </w:r>
      <w:r>
        <w:rPr>
          <w:noProof/>
        </w:rPr>
        <w:instrText xml:space="preserve"> PAGEREF _Toc16667591 \h </w:instrText>
      </w:r>
      <w:r>
        <w:rPr>
          <w:noProof/>
        </w:rPr>
      </w:r>
      <w:r>
        <w:rPr>
          <w:noProof/>
        </w:rPr>
        <w:fldChar w:fldCharType="separate"/>
      </w:r>
      <w:r>
        <w:rPr>
          <w:noProof/>
        </w:rPr>
        <w:t>13</w:t>
      </w:r>
      <w:r>
        <w:rPr>
          <w:noProof/>
        </w:rPr>
        <w:fldChar w:fldCharType="end"/>
      </w:r>
    </w:p>
    <w:p w14:paraId="28B13B7B" w14:textId="72A78FC9" w:rsidR="00805BA2" w:rsidRDefault="00805BA2">
      <w:pPr>
        <w:pStyle w:val="TOC1"/>
        <w:rPr>
          <w:rFonts w:asciiTheme="minorHAnsi" w:eastAsiaTheme="minorEastAsia" w:hAnsiTheme="minorHAnsi" w:cstheme="minorBidi"/>
          <w:caps w:val="0"/>
          <w:noProof/>
          <w:sz w:val="22"/>
          <w:szCs w:val="22"/>
          <w:lang w:eastAsia="es-ES"/>
        </w:rPr>
      </w:pPr>
      <w:r>
        <w:rPr>
          <w:noProof/>
        </w:rPr>
        <w:t>4</w:t>
      </w:r>
      <w:r>
        <w:rPr>
          <w:rFonts w:asciiTheme="minorHAnsi" w:eastAsiaTheme="minorEastAsia" w:hAnsiTheme="minorHAnsi" w:cstheme="minorBidi"/>
          <w:caps w:val="0"/>
          <w:noProof/>
          <w:sz w:val="22"/>
          <w:szCs w:val="22"/>
          <w:lang w:eastAsia="es-ES"/>
        </w:rPr>
        <w:tab/>
      </w:r>
      <w:r>
        <w:rPr>
          <w:noProof/>
        </w:rPr>
        <w:t>Modelo de riesgo de auditoría y procedimientos de auditoría</w:t>
      </w:r>
      <w:r>
        <w:rPr>
          <w:noProof/>
        </w:rPr>
        <w:tab/>
      </w:r>
      <w:r>
        <w:rPr>
          <w:noProof/>
        </w:rPr>
        <w:fldChar w:fldCharType="begin"/>
      </w:r>
      <w:r>
        <w:rPr>
          <w:noProof/>
        </w:rPr>
        <w:instrText xml:space="preserve"> PAGEREF _Toc16667592 \h </w:instrText>
      </w:r>
      <w:r>
        <w:rPr>
          <w:noProof/>
        </w:rPr>
      </w:r>
      <w:r>
        <w:rPr>
          <w:noProof/>
        </w:rPr>
        <w:fldChar w:fldCharType="separate"/>
      </w:r>
      <w:r>
        <w:rPr>
          <w:noProof/>
        </w:rPr>
        <w:t>16</w:t>
      </w:r>
      <w:r>
        <w:rPr>
          <w:noProof/>
        </w:rPr>
        <w:fldChar w:fldCharType="end"/>
      </w:r>
    </w:p>
    <w:p w14:paraId="3243AEE8" w14:textId="55BA9264" w:rsidR="00805BA2" w:rsidRDefault="00805BA2">
      <w:pPr>
        <w:pStyle w:val="TOC2"/>
        <w:rPr>
          <w:rFonts w:asciiTheme="minorHAnsi" w:eastAsiaTheme="minorEastAsia" w:hAnsiTheme="minorHAnsi" w:cstheme="minorBidi"/>
          <w:noProof/>
          <w:sz w:val="22"/>
          <w:szCs w:val="22"/>
          <w:lang w:eastAsia="es-ES"/>
        </w:rPr>
      </w:pPr>
      <w:r>
        <w:rPr>
          <w:noProof/>
        </w:rPr>
        <w:t>4.1 Modelo de riesgo de auditoría</w:t>
      </w:r>
      <w:r>
        <w:rPr>
          <w:noProof/>
        </w:rPr>
        <w:tab/>
      </w:r>
      <w:r>
        <w:rPr>
          <w:noProof/>
        </w:rPr>
        <w:fldChar w:fldCharType="begin"/>
      </w:r>
      <w:r>
        <w:rPr>
          <w:noProof/>
        </w:rPr>
        <w:instrText xml:space="preserve"> PAGEREF _Toc16667593 \h </w:instrText>
      </w:r>
      <w:r>
        <w:rPr>
          <w:noProof/>
        </w:rPr>
      </w:r>
      <w:r>
        <w:rPr>
          <w:noProof/>
        </w:rPr>
        <w:fldChar w:fldCharType="separate"/>
      </w:r>
      <w:r>
        <w:rPr>
          <w:noProof/>
        </w:rPr>
        <w:t>16</w:t>
      </w:r>
      <w:r>
        <w:rPr>
          <w:noProof/>
        </w:rPr>
        <w:fldChar w:fldCharType="end"/>
      </w:r>
    </w:p>
    <w:p w14:paraId="6999D039" w14:textId="6E24216A" w:rsidR="00805BA2" w:rsidRDefault="00805BA2">
      <w:pPr>
        <w:pStyle w:val="TOC2"/>
        <w:rPr>
          <w:rFonts w:asciiTheme="minorHAnsi" w:eastAsiaTheme="minorEastAsia" w:hAnsiTheme="minorHAnsi" w:cstheme="minorBidi"/>
          <w:noProof/>
          <w:sz w:val="22"/>
          <w:szCs w:val="22"/>
          <w:lang w:eastAsia="es-ES"/>
        </w:rPr>
      </w:pPr>
      <w:r>
        <w:rPr>
          <w:noProof/>
        </w:rPr>
        <w:t>4.2 Niveles de garantía para los procedimientos de auditoría</w:t>
      </w:r>
      <w:r>
        <w:rPr>
          <w:noProof/>
        </w:rPr>
        <w:tab/>
      </w:r>
      <w:r>
        <w:rPr>
          <w:noProof/>
        </w:rPr>
        <w:fldChar w:fldCharType="begin"/>
      </w:r>
      <w:r>
        <w:rPr>
          <w:noProof/>
        </w:rPr>
        <w:instrText xml:space="preserve"> PAGEREF _Toc16667594 \h </w:instrText>
      </w:r>
      <w:r>
        <w:rPr>
          <w:noProof/>
        </w:rPr>
      </w:r>
      <w:r>
        <w:rPr>
          <w:noProof/>
        </w:rPr>
        <w:fldChar w:fldCharType="separate"/>
      </w:r>
      <w:r>
        <w:rPr>
          <w:noProof/>
        </w:rPr>
        <w:t>18</w:t>
      </w:r>
      <w:r>
        <w:rPr>
          <w:noProof/>
        </w:rPr>
        <w:fldChar w:fldCharType="end"/>
      </w:r>
    </w:p>
    <w:p w14:paraId="4CD601A8" w14:textId="444D5671" w:rsidR="00805BA2" w:rsidRDefault="00805BA2">
      <w:pPr>
        <w:pStyle w:val="TOC2"/>
        <w:rPr>
          <w:rFonts w:asciiTheme="minorHAnsi" w:eastAsiaTheme="minorEastAsia" w:hAnsiTheme="minorHAnsi" w:cstheme="minorBidi"/>
          <w:noProof/>
          <w:sz w:val="22"/>
          <w:szCs w:val="22"/>
          <w:lang w:eastAsia="es-ES"/>
        </w:rPr>
      </w:pPr>
      <w:r>
        <w:rPr>
          <w:noProof/>
        </w:rPr>
        <w:t>4.3 Utilización de las pruebas de auditoría obtenidas en auditorías anteriores y de otros auditores</w:t>
      </w:r>
      <w:r>
        <w:rPr>
          <w:noProof/>
        </w:rPr>
        <w:tab/>
      </w:r>
      <w:r>
        <w:rPr>
          <w:noProof/>
        </w:rPr>
        <w:fldChar w:fldCharType="begin"/>
      </w:r>
      <w:r>
        <w:rPr>
          <w:noProof/>
        </w:rPr>
        <w:instrText xml:space="preserve"> PAGEREF _Toc16667595 \h </w:instrText>
      </w:r>
      <w:r>
        <w:rPr>
          <w:noProof/>
        </w:rPr>
      </w:r>
      <w:r>
        <w:rPr>
          <w:noProof/>
        </w:rPr>
        <w:fldChar w:fldCharType="separate"/>
      </w:r>
      <w:r>
        <w:rPr>
          <w:noProof/>
        </w:rPr>
        <w:t>19</w:t>
      </w:r>
      <w:r>
        <w:rPr>
          <w:noProof/>
        </w:rPr>
        <w:fldChar w:fldCharType="end"/>
      </w:r>
    </w:p>
    <w:p w14:paraId="490A79E6" w14:textId="4EB74A4D" w:rsidR="00805BA2" w:rsidRDefault="00805BA2">
      <w:pPr>
        <w:pStyle w:val="TOC2"/>
        <w:rPr>
          <w:rFonts w:asciiTheme="minorHAnsi" w:eastAsiaTheme="minorEastAsia" w:hAnsiTheme="minorHAnsi" w:cstheme="minorBidi"/>
          <w:noProof/>
          <w:sz w:val="22"/>
          <w:szCs w:val="22"/>
          <w:lang w:eastAsia="es-ES"/>
        </w:rPr>
      </w:pPr>
      <w:r>
        <w:rPr>
          <w:noProof/>
        </w:rPr>
        <w:t>4.4 Enfoque de auditoría – respuestas del OC a los riesgos valorados y fortalecimiento de la garantía</w:t>
      </w:r>
      <w:r>
        <w:rPr>
          <w:noProof/>
        </w:rPr>
        <w:tab/>
      </w:r>
      <w:r>
        <w:rPr>
          <w:noProof/>
        </w:rPr>
        <w:fldChar w:fldCharType="begin"/>
      </w:r>
      <w:r>
        <w:rPr>
          <w:noProof/>
        </w:rPr>
        <w:instrText xml:space="preserve"> PAGEREF _Toc16667596 \h </w:instrText>
      </w:r>
      <w:r>
        <w:rPr>
          <w:noProof/>
        </w:rPr>
      </w:r>
      <w:r>
        <w:rPr>
          <w:noProof/>
        </w:rPr>
        <w:fldChar w:fldCharType="separate"/>
      </w:r>
      <w:r>
        <w:rPr>
          <w:noProof/>
        </w:rPr>
        <w:t>20</w:t>
      </w:r>
      <w:r>
        <w:rPr>
          <w:noProof/>
        </w:rPr>
        <w:fldChar w:fldCharType="end"/>
      </w:r>
    </w:p>
    <w:p w14:paraId="31F34DAA" w14:textId="53793D7B" w:rsidR="00805BA2" w:rsidRDefault="00805BA2">
      <w:pPr>
        <w:pStyle w:val="TOC1"/>
        <w:rPr>
          <w:rFonts w:asciiTheme="minorHAnsi" w:eastAsiaTheme="minorEastAsia" w:hAnsiTheme="minorHAnsi" w:cstheme="minorBidi"/>
          <w:caps w:val="0"/>
          <w:noProof/>
          <w:sz w:val="22"/>
          <w:szCs w:val="22"/>
          <w:lang w:eastAsia="es-ES"/>
        </w:rPr>
      </w:pPr>
      <w:r>
        <w:rPr>
          <w:noProof/>
        </w:rPr>
        <w:t>PARTE A</w:t>
      </w:r>
      <w:r>
        <w:rPr>
          <w:noProof/>
        </w:rPr>
        <w:tab/>
      </w:r>
      <w:r>
        <w:rPr>
          <w:noProof/>
        </w:rPr>
        <w:fldChar w:fldCharType="begin"/>
      </w:r>
      <w:r>
        <w:rPr>
          <w:noProof/>
        </w:rPr>
        <w:instrText xml:space="preserve"> PAGEREF _Toc16667597 \h </w:instrText>
      </w:r>
      <w:r>
        <w:rPr>
          <w:noProof/>
        </w:rPr>
      </w:r>
      <w:r>
        <w:rPr>
          <w:noProof/>
        </w:rPr>
        <w:fldChar w:fldCharType="separate"/>
      </w:r>
      <w:r>
        <w:rPr>
          <w:noProof/>
        </w:rPr>
        <w:t>23</w:t>
      </w:r>
      <w:r>
        <w:rPr>
          <w:noProof/>
        </w:rPr>
        <w:fldChar w:fldCharType="end"/>
      </w:r>
    </w:p>
    <w:p w14:paraId="5DF735D1" w14:textId="213FD9AF" w:rsidR="00805BA2" w:rsidRDefault="00805BA2">
      <w:pPr>
        <w:pStyle w:val="TOC2"/>
        <w:rPr>
          <w:rFonts w:asciiTheme="minorHAnsi" w:eastAsiaTheme="minorEastAsia" w:hAnsiTheme="minorHAnsi" w:cstheme="minorBidi"/>
          <w:noProof/>
          <w:sz w:val="22"/>
          <w:szCs w:val="22"/>
          <w:lang w:eastAsia="es-ES"/>
        </w:rPr>
      </w:pPr>
      <w:r>
        <w:rPr>
          <w:noProof/>
        </w:rPr>
        <w:t>4.5 Procedimientos de auditoría</w:t>
      </w:r>
      <w:r>
        <w:rPr>
          <w:noProof/>
        </w:rPr>
        <w:tab/>
      </w:r>
      <w:r>
        <w:rPr>
          <w:noProof/>
        </w:rPr>
        <w:fldChar w:fldCharType="begin"/>
      </w:r>
      <w:r>
        <w:rPr>
          <w:noProof/>
        </w:rPr>
        <w:instrText xml:space="preserve"> PAGEREF _Toc16667598 \h </w:instrText>
      </w:r>
      <w:r>
        <w:rPr>
          <w:noProof/>
        </w:rPr>
      </w:r>
      <w:r>
        <w:rPr>
          <w:noProof/>
        </w:rPr>
        <w:fldChar w:fldCharType="separate"/>
      </w:r>
      <w:r>
        <w:rPr>
          <w:noProof/>
        </w:rPr>
        <w:t>24</w:t>
      </w:r>
      <w:r>
        <w:rPr>
          <w:noProof/>
        </w:rPr>
        <w:fldChar w:fldCharType="end"/>
      </w:r>
    </w:p>
    <w:p w14:paraId="6FD88291" w14:textId="6851F2E3"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Definición del modelo de riesgo de auditoría y niveles de garantía</w:t>
      </w:r>
      <w:r>
        <w:rPr>
          <w:noProof/>
        </w:rPr>
        <w:tab/>
      </w:r>
      <w:r>
        <w:rPr>
          <w:noProof/>
        </w:rPr>
        <w:fldChar w:fldCharType="begin"/>
      </w:r>
      <w:r>
        <w:rPr>
          <w:noProof/>
        </w:rPr>
        <w:instrText xml:space="preserve"> PAGEREF _Toc16667599 \h </w:instrText>
      </w:r>
      <w:r>
        <w:rPr>
          <w:noProof/>
        </w:rPr>
      </w:r>
      <w:r>
        <w:rPr>
          <w:noProof/>
        </w:rPr>
        <w:fldChar w:fldCharType="separate"/>
      </w:r>
      <w:r>
        <w:rPr>
          <w:noProof/>
        </w:rPr>
        <w:t>24</w:t>
      </w:r>
      <w:r>
        <w:rPr>
          <w:noProof/>
        </w:rPr>
        <w:fldChar w:fldCharType="end"/>
      </w:r>
    </w:p>
    <w:p w14:paraId="6015E73D" w14:textId="6184EF0F"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Valoración del sistema de control interno</w:t>
      </w:r>
      <w:r>
        <w:rPr>
          <w:noProof/>
        </w:rPr>
        <w:tab/>
      </w:r>
      <w:r>
        <w:rPr>
          <w:noProof/>
        </w:rPr>
        <w:fldChar w:fldCharType="begin"/>
      </w:r>
      <w:r>
        <w:rPr>
          <w:noProof/>
        </w:rPr>
        <w:instrText xml:space="preserve"> PAGEREF _Toc16667600 \h </w:instrText>
      </w:r>
      <w:r>
        <w:rPr>
          <w:noProof/>
        </w:rPr>
      </w:r>
      <w:r>
        <w:rPr>
          <w:noProof/>
        </w:rPr>
        <w:fldChar w:fldCharType="separate"/>
      </w:r>
      <w:r>
        <w:rPr>
          <w:noProof/>
        </w:rPr>
        <w:t>25</w:t>
      </w:r>
      <w:r>
        <w:rPr>
          <w:noProof/>
        </w:rPr>
        <w:fldChar w:fldCharType="end"/>
      </w:r>
    </w:p>
    <w:p w14:paraId="43550506" w14:textId="76F6729E"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Pruebas sustantivas</w:t>
      </w:r>
      <w:r>
        <w:rPr>
          <w:noProof/>
        </w:rPr>
        <w:tab/>
      </w:r>
      <w:r>
        <w:rPr>
          <w:noProof/>
        </w:rPr>
        <w:fldChar w:fldCharType="begin"/>
      </w:r>
      <w:r>
        <w:rPr>
          <w:noProof/>
        </w:rPr>
        <w:instrText xml:space="preserve"> PAGEREF _Toc16667601 \h </w:instrText>
      </w:r>
      <w:r>
        <w:rPr>
          <w:noProof/>
        </w:rPr>
      </w:r>
      <w:r>
        <w:rPr>
          <w:noProof/>
        </w:rPr>
        <w:fldChar w:fldCharType="separate"/>
      </w:r>
      <w:r>
        <w:rPr>
          <w:noProof/>
        </w:rPr>
        <w:t>25</w:t>
      </w:r>
      <w:r>
        <w:rPr>
          <w:noProof/>
        </w:rPr>
        <w:fldChar w:fldCharType="end"/>
      </w:r>
    </w:p>
    <w:p w14:paraId="2FAE864E" w14:textId="238675D0"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Conciliaciones</w:t>
      </w:r>
      <w:r>
        <w:rPr>
          <w:noProof/>
        </w:rPr>
        <w:tab/>
      </w:r>
      <w:r>
        <w:rPr>
          <w:noProof/>
        </w:rPr>
        <w:fldChar w:fldCharType="begin"/>
      </w:r>
      <w:r>
        <w:rPr>
          <w:noProof/>
        </w:rPr>
        <w:instrText xml:space="preserve"> PAGEREF _Toc16667602 \h </w:instrText>
      </w:r>
      <w:r>
        <w:rPr>
          <w:noProof/>
        </w:rPr>
      </w:r>
      <w:r>
        <w:rPr>
          <w:noProof/>
        </w:rPr>
        <w:fldChar w:fldCharType="separate"/>
      </w:r>
      <w:r>
        <w:rPr>
          <w:noProof/>
        </w:rPr>
        <w:t>26</w:t>
      </w:r>
      <w:r>
        <w:rPr>
          <w:noProof/>
        </w:rPr>
        <w:fldChar w:fldCharType="end"/>
      </w:r>
    </w:p>
    <w:p w14:paraId="556330FB" w14:textId="490D15A3"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Interpretación de los errores, resultados</w:t>
      </w:r>
      <w:r>
        <w:rPr>
          <w:noProof/>
        </w:rPr>
        <w:tab/>
      </w:r>
      <w:r>
        <w:rPr>
          <w:noProof/>
        </w:rPr>
        <w:fldChar w:fldCharType="begin"/>
      </w:r>
      <w:r>
        <w:rPr>
          <w:noProof/>
        </w:rPr>
        <w:instrText xml:space="preserve"> PAGEREF _Toc16667603 \h </w:instrText>
      </w:r>
      <w:r>
        <w:rPr>
          <w:noProof/>
        </w:rPr>
      </w:r>
      <w:r>
        <w:rPr>
          <w:noProof/>
        </w:rPr>
        <w:fldChar w:fldCharType="separate"/>
      </w:r>
      <w:r>
        <w:rPr>
          <w:noProof/>
        </w:rPr>
        <w:t>26</w:t>
      </w:r>
      <w:r>
        <w:rPr>
          <w:noProof/>
        </w:rPr>
        <w:fldChar w:fldCharType="end"/>
      </w:r>
    </w:p>
    <w:p w14:paraId="595AF46F" w14:textId="4E10B41E"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Formulación de la opinión</w:t>
      </w:r>
      <w:r>
        <w:rPr>
          <w:noProof/>
        </w:rPr>
        <w:tab/>
      </w:r>
      <w:r>
        <w:rPr>
          <w:noProof/>
        </w:rPr>
        <w:fldChar w:fldCharType="begin"/>
      </w:r>
      <w:r>
        <w:rPr>
          <w:noProof/>
        </w:rPr>
        <w:instrText xml:space="preserve"> PAGEREF _Toc16667604 \h </w:instrText>
      </w:r>
      <w:r>
        <w:rPr>
          <w:noProof/>
        </w:rPr>
      </w:r>
      <w:r>
        <w:rPr>
          <w:noProof/>
        </w:rPr>
        <w:fldChar w:fldCharType="separate"/>
      </w:r>
      <w:r>
        <w:rPr>
          <w:noProof/>
        </w:rPr>
        <w:t>27</w:t>
      </w:r>
      <w:r>
        <w:rPr>
          <w:noProof/>
        </w:rPr>
        <w:fldChar w:fldCharType="end"/>
      </w:r>
    </w:p>
    <w:p w14:paraId="11602BB5" w14:textId="6B4C408B" w:rsidR="00805BA2" w:rsidRDefault="00805BA2">
      <w:pPr>
        <w:pStyle w:val="TOC1"/>
        <w:rPr>
          <w:rFonts w:asciiTheme="minorHAnsi" w:eastAsiaTheme="minorEastAsia" w:hAnsiTheme="minorHAnsi" w:cstheme="minorBidi"/>
          <w:caps w:val="0"/>
          <w:noProof/>
          <w:sz w:val="22"/>
          <w:szCs w:val="22"/>
          <w:lang w:eastAsia="es-ES"/>
        </w:rPr>
      </w:pPr>
      <w:r>
        <w:rPr>
          <w:noProof/>
        </w:rPr>
        <w:t>5</w:t>
      </w:r>
      <w:r>
        <w:rPr>
          <w:rFonts w:asciiTheme="minorHAnsi" w:eastAsiaTheme="minorEastAsia" w:hAnsiTheme="minorHAnsi" w:cstheme="minorBidi"/>
          <w:caps w:val="0"/>
          <w:noProof/>
          <w:sz w:val="22"/>
          <w:szCs w:val="22"/>
          <w:lang w:eastAsia="es-ES"/>
        </w:rPr>
        <w:tab/>
      </w:r>
      <w:r>
        <w:rPr>
          <w:noProof/>
        </w:rPr>
        <w:t>Valoración del sistema de control interno</w:t>
      </w:r>
      <w:r>
        <w:rPr>
          <w:noProof/>
        </w:rPr>
        <w:tab/>
      </w:r>
      <w:r>
        <w:rPr>
          <w:noProof/>
        </w:rPr>
        <w:fldChar w:fldCharType="begin"/>
      </w:r>
      <w:r>
        <w:rPr>
          <w:noProof/>
        </w:rPr>
        <w:instrText xml:space="preserve"> PAGEREF _Toc16667605 \h </w:instrText>
      </w:r>
      <w:r>
        <w:rPr>
          <w:noProof/>
        </w:rPr>
      </w:r>
      <w:r>
        <w:rPr>
          <w:noProof/>
        </w:rPr>
        <w:fldChar w:fldCharType="separate"/>
      </w:r>
      <w:r>
        <w:rPr>
          <w:noProof/>
        </w:rPr>
        <w:t>27</w:t>
      </w:r>
      <w:r>
        <w:rPr>
          <w:noProof/>
        </w:rPr>
        <w:fldChar w:fldCharType="end"/>
      </w:r>
    </w:p>
    <w:p w14:paraId="31796904" w14:textId="688D7BF5" w:rsidR="00805BA2" w:rsidRDefault="00805BA2">
      <w:pPr>
        <w:pStyle w:val="TOC2"/>
        <w:rPr>
          <w:rFonts w:asciiTheme="minorHAnsi" w:eastAsiaTheme="minorEastAsia" w:hAnsiTheme="minorHAnsi" w:cstheme="minorBidi"/>
          <w:noProof/>
          <w:sz w:val="22"/>
          <w:szCs w:val="22"/>
          <w:lang w:eastAsia="es-ES"/>
        </w:rPr>
      </w:pPr>
      <w:r>
        <w:rPr>
          <w:noProof/>
        </w:rPr>
        <w:t>5.1 Valoración del entorno de control para el establecimiento de la garantía del sistema</w:t>
      </w:r>
      <w:r>
        <w:rPr>
          <w:noProof/>
        </w:rPr>
        <w:tab/>
      </w:r>
      <w:r>
        <w:rPr>
          <w:noProof/>
        </w:rPr>
        <w:fldChar w:fldCharType="begin"/>
      </w:r>
      <w:r>
        <w:rPr>
          <w:noProof/>
        </w:rPr>
        <w:instrText xml:space="preserve"> PAGEREF _Toc16667606 \h </w:instrText>
      </w:r>
      <w:r>
        <w:rPr>
          <w:noProof/>
        </w:rPr>
      </w:r>
      <w:r>
        <w:rPr>
          <w:noProof/>
        </w:rPr>
        <w:fldChar w:fldCharType="separate"/>
      </w:r>
      <w:r>
        <w:rPr>
          <w:noProof/>
        </w:rPr>
        <w:t>29</w:t>
      </w:r>
      <w:r>
        <w:rPr>
          <w:noProof/>
        </w:rPr>
        <w:fldChar w:fldCharType="end"/>
      </w:r>
    </w:p>
    <w:p w14:paraId="19BE8304" w14:textId="3F7476E1" w:rsidR="00805BA2" w:rsidRDefault="00805BA2">
      <w:pPr>
        <w:pStyle w:val="TOC2"/>
        <w:rPr>
          <w:rFonts w:asciiTheme="minorHAnsi" w:eastAsiaTheme="minorEastAsia" w:hAnsiTheme="minorHAnsi" w:cstheme="minorBidi"/>
          <w:noProof/>
          <w:sz w:val="22"/>
          <w:szCs w:val="22"/>
          <w:lang w:eastAsia="es-ES"/>
        </w:rPr>
      </w:pPr>
      <w:r>
        <w:rPr>
          <w:noProof/>
        </w:rPr>
        <w:t>5.2 Revisión de los procedimientos de control</w:t>
      </w:r>
      <w:r>
        <w:rPr>
          <w:noProof/>
        </w:rPr>
        <w:tab/>
      </w:r>
      <w:r>
        <w:rPr>
          <w:noProof/>
        </w:rPr>
        <w:fldChar w:fldCharType="begin"/>
      </w:r>
      <w:r>
        <w:rPr>
          <w:noProof/>
        </w:rPr>
        <w:instrText xml:space="preserve"> PAGEREF _Toc16667607 \h </w:instrText>
      </w:r>
      <w:r>
        <w:rPr>
          <w:noProof/>
        </w:rPr>
      </w:r>
      <w:r>
        <w:rPr>
          <w:noProof/>
        </w:rPr>
        <w:fldChar w:fldCharType="separate"/>
      </w:r>
      <w:r>
        <w:rPr>
          <w:noProof/>
        </w:rPr>
        <w:t>30</w:t>
      </w:r>
      <w:r>
        <w:rPr>
          <w:noProof/>
        </w:rPr>
        <w:fldChar w:fldCharType="end"/>
      </w:r>
    </w:p>
    <w:p w14:paraId="3CB4EBA6" w14:textId="60171E24" w:rsidR="00805BA2" w:rsidRDefault="00805BA2">
      <w:pPr>
        <w:pStyle w:val="TOC3"/>
        <w:rPr>
          <w:rFonts w:asciiTheme="minorHAnsi" w:eastAsiaTheme="minorEastAsia" w:hAnsiTheme="minorHAnsi" w:cstheme="minorBidi"/>
          <w:noProof/>
          <w:sz w:val="22"/>
          <w:szCs w:val="22"/>
          <w:lang w:eastAsia="es-ES"/>
        </w:rPr>
      </w:pPr>
      <w:r w:rsidRPr="00621BBD">
        <w:rPr>
          <w:i/>
          <w:noProof/>
        </w:rPr>
        <w:t>5.2.1 Revisión de los controles informáticos generales</w:t>
      </w:r>
      <w:r>
        <w:rPr>
          <w:noProof/>
        </w:rPr>
        <w:tab/>
      </w:r>
      <w:r>
        <w:rPr>
          <w:noProof/>
        </w:rPr>
        <w:fldChar w:fldCharType="begin"/>
      </w:r>
      <w:r>
        <w:rPr>
          <w:noProof/>
        </w:rPr>
        <w:instrText xml:space="preserve"> PAGEREF _Toc16667608 \h </w:instrText>
      </w:r>
      <w:r>
        <w:rPr>
          <w:noProof/>
        </w:rPr>
      </w:r>
      <w:r>
        <w:rPr>
          <w:noProof/>
        </w:rPr>
        <w:fldChar w:fldCharType="separate"/>
      </w:r>
      <w:r>
        <w:rPr>
          <w:noProof/>
        </w:rPr>
        <w:t>31</w:t>
      </w:r>
      <w:r>
        <w:rPr>
          <w:noProof/>
        </w:rPr>
        <w:fldChar w:fldCharType="end"/>
      </w:r>
    </w:p>
    <w:p w14:paraId="03C105D1" w14:textId="259F152E" w:rsidR="00805BA2" w:rsidRDefault="00805BA2">
      <w:pPr>
        <w:pStyle w:val="TOC3"/>
        <w:rPr>
          <w:rFonts w:asciiTheme="minorHAnsi" w:eastAsiaTheme="minorEastAsia" w:hAnsiTheme="minorHAnsi" w:cstheme="minorBidi"/>
          <w:noProof/>
          <w:sz w:val="22"/>
          <w:szCs w:val="22"/>
          <w:lang w:eastAsia="es-ES"/>
        </w:rPr>
      </w:pPr>
      <w:r w:rsidRPr="00621BBD">
        <w:rPr>
          <w:i/>
          <w:noProof/>
        </w:rPr>
        <w:t>5.2.2 Revisión de los controles de aplicaciones informáticas</w:t>
      </w:r>
      <w:r>
        <w:rPr>
          <w:noProof/>
        </w:rPr>
        <w:tab/>
      </w:r>
      <w:r>
        <w:rPr>
          <w:noProof/>
        </w:rPr>
        <w:fldChar w:fldCharType="begin"/>
      </w:r>
      <w:r>
        <w:rPr>
          <w:noProof/>
        </w:rPr>
        <w:instrText xml:space="preserve"> PAGEREF _Toc16667609 \h </w:instrText>
      </w:r>
      <w:r>
        <w:rPr>
          <w:noProof/>
        </w:rPr>
      </w:r>
      <w:r>
        <w:rPr>
          <w:noProof/>
        </w:rPr>
        <w:fldChar w:fldCharType="separate"/>
      </w:r>
      <w:r>
        <w:rPr>
          <w:noProof/>
        </w:rPr>
        <w:t>31</w:t>
      </w:r>
      <w:r>
        <w:rPr>
          <w:noProof/>
        </w:rPr>
        <w:fldChar w:fldCharType="end"/>
      </w:r>
    </w:p>
    <w:p w14:paraId="1F08D37B" w14:textId="765425DC" w:rsidR="00805BA2" w:rsidRDefault="00805BA2">
      <w:pPr>
        <w:pStyle w:val="TOC2"/>
        <w:rPr>
          <w:rFonts w:asciiTheme="minorHAnsi" w:eastAsiaTheme="minorEastAsia" w:hAnsiTheme="minorHAnsi" w:cstheme="minorBidi"/>
          <w:noProof/>
          <w:sz w:val="22"/>
          <w:szCs w:val="22"/>
          <w:lang w:eastAsia="es-ES"/>
        </w:rPr>
      </w:pPr>
      <w:r>
        <w:rPr>
          <w:noProof/>
        </w:rPr>
        <w:t>5.3 Pruebas de cumplimiento (prueba de los controles)</w:t>
      </w:r>
      <w:r>
        <w:rPr>
          <w:noProof/>
        </w:rPr>
        <w:tab/>
      </w:r>
      <w:r>
        <w:rPr>
          <w:noProof/>
        </w:rPr>
        <w:fldChar w:fldCharType="begin"/>
      </w:r>
      <w:r>
        <w:rPr>
          <w:noProof/>
        </w:rPr>
        <w:instrText xml:space="preserve"> PAGEREF _Toc16667610 \h </w:instrText>
      </w:r>
      <w:r>
        <w:rPr>
          <w:noProof/>
        </w:rPr>
      </w:r>
      <w:r>
        <w:rPr>
          <w:noProof/>
        </w:rPr>
        <w:fldChar w:fldCharType="separate"/>
      </w:r>
      <w:r>
        <w:rPr>
          <w:noProof/>
        </w:rPr>
        <w:t>33</w:t>
      </w:r>
      <w:r>
        <w:rPr>
          <w:noProof/>
        </w:rPr>
        <w:fldChar w:fldCharType="end"/>
      </w:r>
    </w:p>
    <w:p w14:paraId="30A5E423" w14:textId="0FAC95BB" w:rsidR="00805BA2" w:rsidRDefault="00805BA2">
      <w:pPr>
        <w:pStyle w:val="TOC2"/>
        <w:rPr>
          <w:rFonts w:asciiTheme="minorHAnsi" w:eastAsiaTheme="minorEastAsia" w:hAnsiTheme="minorHAnsi" w:cstheme="minorBidi"/>
          <w:noProof/>
          <w:sz w:val="22"/>
          <w:szCs w:val="22"/>
          <w:lang w:eastAsia="es-ES"/>
        </w:rPr>
      </w:pPr>
      <w:r>
        <w:rPr>
          <w:noProof/>
        </w:rPr>
        <w:t>5.4 Resultados de la valoración del sistema de control interno</w:t>
      </w:r>
      <w:r>
        <w:rPr>
          <w:noProof/>
        </w:rPr>
        <w:tab/>
      </w:r>
      <w:r>
        <w:rPr>
          <w:noProof/>
        </w:rPr>
        <w:fldChar w:fldCharType="begin"/>
      </w:r>
      <w:r>
        <w:rPr>
          <w:noProof/>
        </w:rPr>
        <w:instrText xml:space="preserve"> PAGEREF _Toc16667611 \h </w:instrText>
      </w:r>
      <w:r>
        <w:rPr>
          <w:noProof/>
        </w:rPr>
      </w:r>
      <w:r>
        <w:rPr>
          <w:noProof/>
        </w:rPr>
        <w:fldChar w:fldCharType="separate"/>
      </w:r>
      <w:r>
        <w:rPr>
          <w:noProof/>
        </w:rPr>
        <w:t>38</w:t>
      </w:r>
      <w:r>
        <w:rPr>
          <w:noProof/>
        </w:rPr>
        <w:fldChar w:fldCharType="end"/>
      </w:r>
    </w:p>
    <w:p w14:paraId="672DCD02" w14:textId="52518E69" w:rsidR="00805BA2" w:rsidRDefault="00805BA2">
      <w:pPr>
        <w:pStyle w:val="TOC1"/>
        <w:rPr>
          <w:rFonts w:asciiTheme="minorHAnsi" w:eastAsiaTheme="minorEastAsia" w:hAnsiTheme="minorHAnsi" w:cstheme="minorBidi"/>
          <w:caps w:val="0"/>
          <w:noProof/>
          <w:sz w:val="22"/>
          <w:szCs w:val="22"/>
          <w:lang w:eastAsia="es-ES"/>
        </w:rPr>
      </w:pPr>
      <w:r>
        <w:rPr>
          <w:noProof/>
        </w:rPr>
        <w:t>6</w:t>
      </w:r>
      <w:r>
        <w:rPr>
          <w:rFonts w:asciiTheme="minorHAnsi" w:eastAsiaTheme="minorEastAsia" w:hAnsiTheme="minorHAnsi" w:cstheme="minorBidi"/>
          <w:caps w:val="0"/>
          <w:noProof/>
          <w:sz w:val="22"/>
          <w:szCs w:val="22"/>
          <w:lang w:eastAsia="es-ES"/>
        </w:rPr>
        <w:tab/>
      </w:r>
      <w:r>
        <w:rPr>
          <w:noProof/>
        </w:rPr>
        <w:t>Pruebas sustantivas</w:t>
      </w:r>
      <w:r>
        <w:rPr>
          <w:noProof/>
        </w:rPr>
        <w:tab/>
      </w:r>
      <w:r>
        <w:rPr>
          <w:noProof/>
        </w:rPr>
        <w:fldChar w:fldCharType="begin"/>
      </w:r>
      <w:r>
        <w:rPr>
          <w:noProof/>
        </w:rPr>
        <w:instrText xml:space="preserve"> PAGEREF _Toc16667612 \h </w:instrText>
      </w:r>
      <w:r>
        <w:rPr>
          <w:noProof/>
        </w:rPr>
      </w:r>
      <w:r>
        <w:rPr>
          <w:noProof/>
        </w:rPr>
        <w:fldChar w:fldCharType="separate"/>
      </w:r>
      <w:r>
        <w:rPr>
          <w:noProof/>
        </w:rPr>
        <w:t>39</w:t>
      </w:r>
      <w:r>
        <w:rPr>
          <w:noProof/>
        </w:rPr>
        <w:fldChar w:fldCharType="end"/>
      </w:r>
    </w:p>
    <w:p w14:paraId="631EABB4" w14:textId="00FB640A" w:rsidR="00805BA2" w:rsidRDefault="00805BA2">
      <w:pPr>
        <w:pStyle w:val="TOC2"/>
        <w:rPr>
          <w:rFonts w:asciiTheme="minorHAnsi" w:eastAsiaTheme="minorEastAsia" w:hAnsiTheme="minorHAnsi" w:cstheme="minorBidi"/>
          <w:noProof/>
          <w:sz w:val="22"/>
          <w:szCs w:val="22"/>
          <w:lang w:eastAsia="es-ES"/>
        </w:rPr>
      </w:pPr>
      <w:r>
        <w:rPr>
          <w:noProof/>
        </w:rPr>
        <w:t>6.1 Objetivo de las pruebas sustantivas</w:t>
      </w:r>
      <w:r>
        <w:rPr>
          <w:noProof/>
        </w:rPr>
        <w:tab/>
      </w:r>
      <w:r>
        <w:rPr>
          <w:noProof/>
        </w:rPr>
        <w:fldChar w:fldCharType="begin"/>
      </w:r>
      <w:r>
        <w:rPr>
          <w:noProof/>
        </w:rPr>
        <w:instrText xml:space="preserve"> PAGEREF _Toc16667613 \h </w:instrText>
      </w:r>
      <w:r>
        <w:rPr>
          <w:noProof/>
        </w:rPr>
      </w:r>
      <w:r>
        <w:rPr>
          <w:noProof/>
        </w:rPr>
        <w:fldChar w:fldCharType="separate"/>
      </w:r>
      <w:r>
        <w:rPr>
          <w:noProof/>
        </w:rPr>
        <w:t>39</w:t>
      </w:r>
      <w:r>
        <w:rPr>
          <w:noProof/>
        </w:rPr>
        <w:fldChar w:fldCharType="end"/>
      </w:r>
    </w:p>
    <w:p w14:paraId="2AADFA66" w14:textId="3854BFC1" w:rsidR="00805BA2" w:rsidRDefault="00805BA2">
      <w:pPr>
        <w:pStyle w:val="TOC2"/>
        <w:rPr>
          <w:rFonts w:asciiTheme="minorHAnsi" w:eastAsiaTheme="minorEastAsia" w:hAnsiTheme="minorHAnsi" w:cstheme="minorBidi"/>
          <w:noProof/>
          <w:sz w:val="22"/>
          <w:szCs w:val="22"/>
          <w:lang w:eastAsia="es-ES"/>
        </w:rPr>
      </w:pPr>
      <w:r>
        <w:rPr>
          <w:noProof/>
        </w:rPr>
        <w:t>6.2 Conceptos generales</w:t>
      </w:r>
      <w:r>
        <w:rPr>
          <w:noProof/>
        </w:rPr>
        <w:tab/>
      </w:r>
      <w:r>
        <w:rPr>
          <w:noProof/>
        </w:rPr>
        <w:fldChar w:fldCharType="begin"/>
      </w:r>
      <w:r>
        <w:rPr>
          <w:noProof/>
        </w:rPr>
        <w:instrText xml:space="preserve"> PAGEREF _Toc16667614 \h </w:instrText>
      </w:r>
      <w:r>
        <w:rPr>
          <w:noProof/>
        </w:rPr>
      </w:r>
      <w:r>
        <w:rPr>
          <w:noProof/>
        </w:rPr>
        <w:fldChar w:fldCharType="separate"/>
      </w:r>
      <w:r>
        <w:rPr>
          <w:noProof/>
        </w:rPr>
        <w:t>40</w:t>
      </w:r>
      <w:r>
        <w:rPr>
          <w:noProof/>
        </w:rPr>
        <w:fldChar w:fldCharType="end"/>
      </w:r>
    </w:p>
    <w:p w14:paraId="6F6BE502" w14:textId="21C0094D" w:rsidR="00805BA2" w:rsidRDefault="00805BA2">
      <w:pPr>
        <w:pStyle w:val="TOC1"/>
        <w:rPr>
          <w:rFonts w:asciiTheme="minorHAnsi" w:eastAsiaTheme="minorEastAsia" w:hAnsiTheme="minorHAnsi" w:cstheme="minorBidi"/>
          <w:caps w:val="0"/>
          <w:noProof/>
          <w:sz w:val="22"/>
          <w:szCs w:val="22"/>
          <w:lang w:eastAsia="es-ES"/>
        </w:rPr>
      </w:pPr>
      <w:r>
        <w:rPr>
          <w:noProof/>
        </w:rPr>
        <w:t>7</w:t>
      </w:r>
      <w:r>
        <w:rPr>
          <w:rFonts w:asciiTheme="minorHAnsi" w:eastAsiaTheme="minorEastAsia" w:hAnsiTheme="minorHAnsi" w:cstheme="minorBidi"/>
          <w:caps w:val="0"/>
          <w:noProof/>
          <w:sz w:val="22"/>
          <w:szCs w:val="22"/>
          <w:lang w:eastAsia="es-ES"/>
        </w:rPr>
        <w:tab/>
      </w:r>
      <w:r>
        <w:rPr>
          <w:noProof/>
        </w:rPr>
        <w:t>Conciliaciones – procedimientos analíticos</w:t>
      </w:r>
      <w:r>
        <w:rPr>
          <w:noProof/>
        </w:rPr>
        <w:tab/>
      </w:r>
      <w:r>
        <w:rPr>
          <w:noProof/>
        </w:rPr>
        <w:fldChar w:fldCharType="begin"/>
      </w:r>
      <w:r>
        <w:rPr>
          <w:noProof/>
        </w:rPr>
        <w:instrText xml:space="preserve"> PAGEREF _Toc16667615 \h </w:instrText>
      </w:r>
      <w:r>
        <w:rPr>
          <w:noProof/>
        </w:rPr>
      </w:r>
      <w:r>
        <w:rPr>
          <w:noProof/>
        </w:rPr>
        <w:fldChar w:fldCharType="separate"/>
      </w:r>
      <w:r>
        <w:rPr>
          <w:noProof/>
        </w:rPr>
        <w:t>46</w:t>
      </w:r>
      <w:r>
        <w:rPr>
          <w:noProof/>
        </w:rPr>
        <w:fldChar w:fldCharType="end"/>
      </w:r>
    </w:p>
    <w:p w14:paraId="193D6248" w14:textId="0DBB213F" w:rsidR="00805BA2" w:rsidRDefault="00805BA2">
      <w:pPr>
        <w:pStyle w:val="TOC2"/>
        <w:rPr>
          <w:rFonts w:asciiTheme="minorHAnsi" w:eastAsiaTheme="minorEastAsia" w:hAnsiTheme="minorHAnsi" w:cstheme="minorBidi"/>
          <w:noProof/>
          <w:sz w:val="22"/>
          <w:szCs w:val="22"/>
          <w:lang w:eastAsia="es-ES"/>
        </w:rPr>
      </w:pPr>
      <w:r>
        <w:rPr>
          <w:noProof/>
        </w:rPr>
        <w:t>7.1 Procedimientos analíticos generales</w:t>
      </w:r>
      <w:r>
        <w:rPr>
          <w:noProof/>
        </w:rPr>
        <w:tab/>
      </w:r>
      <w:r>
        <w:rPr>
          <w:noProof/>
        </w:rPr>
        <w:fldChar w:fldCharType="begin"/>
      </w:r>
      <w:r>
        <w:rPr>
          <w:noProof/>
        </w:rPr>
        <w:instrText xml:space="preserve"> PAGEREF _Toc16667616 \h </w:instrText>
      </w:r>
      <w:r>
        <w:rPr>
          <w:noProof/>
        </w:rPr>
      </w:r>
      <w:r>
        <w:rPr>
          <w:noProof/>
        </w:rPr>
        <w:fldChar w:fldCharType="separate"/>
      </w:r>
      <w:r>
        <w:rPr>
          <w:noProof/>
        </w:rPr>
        <w:t>46</w:t>
      </w:r>
      <w:r>
        <w:rPr>
          <w:noProof/>
        </w:rPr>
        <w:fldChar w:fldCharType="end"/>
      </w:r>
    </w:p>
    <w:p w14:paraId="62F03501" w14:textId="655D3829" w:rsidR="00805BA2" w:rsidRDefault="00805BA2">
      <w:pPr>
        <w:pStyle w:val="TOC2"/>
        <w:rPr>
          <w:rFonts w:asciiTheme="minorHAnsi" w:eastAsiaTheme="minorEastAsia" w:hAnsiTheme="minorHAnsi" w:cstheme="minorBidi"/>
          <w:noProof/>
          <w:sz w:val="22"/>
          <w:szCs w:val="22"/>
          <w:lang w:eastAsia="es-ES"/>
        </w:rPr>
      </w:pPr>
      <w:r>
        <w:rPr>
          <w:noProof/>
        </w:rPr>
        <w:t>7.2 Retrasos en los pagos</w:t>
      </w:r>
      <w:r>
        <w:rPr>
          <w:noProof/>
        </w:rPr>
        <w:tab/>
      </w:r>
      <w:r>
        <w:rPr>
          <w:noProof/>
        </w:rPr>
        <w:fldChar w:fldCharType="begin"/>
      </w:r>
      <w:r>
        <w:rPr>
          <w:noProof/>
        </w:rPr>
        <w:instrText xml:space="preserve"> PAGEREF _Toc16667617 \h </w:instrText>
      </w:r>
      <w:r>
        <w:rPr>
          <w:noProof/>
        </w:rPr>
      </w:r>
      <w:r>
        <w:rPr>
          <w:noProof/>
        </w:rPr>
        <w:fldChar w:fldCharType="separate"/>
      </w:r>
      <w:r>
        <w:rPr>
          <w:noProof/>
        </w:rPr>
        <w:t>46</w:t>
      </w:r>
      <w:r>
        <w:rPr>
          <w:noProof/>
        </w:rPr>
        <w:fldChar w:fldCharType="end"/>
      </w:r>
    </w:p>
    <w:p w14:paraId="342E40D4" w14:textId="3A6966C7" w:rsidR="00805BA2" w:rsidRDefault="00805BA2">
      <w:pPr>
        <w:pStyle w:val="TOC2"/>
        <w:rPr>
          <w:rFonts w:asciiTheme="minorHAnsi" w:eastAsiaTheme="minorEastAsia" w:hAnsiTheme="minorHAnsi" w:cstheme="minorBidi"/>
          <w:noProof/>
          <w:sz w:val="22"/>
          <w:szCs w:val="22"/>
          <w:lang w:eastAsia="es-ES"/>
        </w:rPr>
      </w:pPr>
      <w:r>
        <w:rPr>
          <w:noProof/>
        </w:rPr>
        <w:lastRenderedPageBreak/>
        <w:t>7.3 Cumplimiento de los límites financieros</w:t>
      </w:r>
      <w:r>
        <w:rPr>
          <w:noProof/>
        </w:rPr>
        <w:tab/>
      </w:r>
      <w:r>
        <w:rPr>
          <w:noProof/>
        </w:rPr>
        <w:fldChar w:fldCharType="begin"/>
      </w:r>
      <w:r>
        <w:rPr>
          <w:noProof/>
        </w:rPr>
        <w:instrText xml:space="preserve"> PAGEREF _Toc16667618 \h </w:instrText>
      </w:r>
      <w:r>
        <w:rPr>
          <w:noProof/>
        </w:rPr>
      </w:r>
      <w:r>
        <w:rPr>
          <w:noProof/>
        </w:rPr>
        <w:fldChar w:fldCharType="separate"/>
      </w:r>
      <w:r>
        <w:rPr>
          <w:noProof/>
        </w:rPr>
        <w:t>46</w:t>
      </w:r>
      <w:r>
        <w:rPr>
          <w:noProof/>
        </w:rPr>
        <w:fldChar w:fldCharType="end"/>
      </w:r>
    </w:p>
    <w:p w14:paraId="6D79DA35" w14:textId="6E8485F5" w:rsidR="00805BA2" w:rsidRDefault="00805BA2">
      <w:pPr>
        <w:pStyle w:val="TOC2"/>
        <w:rPr>
          <w:rFonts w:asciiTheme="minorHAnsi" w:eastAsiaTheme="minorEastAsia" w:hAnsiTheme="minorHAnsi" w:cstheme="minorBidi"/>
          <w:noProof/>
          <w:sz w:val="22"/>
          <w:szCs w:val="22"/>
          <w:lang w:eastAsia="es-ES"/>
        </w:rPr>
      </w:pPr>
      <w:r>
        <w:rPr>
          <w:noProof/>
        </w:rPr>
        <w:t>7.4 Cumplimiento de los porcentajes de intensidad de las ayudas</w:t>
      </w:r>
      <w:r>
        <w:rPr>
          <w:noProof/>
        </w:rPr>
        <w:tab/>
      </w:r>
      <w:r>
        <w:rPr>
          <w:noProof/>
        </w:rPr>
        <w:fldChar w:fldCharType="begin"/>
      </w:r>
      <w:r>
        <w:rPr>
          <w:noProof/>
        </w:rPr>
        <w:instrText xml:space="preserve"> PAGEREF _Toc16667619 \h </w:instrText>
      </w:r>
      <w:r>
        <w:rPr>
          <w:noProof/>
        </w:rPr>
      </w:r>
      <w:r>
        <w:rPr>
          <w:noProof/>
        </w:rPr>
        <w:fldChar w:fldCharType="separate"/>
      </w:r>
      <w:r>
        <w:rPr>
          <w:noProof/>
        </w:rPr>
        <w:t>46</w:t>
      </w:r>
      <w:r>
        <w:rPr>
          <w:noProof/>
        </w:rPr>
        <w:fldChar w:fldCharType="end"/>
      </w:r>
    </w:p>
    <w:p w14:paraId="76B5113F" w14:textId="774CE527" w:rsidR="00805BA2" w:rsidRDefault="00805BA2">
      <w:pPr>
        <w:pStyle w:val="TOC2"/>
        <w:rPr>
          <w:rFonts w:asciiTheme="minorHAnsi" w:eastAsiaTheme="minorEastAsia" w:hAnsiTheme="minorHAnsi" w:cstheme="minorBidi"/>
          <w:noProof/>
          <w:sz w:val="22"/>
          <w:szCs w:val="22"/>
          <w:lang w:eastAsia="es-ES"/>
        </w:rPr>
      </w:pPr>
      <w:r>
        <w:rPr>
          <w:noProof/>
        </w:rPr>
        <w:t>7.5 Gasto adicional declarado únicamente en la declaración anual</w:t>
      </w:r>
      <w:r>
        <w:rPr>
          <w:noProof/>
        </w:rPr>
        <w:tab/>
      </w:r>
      <w:r>
        <w:rPr>
          <w:noProof/>
        </w:rPr>
        <w:fldChar w:fldCharType="begin"/>
      </w:r>
      <w:r>
        <w:rPr>
          <w:noProof/>
        </w:rPr>
        <w:instrText xml:space="preserve"> PAGEREF _Toc16667620 \h </w:instrText>
      </w:r>
      <w:r>
        <w:rPr>
          <w:noProof/>
        </w:rPr>
      </w:r>
      <w:r>
        <w:rPr>
          <w:noProof/>
        </w:rPr>
        <w:fldChar w:fldCharType="separate"/>
      </w:r>
      <w:r>
        <w:rPr>
          <w:noProof/>
        </w:rPr>
        <w:t>46</w:t>
      </w:r>
      <w:r>
        <w:rPr>
          <w:noProof/>
        </w:rPr>
        <w:fldChar w:fldCharType="end"/>
      </w:r>
    </w:p>
    <w:p w14:paraId="1B63909B" w14:textId="269C5352" w:rsidR="00805BA2" w:rsidRDefault="00805BA2">
      <w:pPr>
        <w:pStyle w:val="TOC1"/>
        <w:rPr>
          <w:rFonts w:asciiTheme="minorHAnsi" w:eastAsiaTheme="minorEastAsia" w:hAnsiTheme="minorHAnsi" w:cstheme="minorBidi"/>
          <w:caps w:val="0"/>
          <w:noProof/>
          <w:sz w:val="22"/>
          <w:szCs w:val="22"/>
          <w:lang w:eastAsia="es-ES"/>
        </w:rPr>
      </w:pPr>
      <w:r>
        <w:rPr>
          <w:noProof/>
        </w:rPr>
        <w:t>8</w:t>
      </w:r>
      <w:r>
        <w:rPr>
          <w:rFonts w:asciiTheme="minorHAnsi" w:eastAsiaTheme="minorEastAsia" w:hAnsiTheme="minorHAnsi" w:cstheme="minorBidi"/>
          <w:caps w:val="0"/>
          <w:noProof/>
          <w:sz w:val="22"/>
          <w:szCs w:val="22"/>
          <w:lang w:eastAsia="es-ES"/>
        </w:rPr>
        <w:tab/>
      </w:r>
      <w:r>
        <w:rPr>
          <w:noProof/>
        </w:rPr>
        <w:t>Categorización y consolidación de errores</w:t>
      </w:r>
      <w:r>
        <w:rPr>
          <w:noProof/>
        </w:rPr>
        <w:tab/>
      </w:r>
      <w:r>
        <w:rPr>
          <w:noProof/>
        </w:rPr>
        <w:fldChar w:fldCharType="begin"/>
      </w:r>
      <w:r>
        <w:rPr>
          <w:noProof/>
        </w:rPr>
        <w:instrText xml:space="preserve"> PAGEREF _Toc16667621 \h </w:instrText>
      </w:r>
      <w:r>
        <w:rPr>
          <w:noProof/>
        </w:rPr>
      </w:r>
      <w:r>
        <w:rPr>
          <w:noProof/>
        </w:rPr>
        <w:fldChar w:fldCharType="separate"/>
      </w:r>
      <w:r>
        <w:rPr>
          <w:noProof/>
        </w:rPr>
        <w:t>47</w:t>
      </w:r>
      <w:r>
        <w:rPr>
          <w:noProof/>
        </w:rPr>
        <w:fldChar w:fldCharType="end"/>
      </w:r>
    </w:p>
    <w:p w14:paraId="55AF4161" w14:textId="05D545D0" w:rsidR="00805BA2" w:rsidRDefault="00805BA2">
      <w:pPr>
        <w:pStyle w:val="TOC2"/>
        <w:rPr>
          <w:rFonts w:asciiTheme="minorHAnsi" w:eastAsiaTheme="minorEastAsia" w:hAnsiTheme="minorHAnsi" w:cstheme="minorBidi"/>
          <w:noProof/>
          <w:sz w:val="22"/>
          <w:szCs w:val="22"/>
          <w:lang w:eastAsia="es-ES"/>
        </w:rPr>
      </w:pPr>
      <w:r>
        <w:rPr>
          <w:noProof/>
        </w:rPr>
        <w:t>8.1 Categorización de errores</w:t>
      </w:r>
      <w:r>
        <w:rPr>
          <w:noProof/>
        </w:rPr>
        <w:tab/>
      </w:r>
      <w:r>
        <w:rPr>
          <w:noProof/>
        </w:rPr>
        <w:fldChar w:fldCharType="begin"/>
      </w:r>
      <w:r>
        <w:rPr>
          <w:noProof/>
        </w:rPr>
        <w:instrText xml:space="preserve"> PAGEREF _Toc16667622 \h </w:instrText>
      </w:r>
      <w:r>
        <w:rPr>
          <w:noProof/>
        </w:rPr>
      </w:r>
      <w:r>
        <w:rPr>
          <w:noProof/>
        </w:rPr>
        <w:fldChar w:fldCharType="separate"/>
      </w:r>
      <w:r>
        <w:rPr>
          <w:noProof/>
        </w:rPr>
        <w:t>47</w:t>
      </w:r>
      <w:r>
        <w:rPr>
          <w:noProof/>
        </w:rPr>
        <w:fldChar w:fldCharType="end"/>
      </w:r>
    </w:p>
    <w:p w14:paraId="3F6C137C" w14:textId="41352B57" w:rsidR="00805BA2" w:rsidRDefault="00805BA2">
      <w:pPr>
        <w:pStyle w:val="TOC2"/>
        <w:rPr>
          <w:rFonts w:asciiTheme="minorHAnsi" w:eastAsiaTheme="minorEastAsia" w:hAnsiTheme="minorHAnsi" w:cstheme="minorBidi"/>
          <w:noProof/>
          <w:sz w:val="22"/>
          <w:szCs w:val="22"/>
          <w:lang w:eastAsia="es-ES"/>
        </w:rPr>
      </w:pPr>
      <w:r>
        <w:rPr>
          <w:noProof/>
        </w:rPr>
        <w:t>8.2 Consolidación de errores</w:t>
      </w:r>
      <w:r>
        <w:rPr>
          <w:noProof/>
        </w:rPr>
        <w:tab/>
      </w:r>
      <w:r>
        <w:rPr>
          <w:noProof/>
        </w:rPr>
        <w:fldChar w:fldCharType="begin"/>
      </w:r>
      <w:r>
        <w:rPr>
          <w:noProof/>
        </w:rPr>
        <w:instrText xml:space="preserve"> PAGEREF _Toc16667623 \h </w:instrText>
      </w:r>
      <w:r>
        <w:rPr>
          <w:noProof/>
        </w:rPr>
      </w:r>
      <w:r>
        <w:rPr>
          <w:noProof/>
        </w:rPr>
        <w:fldChar w:fldCharType="separate"/>
      </w:r>
      <w:r>
        <w:rPr>
          <w:noProof/>
        </w:rPr>
        <w:t>48</w:t>
      </w:r>
      <w:r>
        <w:rPr>
          <w:noProof/>
        </w:rPr>
        <w:fldChar w:fldCharType="end"/>
      </w:r>
    </w:p>
    <w:p w14:paraId="30344F71" w14:textId="0D6A8CB0" w:rsidR="00805BA2" w:rsidRDefault="00805BA2">
      <w:pPr>
        <w:pStyle w:val="TOC1"/>
        <w:rPr>
          <w:rFonts w:asciiTheme="minorHAnsi" w:eastAsiaTheme="minorEastAsia" w:hAnsiTheme="minorHAnsi" w:cstheme="minorBidi"/>
          <w:caps w:val="0"/>
          <w:noProof/>
          <w:sz w:val="22"/>
          <w:szCs w:val="22"/>
          <w:lang w:eastAsia="es-ES"/>
        </w:rPr>
      </w:pPr>
      <w:r>
        <w:rPr>
          <w:noProof/>
        </w:rPr>
        <w:t>9</w:t>
      </w:r>
      <w:r>
        <w:rPr>
          <w:rFonts w:asciiTheme="minorHAnsi" w:eastAsiaTheme="minorEastAsia" w:hAnsiTheme="minorHAnsi" w:cstheme="minorBidi"/>
          <w:caps w:val="0"/>
          <w:noProof/>
          <w:sz w:val="22"/>
          <w:szCs w:val="22"/>
          <w:lang w:eastAsia="es-ES"/>
        </w:rPr>
        <w:tab/>
      </w:r>
      <w:r>
        <w:rPr>
          <w:noProof/>
        </w:rPr>
        <w:t>Conclusión con respecto al objetivo de auditoría n.º 1</w:t>
      </w:r>
      <w:r>
        <w:rPr>
          <w:noProof/>
        </w:rPr>
        <w:tab/>
      </w:r>
      <w:r>
        <w:rPr>
          <w:noProof/>
        </w:rPr>
        <w:fldChar w:fldCharType="begin"/>
      </w:r>
      <w:r>
        <w:rPr>
          <w:noProof/>
        </w:rPr>
        <w:instrText xml:space="preserve"> PAGEREF _Toc16667624 \h </w:instrText>
      </w:r>
      <w:r>
        <w:rPr>
          <w:noProof/>
        </w:rPr>
      </w:r>
      <w:r>
        <w:rPr>
          <w:noProof/>
        </w:rPr>
        <w:fldChar w:fldCharType="separate"/>
      </w:r>
      <w:r>
        <w:rPr>
          <w:noProof/>
        </w:rPr>
        <w:t>49</w:t>
      </w:r>
      <w:r>
        <w:rPr>
          <w:noProof/>
        </w:rPr>
        <w:fldChar w:fldCharType="end"/>
      </w:r>
    </w:p>
    <w:p w14:paraId="61D88242" w14:textId="0EFC2ADA" w:rsidR="00805BA2" w:rsidRDefault="00805BA2">
      <w:pPr>
        <w:pStyle w:val="TOC1"/>
        <w:rPr>
          <w:rFonts w:asciiTheme="minorHAnsi" w:eastAsiaTheme="minorEastAsia" w:hAnsiTheme="minorHAnsi" w:cstheme="minorBidi"/>
          <w:caps w:val="0"/>
          <w:noProof/>
          <w:sz w:val="22"/>
          <w:szCs w:val="22"/>
          <w:lang w:eastAsia="es-ES"/>
        </w:rPr>
      </w:pPr>
      <w:r>
        <w:rPr>
          <w:noProof/>
        </w:rPr>
        <w:t>PARTE B</w:t>
      </w:r>
      <w:r>
        <w:rPr>
          <w:noProof/>
        </w:rPr>
        <w:tab/>
      </w:r>
      <w:r>
        <w:rPr>
          <w:noProof/>
        </w:rPr>
        <w:fldChar w:fldCharType="begin"/>
      </w:r>
      <w:r>
        <w:rPr>
          <w:noProof/>
        </w:rPr>
        <w:instrText xml:space="preserve"> PAGEREF _Toc16667625 \h </w:instrText>
      </w:r>
      <w:r>
        <w:rPr>
          <w:noProof/>
        </w:rPr>
      </w:r>
      <w:r>
        <w:rPr>
          <w:noProof/>
        </w:rPr>
        <w:fldChar w:fldCharType="separate"/>
      </w:r>
      <w:r>
        <w:rPr>
          <w:noProof/>
        </w:rPr>
        <w:t>51</w:t>
      </w:r>
      <w:r>
        <w:rPr>
          <w:noProof/>
        </w:rPr>
        <w:fldChar w:fldCharType="end"/>
      </w:r>
    </w:p>
    <w:p w14:paraId="4A0A0082" w14:textId="53E0AD86" w:rsidR="00805BA2" w:rsidRDefault="00805BA2">
      <w:pPr>
        <w:pStyle w:val="TOC1"/>
        <w:rPr>
          <w:rFonts w:asciiTheme="minorHAnsi" w:eastAsiaTheme="minorEastAsia" w:hAnsiTheme="minorHAnsi" w:cstheme="minorBidi"/>
          <w:caps w:val="0"/>
          <w:noProof/>
          <w:sz w:val="22"/>
          <w:szCs w:val="22"/>
          <w:lang w:eastAsia="es-ES"/>
        </w:rPr>
      </w:pPr>
      <w:r>
        <w:rPr>
          <w:noProof/>
        </w:rPr>
        <w:t>10</w:t>
      </w:r>
      <w:r>
        <w:rPr>
          <w:rFonts w:asciiTheme="minorHAnsi" w:eastAsiaTheme="minorEastAsia" w:hAnsiTheme="minorHAnsi" w:cstheme="minorBidi"/>
          <w:caps w:val="0"/>
          <w:noProof/>
          <w:sz w:val="22"/>
          <w:szCs w:val="22"/>
          <w:lang w:eastAsia="es-ES"/>
        </w:rPr>
        <w:tab/>
      </w:r>
      <w:r>
        <w:rPr>
          <w:noProof/>
        </w:rPr>
        <w:t>Modelo de riesgo de auditoría y procedimientos de auditoría</w:t>
      </w:r>
      <w:r>
        <w:rPr>
          <w:noProof/>
        </w:rPr>
        <w:tab/>
      </w:r>
      <w:r>
        <w:rPr>
          <w:noProof/>
        </w:rPr>
        <w:fldChar w:fldCharType="begin"/>
      </w:r>
      <w:r>
        <w:rPr>
          <w:noProof/>
        </w:rPr>
        <w:instrText xml:space="preserve"> PAGEREF _Toc16667626 \h </w:instrText>
      </w:r>
      <w:r>
        <w:rPr>
          <w:noProof/>
        </w:rPr>
      </w:r>
      <w:r>
        <w:rPr>
          <w:noProof/>
        </w:rPr>
        <w:fldChar w:fldCharType="separate"/>
      </w:r>
      <w:r>
        <w:rPr>
          <w:noProof/>
        </w:rPr>
        <w:t>52</w:t>
      </w:r>
      <w:r>
        <w:rPr>
          <w:noProof/>
        </w:rPr>
        <w:fldChar w:fldCharType="end"/>
      </w:r>
    </w:p>
    <w:p w14:paraId="7CC24F98" w14:textId="14DE1646" w:rsidR="00805BA2" w:rsidRDefault="00805BA2">
      <w:pPr>
        <w:pStyle w:val="TOC2"/>
        <w:rPr>
          <w:rFonts w:asciiTheme="minorHAnsi" w:eastAsiaTheme="minorEastAsia" w:hAnsiTheme="minorHAnsi" w:cstheme="minorBidi"/>
          <w:noProof/>
          <w:sz w:val="22"/>
          <w:szCs w:val="22"/>
          <w:lang w:eastAsia="es-ES"/>
        </w:rPr>
      </w:pPr>
      <w:r>
        <w:rPr>
          <w:noProof/>
        </w:rPr>
        <w:t>10.5 Procedimientos de auditoría</w:t>
      </w:r>
      <w:r>
        <w:rPr>
          <w:noProof/>
        </w:rPr>
        <w:tab/>
      </w:r>
      <w:r>
        <w:rPr>
          <w:noProof/>
        </w:rPr>
        <w:fldChar w:fldCharType="begin"/>
      </w:r>
      <w:r>
        <w:rPr>
          <w:noProof/>
        </w:rPr>
        <w:instrText xml:space="preserve"> PAGEREF _Toc16667627 \h </w:instrText>
      </w:r>
      <w:r>
        <w:rPr>
          <w:noProof/>
        </w:rPr>
      </w:r>
      <w:r>
        <w:rPr>
          <w:noProof/>
        </w:rPr>
        <w:fldChar w:fldCharType="separate"/>
      </w:r>
      <w:r>
        <w:rPr>
          <w:noProof/>
        </w:rPr>
        <w:t>52</w:t>
      </w:r>
      <w:r>
        <w:rPr>
          <w:noProof/>
        </w:rPr>
        <w:fldChar w:fldCharType="end"/>
      </w:r>
    </w:p>
    <w:p w14:paraId="4574684A" w14:textId="27315FB5"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Definición del modelo de riesgo de auditoría y niveles de garantía</w:t>
      </w:r>
      <w:r>
        <w:rPr>
          <w:noProof/>
        </w:rPr>
        <w:tab/>
      </w:r>
      <w:r>
        <w:rPr>
          <w:noProof/>
        </w:rPr>
        <w:fldChar w:fldCharType="begin"/>
      </w:r>
      <w:r>
        <w:rPr>
          <w:noProof/>
        </w:rPr>
        <w:instrText xml:space="preserve"> PAGEREF _Toc16667628 \h </w:instrText>
      </w:r>
      <w:r>
        <w:rPr>
          <w:noProof/>
        </w:rPr>
      </w:r>
      <w:r>
        <w:rPr>
          <w:noProof/>
        </w:rPr>
        <w:fldChar w:fldCharType="separate"/>
      </w:r>
      <w:r>
        <w:rPr>
          <w:noProof/>
        </w:rPr>
        <w:t>53</w:t>
      </w:r>
      <w:r>
        <w:rPr>
          <w:noProof/>
        </w:rPr>
        <w:fldChar w:fldCharType="end"/>
      </w:r>
    </w:p>
    <w:p w14:paraId="1DD1B248" w14:textId="7BC24484"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Valoración del sistema de control interno</w:t>
      </w:r>
      <w:r>
        <w:rPr>
          <w:noProof/>
        </w:rPr>
        <w:tab/>
      </w:r>
      <w:r>
        <w:rPr>
          <w:noProof/>
        </w:rPr>
        <w:fldChar w:fldCharType="begin"/>
      </w:r>
      <w:r>
        <w:rPr>
          <w:noProof/>
        </w:rPr>
        <w:instrText xml:space="preserve"> PAGEREF _Toc16667629 \h </w:instrText>
      </w:r>
      <w:r>
        <w:rPr>
          <w:noProof/>
        </w:rPr>
      </w:r>
      <w:r>
        <w:rPr>
          <w:noProof/>
        </w:rPr>
        <w:fldChar w:fldCharType="separate"/>
      </w:r>
      <w:r>
        <w:rPr>
          <w:noProof/>
        </w:rPr>
        <w:t>54</w:t>
      </w:r>
      <w:r>
        <w:rPr>
          <w:noProof/>
        </w:rPr>
        <w:fldChar w:fldCharType="end"/>
      </w:r>
    </w:p>
    <w:p w14:paraId="10B12E01" w14:textId="6FA6728B"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Pruebas sustantivas</w:t>
      </w:r>
      <w:r>
        <w:rPr>
          <w:noProof/>
        </w:rPr>
        <w:tab/>
      </w:r>
      <w:r>
        <w:rPr>
          <w:noProof/>
        </w:rPr>
        <w:fldChar w:fldCharType="begin"/>
      </w:r>
      <w:r>
        <w:rPr>
          <w:noProof/>
        </w:rPr>
        <w:instrText xml:space="preserve"> PAGEREF _Toc16667630 \h </w:instrText>
      </w:r>
      <w:r>
        <w:rPr>
          <w:noProof/>
        </w:rPr>
      </w:r>
      <w:r>
        <w:rPr>
          <w:noProof/>
        </w:rPr>
        <w:fldChar w:fldCharType="separate"/>
      </w:r>
      <w:r>
        <w:rPr>
          <w:noProof/>
        </w:rPr>
        <w:t>55</w:t>
      </w:r>
      <w:r>
        <w:rPr>
          <w:noProof/>
        </w:rPr>
        <w:fldChar w:fldCharType="end"/>
      </w:r>
    </w:p>
    <w:p w14:paraId="783E9887" w14:textId="69B25548"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Conciliaciones</w:t>
      </w:r>
      <w:r>
        <w:rPr>
          <w:noProof/>
        </w:rPr>
        <w:tab/>
      </w:r>
      <w:r>
        <w:rPr>
          <w:noProof/>
        </w:rPr>
        <w:fldChar w:fldCharType="begin"/>
      </w:r>
      <w:r>
        <w:rPr>
          <w:noProof/>
        </w:rPr>
        <w:instrText xml:space="preserve"> PAGEREF _Toc16667631 \h </w:instrText>
      </w:r>
      <w:r>
        <w:rPr>
          <w:noProof/>
        </w:rPr>
      </w:r>
      <w:r>
        <w:rPr>
          <w:noProof/>
        </w:rPr>
        <w:fldChar w:fldCharType="separate"/>
      </w:r>
      <w:r>
        <w:rPr>
          <w:noProof/>
        </w:rPr>
        <w:t>56</w:t>
      </w:r>
      <w:r>
        <w:rPr>
          <w:noProof/>
        </w:rPr>
        <w:fldChar w:fldCharType="end"/>
      </w:r>
    </w:p>
    <w:p w14:paraId="146E6DC7" w14:textId="237C9214"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Interpretación de los errores, resultados</w:t>
      </w:r>
      <w:r>
        <w:rPr>
          <w:noProof/>
        </w:rPr>
        <w:tab/>
      </w:r>
      <w:r>
        <w:rPr>
          <w:noProof/>
        </w:rPr>
        <w:fldChar w:fldCharType="begin"/>
      </w:r>
      <w:r>
        <w:rPr>
          <w:noProof/>
        </w:rPr>
        <w:instrText xml:space="preserve"> PAGEREF _Toc16667632 \h </w:instrText>
      </w:r>
      <w:r>
        <w:rPr>
          <w:noProof/>
        </w:rPr>
      </w:r>
      <w:r>
        <w:rPr>
          <w:noProof/>
        </w:rPr>
        <w:fldChar w:fldCharType="separate"/>
      </w:r>
      <w:r>
        <w:rPr>
          <w:noProof/>
        </w:rPr>
        <w:t>57</w:t>
      </w:r>
      <w:r>
        <w:rPr>
          <w:noProof/>
        </w:rPr>
        <w:fldChar w:fldCharType="end"/>
      </w:r>
    </w:p>
    <w:p w14:paraId="6B763326" w14:textId="1ACF74F0" w:rsidR="00805BA2" w:rsidRDefault="00805BA2">
      <w:pPr>
        <w:pStyle w:val="TOC3"/>
        <w:tabs>
          <w:tab w:val="left" w:pos="1916"/>
        </w:tabs>
        <w:rPr>
          <w:rFonts w:asciiTheme="minorHAnsi" w:eastAsiaTheme="minorEastAsia" w:hAnsiTheme="minorHAnsi" w:cstheme="minorBidi"/>
          <w:noProof/>
          <w:sz w:val="22"/>
          <w:szCs w:val="22"/>
          <w:lang w:eastAsia="es-ES"/>
        </w:rPr>
      </w:pPr>
      <w:r w:rsidRPr="00621BBD">
        <w:rPr>
          <w:rFonts w:ascii="Wingdings" w:hAnsi="Wingdings"/>
          <w:noProof/>
        </w:rPr>
        <w:t></w:t>
      </w:r>
      <w:r>
        <w:rPr>
          <w:rFonts w:asciiTheme="minorHAnsi" w:eastAsiaTheme="minorEastAsia" w:hAnsiTheme="minorHAnsi" w:cstheme="minorBidi"/>
          <w:noProof/>
          <w:sz w:val="22"/>
          <w:szCs w:val="22"/>
          <w:lang w:eastAsia="es-ES"/>
        </w:rPr>
        <w:tab/>
      </w:r>
      <w:r>
        <w:rPr>
          <w:noProof/>
        </w:rPr>
        <w:t>Formulación de la opinión</w:t>
      </w:r>
      <w:r>
        <w:rPr>
          <w:noProof/>
        </w:rPr>
        <w:tab/>
      </w:r>
      <w:r>
        <w:rPr>
          <w:noProof/>
        </w:rPr>
        <w:fldChar w:fldCharType="begin"/>
      </w:r>
      <w:r>
        <w:rPr>
          <w:noProof/>
        </w:rPr>
        <w:instrText xml:space="preserve"> PAGEREF _Toc16667633 \h </w:instrText>
      </w:r>
      <w:r>
        <w:rPr>
          <w:noProof/>
        </w:rPr>
      </w:r>
      <w:r>
        <w:rPr>
          <w:noProof/>
        </w:rPr>
        <w:fldChar w:fldCharType="separate"/>
      </w:r>
      <w:r>
        <w:rPr>
          <w:noProof/>
        </w:rPr>
        <w:t>57</w:t>
      </w:r>
      <w:r>
        <w:rPr>
          <w:noProof/>
        </w:rPr>
        <w:fldChar w:fldCharType="end"/>
      </w:r>
    </w:p>
    <w:p w14:paraId="30951A10" w14:textId="3B0A5120" w:rsidR="00805BA2" w:rsidRDefault="00805BA2">
      <w:pPr>
        <w:pStyle w:val="TOC1"/>
        <w:rPr>
          <w:rFonts w:asciiTheme="minorHAnsi" w:eastAsiaTheme="minorEastAsia" w:hAnsiTheme="minorHAnsi" w:cstheme="minorBidi"/>
          <w:caps w:val="0"/>
          <w:noProof/>
          <w:sz w:val="22"/>
          <w:szCs w:val="22"/>
          <w:lang w:eastAsia="es-ES"/>
        </w:rPr>
      </w:pPr>
      <w:r>
        <w:rPr>
          <w:noProof/>
        </w:rPr>
        <w:t>11</w:t>
      </w:r>
      <w:r>
        <w:rPr>
          <w:rFonts w:asciiTheme="minorHAnsi" w:eastAsiaTheme="minorEastAsia" w:hAnsiTheme="minorHAnsi" w:cstheme="minorBidi"/>
          <w:caps w:val="0"/>
          <w:noProof/>
          <w:sz w:val="22"/>
          <w:szCs w:val="22"/>
          <w:lang w:eastAsia="es-ES"/>
        </w:rPr>
        <w:tab/>
      </w:r>
      <w:r>
        <w:rPr>
          <w:noProof/>
        </w:rPr>
        <w:t>Valoración del sistema de control interno</w:t>
      </w:r>
      <w:r>
        <w:rPr>
          <w:noProof/>
        </w:rPr>
        <w:tab/>
      </w:r>
      <w:r>
        <w:rPr>
          <w:noProof/>
        </w:rPr>
        <w:fldChar w:fldCharType="begin"/>
      </w:r>
      <w:r>
        <w:rPr>
          <w:noProof/>
        </w:rPr>
        <w:instrText xml:space="preserve"> PAGEREF _Toc16667634 \h </w:instrText>
      </w:r>
      <w:r>
        <w:rPr>
          <w:noProof/>
        </w:rPr>
      </w:r>
      <w:r>
        <w:rPr>
          <w:noProof/>
        </w:rPr>
        <w:fldChar w:fldCharType="separate"/>
      </w:r>
      <w:r>
        <w:rPr>
          <w:noProof/>
        </w:rPr>
        <w:t>58</w:t>
      </w:r>
      <w:r>
        <w:rPr>
          <w:noProof/>
        </w:rPr>
        <w:fldChar w:fldCharType="end"/>
      </w:r>
    </w:p>
    <w:p w14:paraId="6315A8F5" w14:textId="28D107E0" w:rsidR="00805BA2" w:rsidRDefault="00805BA2">
      <w:pPr>
        <w:pStyle w:val="TOC2"/>
        <w:rPr>
          <w:rFonts w:asciiTheme="minorHAnsi" w:eastAsiaTheme="minorEastAsia" w:hAnsiTheme="minorHAnsi" w:cstheme="minorBidi"/>
          <w:noProof/>
          <w:sz w:val="22"/>
          <w:szCs w:val="22"/>
          <w:lang w:eastAsia="es-ES"/>
        </w:rPr>
      </w:pPr>
      <w:r>
        <w:rPr>
          <w:noProof/>
        </w:rPr>
        <w:t>11.1 Valoración del entorno de control para el establecimiento de la garantía del sistema</w:t>
      </w:r>
      <w:r>
        <w:rPr>
          <w:noProof/>
        </w:rPr>
        <w:tab/>
      </w:r>
      <w:r>
        <w:rPr>
          <w:noProof/>
        </w:rPr>
        <w:fldChar w:fldCharType="begin"/>
      </w:r>
      <w:r>
        <w:rPr>
          <w:noProof/>
        </w:rPr>
        <w:instrText xml:space="preserve"> PAGEREF _Toc16667635 \h </w:instrText>
      </w:r>
      <w:r>
        <w:rPr>
          <w:noProof/>
        </w:rPr>
      </w:r>
      <w:r>
        <w:rPr>
          <w:noProof/>
        </w:rPr>
        <w:fldChar w:fldCharType="separate"/>
      </w:r>
      <w:r>
        <w:rPr>
          <w:noProof/>
        </w:rPr>
        <w:t>59</w:t>
      </w:r>
      <w:r>
        <w:rPr>
          <w:noProof/>
        </w:rPr>
        <w:fldChar w:fldCharType="end"/>
      </w:r>
    </w:p>
    <w:p w14:paraId="50FFB457" w14:textId="7459A0B3" w:rsidR="00805BA2" w:rsidRDefault="00805BA2">
      <w:pPr>
        <w:pStyle w:val="TOC2"/>
        <w:rPr>
          <w:rFonts w:asciiTheme="minorHAnsi" w:eastAsiaTheme="minorEastAsia" w:hAnsiTheme="minorHAnsi" w:cstheme="minorBidi"/>
          <w:noProof/>
          <w:sz w:val="22"/>
          <w:szCs w:val="22"/>
          <w:lang w:eastAsia="es-ES"/>
        </w:rPr>
      </w:pPr>
      <w:r>
        <w:rPr>
          <w:noProof/>
        </w:rPr>
        <w:t>11.2 Revisión de los procedimientos de control</w:t>
      </w:r>
      <w:r>
        <w:rPr>
          <w:noProof/>
        </w:rPr>
        <w:tab/>
      </w:r>
      <w:r>
        <w:rPr>
          <w:noProof/>
        </w:rPr>
        <w:fldChar w:fldCharType="begin"/>
      </w:r>
      <w:r>
        <w:rPr>
          <w:noProof/>
        </w:rPr>
        <w:instrText xml:space="preserve"> PAGEREF _Toc16667636 \h </w:instrText>
      </w:r>
      <w:r>
        <w:rPr>
          <w:noProof/>
        </w:rPr>
      </w:r>
      <w:r>
        <w:rPr>
          <w:noProof/>
        </w:rPr>
        <w:fldChar w:fldCharType="separate"/>
      </w:r>
      <w:r>
        <w:rPr>
          <w:noProof/>
        </w:rPr>
        <w:t>61</w:t>
      </w:r>
      <w:r>
        <w:rPr>
          <w:noProof/>
        </w:rPr>
        <w:fldChar w:fldCharType="end"/>
      </w:r>
    </w:p>
    <w:p w14:paraId="7CB658AD" w14:textId="259D6030" w:rsidR="00805BA2" w:rsidRDefault="00805BA2">
      <w:pPr>
        <w:pStyle w:val="TOC3"/>
        <w:rPr>
          <w:rFonts w:asciiTheme="minorHAnsi" w:eastAsiaTheme="minorEastAsia" w:hAnsiTheme="minorHAnsi" w:cstheme="minorBidi"/>
          <w:noProof/>
          <w:sz w:val="22"/>
          <w:szCs w:val="22"/>
          <w:lang w:eastAsia="es-ES"/>
        </w:rPr>
      </w:pPr>
      <w:r w:rsidRPr="00621BBD">
        <w:rPr>
          <w:i/>
          <w:noProof/>
        </w:rPr>
        <w:t>11.2.1 Revisión de los controles informáticos generales</w:t>
      </w:r>
      <w:r>
        <w:rPr>
          <w:noProof/>
        </w:rPr>
        <w:tab/>
      </w:r>
      <w:r>
        <w:rPr>
          <w:noProof/>
        </w:rPr>
        <w:fldChar w:fldCharType="begin"/>
      </w:r>
      <w:r>
        <w:rPr>
          <w:noProof/>
        </w:rPr>
        <w:instrText xml:space="preserve"> PAGEREF _Toc16667637 \h </w:instrText>
      </w:r>
      <w:r>
        <w:rPr>
          <w:noProof/>
        </w:rPr>
      </w:r>
      <w:r>
        <w:rPr>
          <w:noProof/>
        </w:rPr>
        <w:fldChar w:fldCharType="separate"/>
      </w:r>
      <w:r>
        <w:rPr>
          <w:noProof/>
        </w:rPr>
        <w:t>62</w:t>
      </w:r>
      <w:r>
        <w:rPr>
          <w:noProof/>
        </w:rPr>
        <w:fldChar w:fldCharType="end"/>
      </w:r>
    </w:p>
    <w:p w14:paraId="7A74D456" w14:textId="7FC47D32" w:rsidR="00805BA2" w:rsidRDefault="00805BA2">
      <w:pPr>
        <w:pStyle w:val="TOC3"/>
        <w:rPr>
          <w:rFonts w:asciiTheme="minorHAnsi" w:eastAsiaTheme="minorEastAsia" w:hAnsiTheme="minorHAnsi" w:cstheme="minorBidi"/>
          <w:noProof/>
          <w:sz w:val="22"/>
          <w:szCs w:val="22"/>
          <w:lang w:eastAsia="es-ES"/>
        </w:rPr>
      </w:pPr>
      <w:r w:rsidRPr="00621BBD">
        <w:rPr>
          <w:i/>
          <w:noProof/>
        </w:rPr>
        <w:t>11.2.2 Revisión de los controles de aplicaciones informáticas</w:t>
      </w:r>
      <w:r>
        <w:rPr>
          <w:noProof/>
        </w:rPr>
        <w:tab/>
      </w:r>
      <w:r>
        <w:rPr>
          <w:noProof/>
        </w:rPr>
        <w:fldChar w:fldCharType="begin"/>
      </w:r>
      <w:r>
        <w:rPr>
          <w:noProof/>
        </w:rPr>
        <w:instrText xml:space="preserve"> PAGEREF _Toc16667638 \h </w:instrText>
      </w:r>
      <w:r>
        <w:rPr>
          <w:noProof/>
        </w:rPr>
      </w:r>
      <w:r>
        <w:rPr>
          <w:noProof/>
        </w:rPr>
        <w:fldChar w:fldCharType="separate"/>
      </w:r>
      <w:r>
        <w:rPr>
          <w:noProof/>
        </w:rPr>
        <w:t>62</w:t>
      </w:r>
      <w:r>
        <w:rPr>
          <w:noProof/>
        </w:rPr>
        <w:fldChar w:fldCharType="end"/>
      </w:r>
    </w:p>
    <w:p w14:paraId="6F02F23B" w14:textId="48AD5355" w:rsidR="00805BA2" w:rsidRDefault="00805BA2">
      <w:pPr>
        <w:pStyle w:val="TOC2"/>
        <w:rPr>
          <w:rFonts w:asciiTheme="minorHAnsi" w:eastAsiaTheme="minorEastAsia" w:hAnsiTheme="minorHAnsi" w:cstheme="minorBidi"/>
          <w:noProof/>
          <w:sz w:val="22"/>
          <w:szCs w:val="22"/>
          <w:lang w:eastAsia="es-ES"/>
        </w:rPr>
      </w:pPr>
      <w:r>
        <w:rPr>
          <w:noProof/>
        </w:rPr>
        <w:t>11.3 Pruebas de cumplimiento (prueba de los controles)</w:t>
      </w:r>
      <w:r>
        <w:rPr>
          <w:noProof/>
        </w:rPr>
        <w:tab/>
      </w:r>
      <w:r>
        <w:rPr>
          <w:noProof/>
        </w:rPr>
        <w:fldChar w:fldCharType="begin"/>
      </w:r>
      <w:r>
        <w:rPr>
          <w:noProof/>
        </w:rPr>
        <w:instrText xml:space="preserve"> PAGEREF _Toc16667639 \h </w:instrText>
      </w:r>
      <w:r>
        <w:rPr>
          <w:noProof/>
        </w:rPr>
      </w:r>
      <w:r>
        <w:rPr>
          <w:noProof/>
        </w:rPr>
        <w:fldChar w:fldCharType="separate"/>
      </w:r>
      <w:r>
        <w:rPr>
          <w:noProof/>
        </w:rPr>
        <w:t>65</w:t>
      </w:r>
      <w:r>
        <w:rPr>
          <w:noProof/>
        </w:rPr>
        <w:fldChar w:fldCharType="end"/>
      </w:r>
    </w:p>
    <w:p w14:paraId="5F13BF89" w14:textId="555BECF0" w:rsidR="00805BA2" w:rsidRDefault="00805BA2">
      <w:pPr>
        <w:pStyle w:val="TOC2"/>
        <w:rPr>
          <w:rFonts w:asciiTheme="minorHAnsi" w:eastAsiaTheme="minorEastAsia" w:hAnsiTheme="minorHAnsi" w:cstheme="minorBidi"/>
          <w:noProof/>
          <w:sz w:val="22"/>
          <w:szCs w:val="22"/>
          <w:lang w:eastAsia="es-ES"/>
        </w:rPr>
      </w:pPr>
      <w:r>
        <w:rPr>
          <w:noProof/>
        </w:rPr>
        <w:t>11.4 Resultados de la valoración del sistema de control interno</w:t>
      </w:r>
      <w:r>
        <w:rPr>
          <w:noProof/>
        </w:rPr>
        <w:tab/>
      </w:r>
      <w:r>
        <w:rPr>
          <w:noProof/>
        </w:rPr>
        <w:fldChar w:fldCharType="begin"/>
      </w:r>
      <w:r>
        <w:rPr>
          <w:noProof/>
        </w:rPr>
        <w:instrText xml:space="preserve"> PAGEREF _Toc16667640 \h </w:instrText>
      </w:r>
      <w:r>
        <w:rPr>
          <w:noProof/>
        </w:rPr>
      </w:r>
      <w:r>
        <w:rPr>
          <w:noProof/>
        </w:rPr>
        <w:fldChar w:fldCharType="separate"/>
      </w:r>
      <w:r>
        <w:rPr>
          <w:noProof/>
        </w:rPr>
        <w:t>68</w:t>
      </w:r>
      <w:r>
        <w:rPr>
          <w:noProof/>
        </w:rPr>
        <w:fldChar w:fldCharType="end"/>
      </w:r>
    </w:p>
    <w:p w14:paraId="13A7DF96" w14:textId="4583324D" w:rsidR="00805BA2" w:rsidRDefault="00805BA2">
      <w:pPr>
        <w:pStyle w:val="TOC1"/>
        <w:rPr>
          <w:rFonts w:asciiTheme="minorHAnsi" w:eastAsiaTheme="minorEastAsia" w:hAnsiTheme="minorHAnsi" w:cstheme="minorBidi"/>
          <w:caps w:val="0"/>
          <w:noProof/>
          <w:sz w:val="22"/>
          <w:szCs w:val="22"/>
          <w:lang w:eastAsia="es-ES"/>
        </w:rPr>
      </w:pPr>
      <w:r>
        <w:rPr>
          <w:noProof/>
        </w:rPr>
        <w:t>12</w:t>
      </w:r>
      <w:r>
        <w:rPr>
          <w:rFonts w:asciiTheme="minorHAnsi" w:eastAsiaTheme="minorEastAsia" w:hAnsiTheme="minorHAnsi" w:cstheme="minorBidi"/>
          <w:caps w:val="0"/>
          <w:noProof/>
          <w:sz w:val="22"/>
          <w:szCs w:val="22"/>
          <w:lang w:eastAsia="es-ES"/>
        </w:rPr>
        <w:tab/>
      </w:r>
      <w:r>
        <w:rPr>
          <w:noProof/>
        </w:rPr>
        <w:t>Pruebas sustantivas</w:t>
      </w:r>
      <w:r>
        <w:rPr>
          <w:noProof/>
        </w:rPr>
        <w:tab/>
      </w:r>
      <w:r>
        <w:rPr>
          <w:noProof/>
        </w:rPr>
        <w:fldChar w:fldCharType="begin"/>
      </w:r>
      <w:r>
        <w:rPr>
          <w:noProof/>
        </w:rPr>
        <w:instrText xml:space="preserve"> PAGEREF _Toc16667641 \h </w:instrText>
      </w:r>
      <w:r>
        <w:rPr>
          <w:noProof/>
        </w:rPr>
      </w:r>
      <w:r>
        <w:rPr>
          <w:noProof/>
        </w:rPr>
        <w:fldChar w:fldCharType="separate"/>
      </w:r>
      <w:r>
        <w:rPr>
          <w:noProof/>
        </w:rPr>
        <w:t>68</w:t>
      </w:r>
      <w:r>
        <w:rPr>
          <w:noProof/>
        </w:rPr>
        <w:fldChar w:fldCharType="end"/>
      </w:r>
    </w:p>
    <w:p w14:paraId="2A3937CA" w14:textId="246487C2" w:rsidR="00805BA2" w:rsidRDefault="00805BA2">
      <w:pPr>
        <w:pStyle w:val="TOC2"/>
        <w:rPr>
          <w:rFonts w:asciiTheme="minorHAnsi" w:eastAsiaTheme="minorEastAsia" w:hAnsiTheme="minorHAnsi" w:cstheme="minorBidi"/>
          <w:noProof/>
          <w:sz w:val="22"/>
          <w:szCs w:val="22"/>
          <w:lang w:eastAsia="es-ES"/>
        </w:rPr>
      </w:pPr>
      <w:r>
        <w:rPr>
          <w:noProof/>
        </w:rPr>
        <w:t>12.1 Objetivo de las pruebas sustantivas</w:t>
      </w:r>
      <w:r>
        <w:rPr>
          <w:noProof/>
        </w:rPr>
        <w:tab/>
      </w:r>
      <w:r>
        <w:rPr>
          <w:noProof/>
        </w:rPr>
        <w:fldChar w:fldCharType="begin"/>
      </w:r>
      <w:r>
        <w:rPr>
          <w:noProof/>
        </w:rPr>
        <w:instrText xml:space="preserve"> PAGEREF _Toc16667642 \h </w:instrText>
      </w:r>
      <w:r>
        <w:rPr>
          <w:noProof/>
        </w:rPr>
      </w:r>
      <w:r>
        <w:rPr>
          <w:noProof/>
        </w:rPr>
        <w:fldChar w:fldCharType="separate"/>
      </w:r>
      <w:r>
        <w:rPr>
          <w:noProof/>
        </w:rPr>
        <w:t>68</w:t>
      </w:r>
      <w:r>
        <w:rPr>
          <w:noProof/>
        </w:rPr>
        <w:fldChar w:fldCharType="end"/>
      </w:r>
    </w:p>
    <w:p w14:paraId="701DFFFF" w14:textId="4E58383B" w:rsidR="00805BA2" w:rsidRDefault="00805BA2">
      <w:pPr>
        <w:pStyle w:val="TOC2"/>
        <w:rPr>
          <w:rFonts w:asciiTheme="minorHAnsi" w:eastAsiaTheme="minorEastAsia" w:hAnsiTheme="minorHAnsi" w:cstheme="minorBidi"/>
          <w:noProof/>
          <w:sz w:val="22"/>
          <w:szCs w:val="22"/>
          <w:lang w:eastAsia="es-ES"/>
        </w:rPr>
      </w:pPr>
      <w:r>
        <w:rPr>
          <w:noProof/>
        </w:rPr>
        <w:t>12.2 Conceptos generales</w:t>
      </w:r>
      <w:r>
        <w:rPr>
          <w:noProof/>
        </w:rPr>
        <w:tab/>
      </w:r>
      <w:r>
        <w:rPr>
          <w:noProof/>
        </w:rPr>
        <w:fldChar w:fldCharType="begin"/>
      </w:r>
      <w:r>
        <w:rPr>
          <w:noProof/>
        </w:rPr>
        <w:instrText xml:space="preserve"> PAGEREF _Toc16667643 \h </w:instrText>
      </w:r>
      <w:r>
        <w:rPr>
          <w:noProof/>
        </w:rPr>
      </w:r>
      <w:r>
        <w:rPr>
          <w:noProof/>
        </w:rPr>
        <w:fldChar w:fldCharType="separate"/>
      </w:r>
      <w:r>
        <w:rPr>
          <w:noProof/>
        </w:rPr>
        <w:t>70</w:t>
      </w:r>
      <w:r>
        <w:rPr>
          <w:noProof/>
        </w:rPr>
        <w:fldChar w:fldCharType="end"/>
      </w:r>
    </w:p>
    <w:p w14:paraId="49F2BBA5" w14:textId="13C8649D" w:rsidR="00805BA2" w:rsidRDefault="00805BA2">
      <w:pPr>
        <w:pStyle w:val="TOC1"/>
        <w:rPr>
          <w:rFonts w:asciiTheme="minorHAnsi" w:eastAsiaTheme="minorEastAsia" w:hAnsiTheme="minorHAnsi" w:cstheme="minorBidi"/>
          <w:caps w:val="0"/>
          <w:noProof/>
          <w:sz w:val="22"/>
          <w:szCs w:val="22"/>
          <w:lang w:eastAsia="es-ES"/>
        </w:rPr>
      </w:pPr>
      <w:r>
        <w:rPr>
          <w:noProof/>
        </w:rPr>
        <w:t>13</w:t>
      </w:r>
      <w:r>
        <w:rPr>
          <w:rFonts w:asciiTheme="minorHAnsi" w:eastAsiaTheme="minorEastAsia" w:hAnsiTheme="minorHAnsi" w:cstheme="minorBidi"/>
          <w:caps w:val="0"/>
          <w:noProof/>
          <w:sz w:val="22"/>
          <w:szCs w:val="22"/>
          <w:lang w:eastAsia="es-ES"/>
        </w:rPr>
        <w:tab/>
      </w:r>
      <w:r>
        <w:rPr>
          <w:noProof/>
        </w:rPr>
        <w:t>Conciliaciones – procedimientos analíticos</w:t>
      </w:r>
      <w:r>
        <w:rPr>
          <w:noProof/>
        </w:rPr>
        <w:tab/>
      </w:r>
      <w:r>
        <w:rPr>
          <w:noProof/>
        </w:rPr>
        <w:fldChar w:fldCharType="begin"/>
      </w:r>
      <w:r>
        <w:rPr>
          <w:noProof/>
        </w:rPr>
        <w:instrText xml:space="preserve"> PAGEREF _Toc16667644 \h </w:instrText>
      </w:r>
      <w:r>
        <w:rPr>
          <w:noProof/>
        </w:rPr>
      </w:r>
      <w:r>
        <w:rPr>
          <w:noProof/>
        </w:rPr>
        <w:fldChar w:fldCharType="separate"/>
      </w:r>
      <w:r>
        <w:rPr>
          <w:noProof/>
        </w:rPr>
        <w:t>78</w:t>
      </w:r>
      <w:r>
        <w:rPr>
          <w:noProof/>
        </w:rPr>
        <w:fldChar w:fldCharType="end"/>
      </w:r>
    </w:p>
    <w:p w14:paraId="001572E6" w14:textId="6BFD0498" w:rsidR="00805BA2" w:rsidRDefault="00805BA2">
      <w:pPr>
        <w:pStyle w:val="TOC2"/>
        <w:rPr>
          <w:rFonts w:asciiTheme="minorHAnsi" w:eastAsiaTheme="minorEastAsia" w:hAnsiTheme="minorHAnsi" w:cstheme="minorBidi"/>
          <w:noProof/>
          <w:sz w:val="22"/>
          <w:szCs w:val="22"/>
          <w:lang w:eastAsia="es-ES"/>
        </w:rPr>
      </w:pPr>
      <w:r>
        <w:rPr>
          <w:noProof/>
        </w:rPr>
        <w:t>13.1 Estadísticas de control</w:t>
      </w:r>
      <w:r>
        <w:rPr>
          <w:noProof/>
        </w:rPr>
        <w:tab/>
      </w:r>
      <w:r>
        <w:rPr>
          <w:noProof/>
        </w:rPr>
        <w:fldChar w:fldCharType="begin"/>
      </w:r>
      <w:r>
        <w:rPr>
          <w:noProof/>
        </w:rPr>
        <w:instrText xml:space="preserve"> PAGEREF _Toc16667645 \h </w:instrText>
      </w:r>
      <w:r>
        <w:rPr>
          <w:noProof/>
        </w:rPr>
      </w:r>
      <w:r>
        <w:rPr>
          <w:noProof/>
        </w:rPr>
        <w:fldChar w:fldCharType="separate"/>
      </w:r>
      <w:r>
        <w:rPr>
          <w:noProof/>
        </w:rPr>
        <w:t>78</w:t>
      </w:r>
      <w:r>
        <w:rPr>
          <w:noProof/>
        </w:rPr>
        <w:fldChar w:fldCharType="end"/>
      </w:r>
    </w:p>
    <w:p w14:paraId="51E59FBF" w14:textId="6C356ECA" w:rsidR="00805BA2" w:rsidRDefault="00805BA2">
      <w:pPr>
        <w:pStyle w:val="TOC2"/>
        <w:rPr>
          <w:rFonts w:asciiTheme="minorHAnsi" w:eastAsiaTheme="minorEastAsia" w:hAnsiTheme="minorHAnsi" w:cstheme="minorBidi"/>
          <w:noProof/>
          <w:sz w:val="22"/>
          <w:szCs w:val="22"/>
          <w:lang w:eastAsia="es-ES"/>
        </w:rPr>
      </w:pPr>
      <w:r>
        <w:rPr>
          <w:noProof/>
        </w:rPr>
        <w:t>13.2 Procedimientos analíticos con respecto a la declaración sobre la gestión</w:t>
      </w:r>
      <w:r>
        <w:rPr>
          <w:noProof/>
        </w:rPr>
        <w:tab/>
      </w:r>
      <w:r>
        <w:rPr>
          <w:noProof/>
        </w:rPr>
        <w:fldChar w:fldCharType="begin"/>
      </w:r>
      <w:r>
        <w:rPr>
          <w:noProof/>
        </w:rPr>
        <w:instrText xml:space="preserve"> PAGEREF _Toc16667646 \h </w:instrText>
      </w:r>
      <w:r>
        <w:rPr>
          <w:noProof/>
        </w:rPr>
      </w:r>
      <w:r>
        <w:rPr>
          <w:noProof/>
        </w:rPr>
        <w:fldChar w:fldCharType="separate"/>
      </w:r>
      <w:r>
        <w:rPr>
          <w:noProof/>
        </w:rPr>
        <w:t>79</w:t>
      </w:r>
      <w:r>
        <w:rPr>
          <w:noProof/>
        </w:rPr>
        <w:fldChar w:fldCharType="end"/>
      </w:r>
    </w:p>
    <w:p w14:paraId="712E3315" w14:textId="7B542DBA" w:rsidR="00805BA2" w:rsidRDefault="00805BA2">
      <w:pPr>
        <w:pStyle w:val="TOC2"/>
        <w:rPr>
          <w:rFonts w:asciiTheme="minorHAnsi" w:eastAsiaTheme="minorEastAsia" w:hAnsiTheme="minorHAnsi" w:cstheme="minorBidi"/>
          <w:noProof/>
          <w:sz w:val="22"/>
          <w:szCs w:val="22"/>
          <w:lang w:eastAsia="es-ES"/>
        </w:rPr>
      </w:pPr>
      <w:r>
        <w:rPr>
          <w:noProof/>
        </w:rPr>
        <w:t>13.3 Procedimientos analíticos con respecto a los planes de acción</w:t>
      </w:r>
      <w:r>
        <w:rPr>
          <w:noProof/>
        </w:rPr>
        <w:tab/>
      </w:r>
      <w:r>
        <w:rPr>
          <w:noProof/>
        </w:rPr>
        <w:fldChar w:fldCharType="begin"/>
      </w:r>
      <w:r>
        <w:rPr>
          <w:noProof/>
        </w:rPr>
        <w:instrText xml:space="preserve"> PAGEREF _Toc16667647 \h </w:instrText>
      </w:r>
      <w:r>
        <w:rPr>
          <w:noProof/>
        </w:rPr>
      </w:r>
      <w:r>
        <w:rPr>
          <w:noProof/>
        </w:rPr>
        <w:fldChar w:fldCharType="separate"/>
      </w:r>
      <w:r>
        <w:rPr>
          <w:noProof/>
        </w:rPr>
        <w:t>80</w:t>
      </w:r>
      <w:r>
        <w:rPr>
          <w:noProof/>
        </w:rPr>
        <w:fldChar w:fldCharType="end"/>
      </w:r>
    </w:p>
    <w:p w14:paraId="146AAC29" w14:textId="10C70447" w:rsidR="00805BA2" w:rsidRDefault="00805BA2">
      <w:pPr>
        <w:pStyle w:val="TOC1"/>
        <w:rPr>
          <w:rFonts w:asciiTheme="minorHAnsi" w:eastAsiaTheme="minorEastAsia" w:hAnsiTheme="minorHAnsi" w:cstheme="minorBidi"/>
          <w:caps w:val="0"/>
          <w:noProof/>
          <w:sz w:val="22"/>
          <w:szCs w:val="22"/>
          <w:lang w:eastAsia="es-ES"/>
        </w:rPr>
      </w:pPr>
      <w:r>
        <w:rPr>
          <w:noProof/>
        </w:rPr>
        <w:t>14</w:t>
      </w:r>
      <w:r>
        <w:rPr>
          <w:rFonts w:asciiTheme="minorHAnsi" w:eastAsiaTheme="minorEastAsia" w:hAnsiTheme="minorHAnsi" w:cstheme="minorBidi"/>
          <w:caps w:val="0"/>
          <w:noProof/>
          <w:sz w:val="22"/>
          <w:szCs w:val="22"/>
          <w:lang w:eastAsia="es-ES"/>
        </w:rPr>
        <w:tab/>
      </w:r>
      <w:r>
        <w:rPr>
          <w:noProof/>
        </w:rPr>
        <w:t>Categorización y consolidación de errores</w:t>
      </w:r>
      <w:r>
        <w:rPr>
          <w:noProof/>
        </w:rPr>
        <w:tab/>
      </w:r>
      <w:r>
        <w:rPr>
          <w:noProof/>
        </w:rPr>
        <w:fldChar w:fldCharType="begin"/>
      </w:r>
      <w:r>
        <w:rPr>
          <w:noProof/>
        </w:rPr>
        <w:instrText xml:space="preserve"> PAGEREF _Toc16667648 \h </w:instrText>
      </w:r>
      <w:r>
        <w:rPr>
          <w:noProof/>
        </w:rPr>
      </w:r>
      <w:r>
        <w:rPr>
          <w:noProof/>
        </w:rPr>
        <w:fldChar w:fldCharType="separate"/>
      </w:r>
      <w:r>
        <w:rPr>
          <w:noProof/>
        </w:rPr>
        <w:t>80</w:t>
      </w:r>
      <w:r>
        <w:rPr>
          <w:noProof/>
        </w:rPr>
        <w:fldChar w:fldCharType="end"/>
      </w:r>
    </w:p>
    <w:p w14:paraId="5B5B5A5D" w14:textId="1E08A056" w:rsidR="00805BA2" w:rsidRDefault="00805BA2">
      <w:pPr>
        <w:pStyle w:val="TOC2"/>
        <w:rPr>
          <w:rFonts w:asciiTheme="minorHAnsi" w:eastAsiaTheme="minorEastAsia" w:hAnsiTheme="minorHAnsi" w:cstheme="minorBidi"/>
          <w:noProof/>
          <w:sz w:val="22"/>
          <w:szCs w:val="22"/>
          <w:lang w:eastAsia="es-ES"/>
        </w:rPr>
      </w:pPr>
      <w:r>
        <w:rPr>
          <w:noProof/>
        </w:rPr>
        <w:t>14.1 Categorización de errores</w:t>
      </w:r>
      <w:r>
        <w:rPr>
          <w:noProof/>
        </w:rPr>
        <w:tab/>
      </w:r>
      <w:r>
        <w:rPr>
          <w:noProof/>
        </w:rPr>
        <w:fldChar w:fldCharType="begin"/>
      </w:r>
      <w:r>
        <w:rPr>
          <w:noProof/>
        </w:rPr>
        <w:instrText xml:space="preserve"> PAGEREF _Toc16667649 \h </w:instrText>
      </w:r>
      <w:r>
        <w:rPr>
          <w:noProof/>
        </w:rPr>
      </w:r>
      <w:r>
        <w:rPr>
          <w:noProof/>
        </w:rPr>
        <w:fldChar w:fldCharType="separate"/>
      </w:r>
      <w:r>
        <w:rPr>
          <w:noProof/>
        </w:rPr>
        <w:t>80</w:t>
      </w:r>
      <w:r>
        <w:rPr>
          <w:noProof/>
        </w:rPr>
        <w:fldChar w:fldCharType="end"/>
      </w:r>
    </w:p>
    <w:p w14:paraId="5AA687D6" w14:textId="0F82A8E7" w:rsidR="00805BA2" w:rsidRDefault="00805BA2">
      <w:pPr>
        <w:pStyle w:val="TOC2"/>
        <w:rPr>
          <w:rFonts w:asciiTheme="minorHAnsi" w:eastAsiaTheme="minorEastAsia" w:hAnsiTheme="minorHAnsi" w:cstheme="minorBidi"/>
          <w:noProof/>
          <w:sz w:val="22"/>
          <w:szCs w:val="22"/>
          <w:lang w:eastAsia="es-ES"/>
        </w:rPr>
      </w:pPr>
      <w:r>
        <w:rPr>
          <w:noProof/>
        </w:rPr>
        <w:t>14.2 Consolidación de errores</w:t>
      </w:r>
      <w:r>
        <w:rPr>
          <w:noProof/>
        </w:rPr>
        <w:tab/>
      </w:r>
      <w:r>
        <w:rPr>
          <w:noProof/>
        </w:rPr>
        <w:fldChar w:fldCharType="begin"/>
      </w:r>
      <w:r>
        <w:rPr>
          <w:noProof/>
        </w:rPr>
        <w:instrText xml:space="preserve"> PAGEREF _Toc16667650 \h </w:instrText>
      </w:r>
      <w:r>
        <w:rPr>
          <w:noProof/>
        </w:rPr>
      </w:r>
      <w:r>
        <w:rPr>
          <w:noProof/>
        </w:rPr>
        <w:fldChar w:fldCharType="separate"/>
      </w:r>
      <w:r>
        <w:rPr>
          <w:noProof/>
        </w:rPr>
        <w:t>81</w:t>
      </w:r>
      <w:r>
        <w:rPr>
          <w:noProof/>
        </w:rPr>
        <w:fldChar w:fldCharType="end"/>
      </w:r>
    </w:p>
    <w:p w14:paraId="41B605B8" w14:textId="718C163F" w:rsidR="00805BA2" w:rsidRDefault="00805BA2">
      <w:pPr>
        <w:pStyle w:val="TOC1"/>
        <w:rPr>
          <w:rFonts w:asciiTheme="minorHAnsi" w:eastAsiaTheme="minorEastAsia" w:hAnsiTheme="minorHAnsi" w:cstheme="minorBidi"/>
          <w:caps w:val="0"/>
          <w:noProof/>
          <w:sz w:val="22"/>
          <w:szCs w:val="22"/>
          <w:lang w:eastAsia="es-ES"/>
        </w:rPr>
      </w:pPr>
      <w:r>
        <w:rPr>
          <w:noProof/>
        </w:rPr>
        <w:t>15</w:t>
      </w:r>
      <w:r>
        <w:rPr>
          <w:rFonts w:asciiTheme="minorHAnsi" w:eastAsiaTheme="minorEastAsia" w:hAnsiTheme="minorHAnsi" w:cstheme="minorBidi"/>
          <w:caps w:val="0"/>
          <w:noProof/>
          <w:sz w:val="22"/>
          <w:szCs w:val="22"/>
          <w:lang w:eastAsia="es-ES"/>
        </w:rPr>
        <w:tab/>
      </w:r>
      <w:r>
        <w:rPr>
          <w:noProof/>
        </w:rPr>
        <w:t>Conclusión con respecto al objetivo de auditoría n.º 2</w:t>
      </w:r>
      <w:r>
        <w:rPr>
          <w:noProof/>
        </w:rPr>
        <w:tab/>
      </w:r>
      <w:r>
        <w:rPr>
          <w:noProof/>
        </w:rPr>
        <w:fldChar w:fldCharType="begin"/>
      </w:r>
      <w:r>
        <w:rPr>
          <w:noProof/>
        </w:rPr>
        <w:instrText xml:space="preserve"> PAGEREF _Toc16667651 \h </w:instrText>
      </w:r>
      <w:r>
        <w:rPr>
          <w:noProof/>
        </w:rPr>
      </w:r>
      <w:r>
        <w:rPr>
          <w:noProof/>
        </w:rPr>
        <w:fldChar w:fldCharType="separate"/>
      </w:r>
      <w:r>
        <w:rPr>
          <w:noProof/>
        </w:rPr>
        <w:t>82</w:t>
      </w:r>
      <w:r>
        <w:rPr>
          <w:noProof/>
        </w:rPr>
        <w:fldChar w:fldCharType="end"/>
      </w:r>
    </w:p>
    <w:p w14:paraId="7F0629AC" w14:textId="4AA51B5C" w:rsidR="00805BA2" w:rsidRDefault="00805BA2">
      <w:pPr>
        <w:pStyle w:val="TOC2"/>
        <w:tabs>
          <w:tab w:val="left" w:pos="1916"/>
        </w:tabs>
        <w:rPr>
          <w:rFonts w:asciiTheme="minorHAnsi" w:eastAsiaTheme="minorEastAsia" w:hAnsiTheme="minorHAnsi" w:cstheme="minorBidi"/>
          <w:noProof/>
          <w:sz w:val="22"/>
          <w:szCs w:val="22"/>
          <w:lang w:eastAsia="es-ES"/>
        </w:rPr>
      </w:pPr>
      <w:r>
        <w:rPr>
          <w:noProof/>
        </w:rPr>
        <w:t>15.1</w:t>
      </w:r>
      <w:r>
        <w:rPr>
          <w:rFonts w:asciiTheme="minorHAnsi" w:eastAsiaTheme="minorEastAsia" w:hAnsiTheme="minorHAnsi" w:cstheme="minorBidi"/>
          <w:noProof/>
          <w:sz w:val="22"/>
          <w:szCs w:val="22"/>
          <w:lang w:eastAsia="es-ES"/>
        </w:rPr>
        <w:tab/>
      </w:r>
      <w:r>
        <w:rPr>
          <w:noProof/>
        </w:rPr>
        <w:t>Evaluar la suficiencia y la idoneidad de la evidencia de auditoría</w:t>
      </w:r>
      <w:r>
        <w:rPr>
          <w:noProof/>
        </w:rPr>
        <w:tab/>
      </w:r>
      <w:r>
        <w:rPr>
          <w:noProof/>
        </w:rPr>
        <w:fldChar w:fldCharType="begin"/>
      </w:r>
      <w:r>
        <w:rPr>
          <w:noProof/>
        </w:rPr>
        <w:instrText xml:space="preserve"> PAGEREF _Toc16667652 \h </w:instrText>
      </w:r>
      <w:r>
        <w:rPr>
          <w:noProof/>
        </w:rPr>
      </w:r>
      <w:r>
        <w:rPr>
          <w:noProof/>
        </w:rPr>
        <w:fldChar w:fldCharType="separate"/>
      </w:r>
      <w:r>
        <w:rPr>
          <w:noProof/>
        </w:rPr>
        <w:t>82</w:t>
      </w:r>
      <w:r>
        <w:rPr>
          <w:noProof/>
        </w:rPr>
        <w:fldChar w:fldCharType="end"/>
      </w:r>
    </w:p>
    <w:p w14:paraId="2A79B6C7" w14:textId="1BBAD8C2" w:rsidR="00805BA2" w:rsidRDefault="00805BA2">
      <w:pPr>
        <w:pStyle w:val="TOC1"/>
        <w:rPr>
          <w:rFonts w:asciiTheme="minorHAnsi" w:eastAsiaTheme="minorEastAsia" w:hAnsiTheme="minorHAnsi" w:cstheme="minorBidi"/>
          <w:caps w:val="0"/>
          <w:noProof/>
          <w:sz w:val="22"/>
          <w:szCs w:val="22"/>
          <w:lang w:eastAsia="es-ES"/>
        </w:rPr>
      </w:pPr>
      <w:r>
        <w:rPr>
          <w:noProof/>
        </w:rPr>
        <w:t>16</w:t>
      </w:r>
      <w:r>
        <w:rPr>
          <w:rFonts w:asciiTheme="minorHAnsi" w:eastAsiaTheme="minorEastAsia" w:hAnsiTheme="minorHAnsi" w:cstheme="minorBidi"/>
          <w:caps w:val="0"/>
          <w:noProof/>
          <w:sz w:val="22"/>
          <w:szCs w:val="22"/>
          <w:lang w:eastAsia="es-ES"/>
        </w:rPr>
        <w:tab/>
      </w:r>
      <w:r>
        <w:rPr>
          <w:noProof/>
        </w:rPr>
        <w:t>Consideraciones particulares</w:t>
      </w:r>
      <w:r>
        <w:rPr>
          <w:noProof/>
        </w:rPr>
        <w:tab/>
      </w:r>
      <w:r>
        <w:rPr>
          <w:noProof/>
        </w:rPr>
        <w:fldChar w:fldCharType="begin"/>
      </w:r>
      <w:r>
        <w:rPr>
          <w:noProof/>
        </w:rPr>
        <w:instrText xml:space="preserve"> PAGEREF _Toc16667653 \h </w:instrText>
      </w:r>
      <w:r>
        <w:rPr>
          <w:noProof/>
        </w:rPr>
      </w:r>
      <w:r>
        <w:rPr>
          <w:noProof/>
        </w:rPr>
        <w:fldChar w:fldCharType="separate"/>
      </w:r>
      <w:r>
        <w:rPr>
          <w:noProof/>
        </w:rPr>
        <w:t>84</w:t>
      </w:r>
      <w:r>
        <w:rPr>
          <w:noProof/>
        </w:rPr>
        <w:fldChar w:fldCharType="end"/>
      </w:r>
    </w:p>
    <w:p w14:paraId="1A65BD8C" w14:textId="60F75FD3" w:rsidR="00805BA2" w:rsidRDefault="00805BA2">
      <w:pPr>
        <w:pStyle w:val="TOC2"/>
        <w:rPr>
          <w:rFonts w:asciiTheme="minorHAnsi" w:eastAsiaTheme="minorEastAsia" w:hAnsiTheme="minorHAnsi" w:cstheme="minorBidi"/>
          <w:noProof/>
          <w:sz w:val="22"/>
          <w:szCs w:val="22"/>
          <w:lang w:eastAsia="es-ES"/>
        </w:rPr>
      </w:pPr>
      <w:r>
        <w:rPr>
          <w:noProof/>
        </w:rPr>
        <w:t>16.1 Uso del trabajo realizado por otros auditores u organismos expertos</w:t>
      </w:r>
      <w:r>
        <w:rPr>
          <w:noProof/>
        </w:rPr>
        <w:tab/>
      </w:r>
      <w:r>
        <w:rPr>
          <w:noProof/>
        </w:rPr>
        <w:fldChar w:fldCharType="begin"/>
      </w:r>
      <w:r>
        <w:rPr>
          <w:noProof/>
        </w:rPr>
        <w:instrText xml:space="preserve"> PAGEREF _Toc16667654 \h </w:instrText>
      </w:r>
      <w:r>
        <w:rPr>
          <w:noProof/>
        </w:rPr>
      </w:r>
      <w:r>
        <w:rPr>
          <w:noProof/>
        </w:rPr>
        <w:fldChar w:fldCharType="separate"/>
      </w:r>
      <w:r>
        <w:rPr>
          <w:noProof/>
        </w:rPr>
        <w:t>84</w:t>
      </w:r>
      <w:r>
        <w:rPr>
          <w:noProof/>
        </w:rPr>
        <w:fldChar w:fldCharType="end"/>
      </w:r>
    </w:p>
    <w:p w14:paraId="4C2561C0" w14:textId="4460C791" w:rsidR="00805BA2" w:rsidRDefault="00805BA2">
      <w:pPr>
        <w:pStyle w:val="TOC2"/>
        <w:rPr>
          <w:rFonts w:asciiTheme="minorHAnsi" w:eastAsiaTheme="minorEastAsia" w:hAnsiTheme="minorHAnsi" w:cstheme="minorBidi"/>
          <w:noProof/>
          <w:sz w:val="22"/>
          <w:szCs w:val="22"/>
          <w:lang w:eastAsia="es-ES"/>
        </w:rPr>
      </w:pPr>
      <w:r>
        <w:rPr>
          <w:noProof/>
        </w:rPr>
        <w:t>16.2 Verificación de la condicionalidad</w:t>
      </w:r>
      <w:r>
        <w:rPr>
          <w:noProof/>
        </w:rPr>
        <w:tab/>
      </w:r>
      <w:r>
        <w:rPr>
          <w:noProof/>
        </w:rPr>
        <w:fldChar w:fldCharType="begin"/>
      </w:r>
      <w:r>
        <w:rPr>
          <w:noProof/>
        </w:rPr>
        <w:instrText xml:space="preserve"> PAGEREF _Toc16667655 \h </w:instrText>
      </w:r>
      <w:r>
        <w:rPr>
          <w:noProof/>
        </w:rPr>
      </w:r>
      <w:r>
        <w:rPr>
          <w:noProof/>
        </w:rPr>
        <w:fldChar w:fldCharType="separate"/>
      </w:r>
      <w:r>
        <w:rPr>
          <w:noProof/>
        </w:rPr>
        <w:t>85</w:t>
      </w:r>
      <w:r>
        <w:rPr>
          <w:noProof/>
        </w:rPr>
        <w:fldChar w:fldCharType="end"/>
      </w:r>
    </w:p>
    <w:p w14:paraId="5123DDF0" w14:textId="5B6FC436" w:rsidR="00805BA2" w:rsidRDefault="00805BA2">
      <w:pPr>
        <w:pStyle w:val="TOC1"/>
        <w:rPr>
          <w:rFonts w:asciiTheme="minorHAnsi" w:eastAsiaTheme="minorEastAsia" w:hAnsiTheme="minorHAnsi" w:cstheme="minorBidi"/>
          <w:caps w:val="0"/>
          <w:noProof/>
          <w:sz w:val="22"/>
          <w:szCs w:val="22"/>
          <w:lang w:eastAsia="es-ES"/>
        </w:rPr>
      </w:pPr>
      <w:r>
        <w:rPr>
          <w:noProof/>
        </w:rPr>
        <w:lastRenderedPageBreak/>
        <w:t>17</w:t>
      </w:r>
      <w:r>
        <w:rPr>
          <w:rFonts w:asciiTheme="minorHAnsi" w:eastAsiaTheme="minorEastAsia" w:hAnsiTheme="minorHAnsi" w:cstheme="minorBidi"/>
          <w:caps w:val="0"/>
          <w:noProof/>
          <w:sz w:val="22"/>
          <w:szCs w:val="22"/>
          <w:lang w:eastAsia="es-ES"/>
        </w:rPr>
        <w:tab/>
      </w:r>
      <w:r>
        <w:rPr>
          <w:noProof/>
        </w:rPr>
        <w:t>Tasa de error certificada – reducción del porcentaje de control</w:t>
      </w:r>
      <w:r>
        <w:rPr>
          <w:noProof/>
        </w:rPr>
        <w:tab/>
      </w:r>
      <w:r>
        <w:rPr>
          <w:noProof/>
        </w:rPr>
        <w:fldChar w:fldCharType="begin"/>
      </w:r>
      <w:r>
        <w:rPr>
          <w:noProof/>
        </w:rPr>
        <w:instrText xml:space="preserve"> PAGEREF _Toc16667656 \h </w:instrText>
      </w:r>
      <w:r>
        <w:rPr>
          <w:noProof/>
        </w:rPr>
      </w:r>
      <w:r>
        <w:rPr>
          <w:noProof/>
        </w:rPr>
        <w:fldChar w:fldCharType="separate"/>
      </w:r>
      <w:r>
        <w:rPr>
          <w:noProof/>
        </w:rPr>
        <w:t>85</w:t>
      </w:r>
      <w:r>
        <w:rPr>
          <w:noProof/>
        </w:rPr>
        <w:fldChar w:fldCharType="end"/>
      </w:r>
    </w:p>
    <w:p w14:paraId="68061C33" w14:textId="2CFD2135" w:rsidR="00805BA2" w:rsidRDefault="00805BA2">
      <w:pPr>
        <w:pStyle w:val="TOC1"/>
        <w:rPr>
          <w:rFonts w:asciiTheme="minorHAnsi" w:eastAsiaTheme="minorEastAsia" w:hAnsiTheme="minorHAnsi" w:cstheme="minorBidi"/>
          <w:caps w:val="0"/>
          <w:noProof/>
          <w:sz w:val="22"/>
          <w:szCs w:val="22"/>
          <w:lang w:eastAsia="es-ES"/>
        </w:rPr>
      </w:pPr>
      <w:r>
        <w:rPr>
          <w:noProof/>
        </w:rPr>
        <w:t>PARTE C</w:t>
      </w:r>
      <w:r>
        <w:rPr>
          <w:noProof/>
        </w:rPr>
        <w:tab/>
      </w:r>
      <w:r>
        <w:rPr>
          <w:noProof/>
        </w:rPr>
        <w:fldChar w:fldCharType="begin"/>
      </w:r>
      <w:r>
        <w:rPr>
          <w:noProof/>
        </w:rPr>
        <w:instrText xml:space="preserve"> PAGEREF _Toc16667657 \h </w:instrText>
      </w:r>
      <w:r>
        <w:rPr>
          <w:noProof/>
        </w:rPr>
      </w:r>
      <w:r>
        <w:rPr>
          <w:noProof/>
        </w:rPr>
        <w:fldChar w:fldCharType="separate"/>
      </w:r>
      <w:r>
        <w:rPr>
          <w:noProof/>
        </w:rPr>
        <w:t>87</w:t>
      </w:r>
      <w:r>
        <w:rPr>
          <w:noProof/>
        </w:rPr>
        <w:fldChar w:fldCharType="end"/>
      </w:r>
    </w:p>
    <w:p w14:paraId="4D74AC77" w14:textId="2A593703" w:rsidR="00805BA2" w:rsidRDefault="00805BA2">
      <w:pPr>
        <w:pStyle w:val="TOC1"/>
        <w:rPr>
          <w:rFonts w:asciiTheme="minorHAnsi" w:eastAsiaTheme="minorEastAsia" w:hAnsiTheme="minorHAnsi" w:cstheme="minorBidi"/>
          <w:caps w:val="0"/>
          <w:noProof/>
          <w:sz w:val="22"/>
          <w:szCs w:val="22"/>
          <w:lang w:eastAsia="es-ES"/>
        </w:rPr>
      </w:pPr>
      <w:r>
        <w:rPr>
          <w:noProof/>
        </w:rPr>
        <w:t>18</w:t>
      </w:r>
      <w:r>
        <w:rPr>
          <w:rFonts w:asciiTheme="minorHAnsi" w:eastAsiaTheme="minorEastAsia" w:hAnsiTheme="minorHAnsi" w:cstheme="minorBidi"/>
          <w:caps w:val="0"/>
          <w:noProof/>
          <w:sz w:val="22"/>
          <w:szCs w:val="22"/>
          <w:lang w:eastAsia="es-ES"/>
        </w:rPr>
        <w:tab/>
      </w:r>
      <w:r>
        <w:rPr>
          <w:noProof/>
        </w:rPr>
        <w:t>Elaboración de las conclusiones incluidas en la opinión de auditoría</w:t>
      </w:r>
      <w:r>
        <w:rPr>
          <w:noProof/>
        </w:rPr>
        <w:tab/>
      </w:r>
      <w:r>
        <w:rPr>
          <w:noProof/>
        </w:rPr>
        <w:fldChar w:fldCharType="begin"/>
      </w:r>
      <w:r>
        <w:rPr>
          <w:noProof/>
        </w:rPr>
        <w:instrText xml:space="preserve"> PAGEREF _Toc16667658 \h </w:instrText>
      </w:r>
      <w:r>
        <w:rPr>
          <w:noProof/>
        </w:rPr>
      </w:r>
      <w:r>
        <w:rPr>
          <w:noProof/>
        </w:rPr>
        <w:fldChar w:fldCharType="separate"/>
      </w:r>
      <w:r>
        <w:rPr>
          <w:noProof/>
        </w:rPr>
        <w:t>88</w:t>
      </w:r>
      <w:r>
        <w:rPr>
          <w:noProof/>
        </w:rPr>
        <w:fldChar w:fldCharType="end"/>
      </w:r>
    </w:p>
    <w:p w14:paraId="10092634" w14:textId="09119793" w:rsidR="00805BA2" w:rsidRDefault="00805BA2">
      <w:pPr>
        <w:pStyle w:val="TOC1"/>
        <w:rPr>
          <w:rFonts w:asciiTheme="minorHAnsi" w:eastAsiaTheme="minorEastAsia" w:hAnsiTheme="minorHAnsi" w:cstheme="minorBidi"/>
          <w:caps w:val="0"/>
          <w:noProof/>
          <w:sz w:val="22"/>
          <w:szCs w:val="22"/>
          <w:lang w:eastAsia="es-ES"/>
        </w:rPr>
      </w:pPr>
      <w:r>
        <w:rPr>
          <w:noProof/>
        </w:rPr>
        <w:t>19</w:t>
      </w:r>
      <w:r>
        <w:rPr>
          <w:rFonts w:asciiTheme="minorHAnsi" w:eastAsiaTheme="minorEastAsia" w:hAnsiTheme="minorHAnsi" w:cstheme="minorBidi"/>
          <w:caps w:val="0"/>
          <w:noProof/>
          <w:sz w:val="22"/>
          <w:szCs w:val="22"/>
          <w:lang w:eastAsia="es-ES"/>
        </w:rPr>
        <w:tab/>
      </w:r>
      <w:r>
        <w:rPr>
          <w:noProof/>
        </w:rPr>
        <w:t>Utilización e interpretación de las conclusiones de auditoría en lo que atañe al objetivo de auditoría n.º 1</w:t>
      </w:r>
      <w:r>
        <w:rPr>
          <w:noProof/>
        </w:rPr>
        <w:tab/>
      </w:r>
      <w:r>
        <w:rPr>
          <w:noProof/>
        </w:rPr>
        <w:fldChar w:fldCharType="begin"/>
      </w:r>
      <w:r>
        <w:rPr>
          <w:noProof/>
        </w:rPr>
        <w:instrText xml:space="preserve"> PAGEREF _Toc16667659 \h </w:instrText>
      </w:r>
      <w:r>
        <w:rPr>
          <w:noProof/>
        </w:rPr>
      </w:r>
      <w:r>
        <w:rPr>
          <w:noProof/>
        </w:rPr>
        <w:fldChar w:fldCharType="separate"/>
      </w:r>
      <w:r>
        <w:rPr>
          <w:noProof/>
        </w:rPr>
        <w:t>89</w:t>
      </w:r>
      <w:r>
        <w:rPr>
          <w:noProof/>
        </w:rPr>
        <w:fldChar w:fldCharType="end"/>
      </w:r>
    </w:p>
    <w:p w14:paraId="4A0B4B9E" w14:textId="4AAC4CD7" w:rsidR="00805BA2" w:rsidRDefault="00805BA2">
      <w:pPr>
        <w:pStyle w:val="TOC1"/>
        <w:rPr>
          <w:rFonts w:asciiTheme="minorHAnsi" w:eastAsiaTheme="minorEastAsia" w:hAnsiTheme="minorHAnsi" w:cstheme="minorBidi"/>
          <w:caps w:val="0"/>
          <w:noProof/>
          <w:sz w:val="22"/>
          <w:szCs w:val="22"/>
          <w:lang w:eastAsia="es-ES"/>
        </w:rPr>
      </w:pPr>
      <w:r>
        <w:rPr>
          <w:noProof/>
        </w:rPr>
        <w:t>20</w:t>
      </w:r>
      <w:r>
        <w:rPr>
          <w:rFonts w:asciiTheme="minorHAnsi" w:eastAsiaTheme="minorEastAsia" w:hAnsiTheme="minorHAnsi" w:cstheme="minorBidi"/>
          <w:caps w:val="0"/>
          <w:noProof/>
          <w:sz w:val="22"/>
          <w:szCs w:val="22"/>
          <w:lang w:eastAsia="es-ES"/>
        </w:rPr>
        <w:tab/>
      </w:r>
      <w:r>
        <w:rPr>
          <w:noProof/>
        </w:rPr>
        <w:t>Utilización e interpretación de las conclusiones de auditoría en lo que atañe al objetivo de auditoría n.º 2</w:t>
      </w:r>
      <w:r>
        <w:rPr>
          <w:noProof/>
        </w:rPr>
        <w:tab/>
      </w:r>
      <w:r>
        <w:rPr>
          <w:noProof/>
        </w:rPr>
        <w:fldChar w:fldCharType="begin"/>
      </w:r>
      <w:r>
        <w:rPr>
          <w:noProof/>
        </w:rPr>
        <w:instrText xml:space="preserve"> PAGEREF _Toc16667660 \h </w:instrText>
      </w:r>
      <w:r>
        <w:rPr>
          <w:noProof/>
        </w:rPr>
      </w:r>
      <w:r>
        <w:rPr>
          <w:noProof/>
        </w:rPr>
        <w:fldChar w:fldCharType="separate"/>
      </w:r>
      <w:r>
        <w:rPr>
          <w:noProof/>
        </w:rPr>
        <w:t>89</w:t>
      </w:r>
      <w:r>
        <w:rPr>
          <w:noProof/>
        </w:rPr>
        <w:fldChar w:fldCharType="end"/>
      </w:r>
    </w:p>
    <w:p w14:paraId="366681C8" w14:textId="66142883" w:rsidR="00C4384E" w:rsidRPr="00805BA2" w:rsidRDefault="00366BB1">
      <w:pPr>
        <w:rPr>
          <w:b/>
          <w:u w:val="single"/>
        </w:rPr>
      </w:pPr>
      <w:r>
        <w:rPr>
          <w:b/>
          <w:u w:val="single"/>
        </w:rPr>
        <w:fldChar w:fldCharType="end"/>
      </w:r>
    </w:p>
    <w:p w14:paraId="158DA216" w14:textId="77777777" w:rsidR="00C4384E" w:rsidRPr="00805BA2" w:rsidRDefault="00C4384E">
      <w:pPr>
        <w:spacing w:before="120" w:after="120"/>
        <w:rPr>
          <w:b/>
          <w:u w:val="single"/>
        </w:rPr>
      </w:pPr>
    </w:p>
    <w:p w14:paraId="758FE3F4" w14:textId="77777777" w:rsidR="00C4384E" w:rsidRPr="00805BA2" w:rsidRDefault="00C4384E">
      <w:pPr>
        <w:spacing w:before="120" w:after="120"/>
        <w:rPr>
          <w:b/>
          <w:u w:val="single"/>
        </w:rPr>
      </w:pPr>
    </w:p>
    <w:p w14:paraId="2C291029" w14:textId="77777777" w:rsidR="00C4384E" w:rsidRPr="00805BA2" w:rsidRDefault="00F77056">
      <w:pPr>
        <w:spacing w:after="0"/>
        <w:jc w:val="left"/>
        <w:rPr>
          <w:b/>
          <w:u w:val="single"/>
        </w:rPr>
      </w:pPr>
      <w:r w:rsidRPr="00805BA2">
        <w:br w:type="page"/>
      </w:r>
    </w:p>
    <w:p w14:paraId="3E5DCCF0" w14:textId="77777777" w:rsidR="00C4384E" w:rsidRPr="00805BA2" w:rsidRDefault="00C4384E">
      <w:pPr>
        <w:spacing w:before="120" w:after="120"/>
        <w:rPr>
          <w:b/>
          <w:u w:val="single"/>
        </w:rPr>
      </w:pPr>
    </w:p>
    <w:p w14:paraId="2F8BD713" w14:textId="77777777" w:rsidR="00C4384E" w:rsidRPr="00805BA2" w:rsidRDefault="00C4384E">
      <w:pPr>
        <w:spacing w:before="120" w:after="120"/>
        <w:rPr>
          <w:b/>
          <w:u w:val="single"/>
        </w:rPr>
      </w:pPr>
    </w:p>
    <w:p w14:paraId="22C6BD1C" w14:textId="77777777" w:rsidR="00C4384E" w:rsidRPr="00805BA2" w:rsidRDefault="00C4384E">
      <w:pPr>
        <w:spacing w:before="120" w:after="120"/>
        <w:rPr>
          <w:b/>
          <w:u w:val="single"/>
        </w:rPr>
      </w:pPr>
    </w:p>
    <w:p w14:paraId="3D51A068" w14:textId="77777777" w:rsidR="00C4384E" w:rsidRDefault="0043253C">
      <w:pPr>
        <w:spacing w:before="120" w:after="120"/>
      </w:pPr>
      <w:r>
        <w:rPr>
          <w:b/>
          <w:u w:val="single"/>
        </w:rPr>
        <w:t>Lista de anexos</w:t>
      </w:r>
    </w:p>
    <w:p w14:paraId="7F838953" w14:textId="77777777" w:rsidR="00C4384E" w:rsidRDefault="00114348">
      <w:pPr>
        <w:spacing w:before="120" w:after="120"/>
        <w:ind w:left="1440" w:hanging="1440"/>
        <w:rPr>
          <w:b/>
        </w:rPr>
      </w:pPr>
      <w:r>
        <w:rPr>
          <w:b/>
        </w:rPr>
        <w:t>Anexo 1:</w:t>
      </w:r>
      <w:r>
        <w:rPr>
          <w:b/>
        </w:rPr>
        <w:tab/>
        <w:t>Diagrama de flujo: planificación de los procedimientos de auditoría para los objetivos de auditoría n.º 1 y n.º 2</w:t>
      </w:r>
    </w:p>
    <w:p w14:paraId="7438234B" w14:textId="77777777" w:rsidR="00C4384E" w:rsidRDefault="00114348">
      <w:pPr>
        <w:spacing w:before="120" w:after="120"/>
        <w:ind w:left="1440" w:hanging="1440"/>
        <w:rPr>
          <w:b/>
        </w:rPr>
      </w:pPr>
      <w:r>
        <w:rPr>
          <w:b/>
        </w:rPr>
        <w:t xml:space="preserve">Anexo 2: </w:t>
      </w:r>
      <w:r>
        <w:rPr>
          <w:b/>
        </w:rPr>
        <w:tab/>
        <w:t>Pruebas sustantivas – métodos de muestreo</w:t>
      </w:r>
    </w:p>
    <w:p w14:paraId="28AEF50D" w14:textId="77777777" w:rsidR="00C4384E" w:rsidRDefault="00114348">
      <w:pPr>
        <w:spacing w:before="120" w:after="120"/>
        <w:ind w:left="1440" w:hanging="1440"/>
        <w:rPr>
          <w:b/>
        </w:rPr>
      </w:pPr>
      <w:r>
        <w:rPr>
          <w:b/>
        </w:rPr>
        <w:t>Anexo 3:</w:t>
      </w:r>
      <w:r>
        <w:rPr>
          <w:b/>
        </w:rPr>
        <w:tab/>
        <w:t>Principales criterios de admisibilidad por población</w:t>
      </w:r>
    </w:p>
    <w:p w14:paraId="5AFBB07D" w14:textId="77777777" w:rsidR="00C4384E" w:rsidRDefault="00BF7782">
      <w:pPr>
        <w:spacing w:before="120" w:after="120"/>
        <w:ind w:left="1440" w:hanging="1440"/>
        <w:rPr>
          <w:b/>
        </w:rPr>
      </w:pPr>
      <w:r>
        <w:rPr>
          <w:b/>
        </w:rPr>
        <w:t>Anexo 4:</w:t>
      </w:r>
      <w:r>
        <w:rPr>
          <w:b/>
        </w:rPr>
        <w:tab/>
        <w:t>Matriz de autorización</w:t>
      </w:r>
    </w:p>
    <w:p w14:paraId="04AE912B" w14:textId="77777777" w:rsidR="00C4384E" w:rsidRDefault="009A5D67">
      <w:pPr>
        <w:spacing w:before="120" w:after="120"/>
        <w:ind w:left="1440" w:hanging="1440"/>
        <w:rPr>
          <w:b/>
        </w:rPr>
      </w:pPr>
      <w:r>
        <w:rPr>
          <w:b/>
        </w:rPr>
        <w:t>Anexo 5:</w:t>
      </w:r>
      <w:r>
        <w:rPr>
          <w:b/>
        </w:rPr>
        <w:tab/>
        <w:t>Evaluación de errores</w:t>
      </w:r>
    </w:p>
    <w:p w14:paraId="3803C55C" w14:textId="77777777" w:rsidR="00C4384E" w:rsidRDefault="00BF7782">
      <w:pPr>
        <w:spacing w:before="120" w:after="120"/>
        <w:ind w:left="1440" w:hanging="1440"/>
        <w:rPr>
          <w:b/>
        </w:rPr>
      </w:pPr>
      <w:r>
        <w:rPr>
          <w:b/>
        </w:rPr>
        <w:t>Anexo 6:</w:t>
      </w:r>
      <w:r>
        <w:rPr>
          <w:b/>
        </w:rPr>
        <w:tab/>
        <w:t>Liquidación de cuentas – utilización de los resultados del organismo de certificación</w:t>
      </w:r>
    </w:p>
    <w:p w14:paraId="03B730BE" w14:textId="77777777" w:rsidR="00C4384E" w:rsidRDefault="00BF7782">
      <w:pPr>
        <w:spacing w:before="120" w:after="120"/>
        <w:ind w:left="1440" w:hanging="1440"/>
        <w:rPr>
          <w:b/>
        </w:rPr>
      </w:pPr>
      <w:r>
        <w:rPr>
          <w:b/>
        </w:rPr>
        <w:t>Anexo 7:</w:t>
      </w:r>
      <w:r>
        <w:rPr>
          <w:b/>
        </w:rPr>
        <w:tab/>
        <w:t>Utilización de los resultados del organismo de certificación en el objetivo n.º 2</w:t>
      </w:r>
    </w:p>
    <w:p w14:paraId="25D5A618" w14:textId="6902ED5A" w:rsidR="00C4384E" w:rsidRDefault="001D2194">
      <w:pPr>
        <w:rPr>
          <w:b/>
        </w:rPr>
      </w:pPr>
      <w:r>
        <w:br w:type="page"/>
      </w:r>
      <w:r>
        <w:rPr>
          <w:b/>
        </w:rPr>
        <w:lastRenderedPageBreak/>
        <w:t>Abreviaturas utilizadas:</w:t>
      </w:r>
    </w:p>
    <w:p w14:paraId="10519B9F" w14:textId="77777777" w:rsidR="00C4384E" w:rsidRDefault="0043253C" w:rsidP="004C779D">
      <w:pPr>
        <w:tabs>
          <w:tab w:val="left" w:pos="1134"/>
        </w:tabs>
      </w:pPr>
      <w:r>
        <w:t>OC:</w:t>
      </w:r>
      <w:r>
        <w:tab/>
        <w:t>Organismo de certificación</w:t>
      </w:r>
    </w:p>
    <w:p w14:paraId="25CBDF61" w14:textId="77777777" w:rsidR="00C4384E" w:rsidRDefault="0043253C" w:rsidP="004C779D">
      <w:pPr>
        <w:tabs>
          <w:tab w:val="left" w:pos="1134"/>
        </w:tabs>
      </w:pPr>
      <w:r>
        <w:t>RC:</w:t>
      </w:r>
      <w:r>
        <w:tab/>
        <w:t>Riesgo de control</w:t>
      </w:r>
    </w:p>
    <w:p w14:paraId="1945640F" w14:textId="77777777" w:rsidR="00C4384E" w:rsidRDefault="0043253C" w:rsidP="004C779D">
      <w:pPr>
        <w:tabs>
          <w:tab w:val="left" w:pos="1134"/>
        </w:tabs>
      </w:pPr>
      <w:r>
        <w:t>CST:</w:t>
      </w:r>
      <w:r>
        <w:tab/>
        <w:t>Estadísticas de control</w:t>
      </w:r>
    </w:p>
    <w:p w14:paraId="161C426F" w14:textId="77777777" w:rsidR="00C4384E" w:rsidRDefault="0087645A" w:rsidP="004C779D">
      <w:pPr>
        <w:tabs>
          <w:tab w:val="left" w:pos="1134"/>
        </w:tabs>
      </w:pPr>
      <w:r>
        <w:t>RD:</w:t>
      </w:r>
      <w:r>
        <w:tab/>
        <w:t>Riesgo de detección</w:t>
      </w:r>
    </w:p>
    <w:p w14:paraId="552D4B87" w14:textId="77777777" w:rsidR="00C4384E" w:rsidRDefault="0043253C" w:rsidP="004C779D">
      <w:pPr>
        <w:tabs>
          <w:tab w:val="left" w:pos="1134"/>
        </w:tabs>
      </w:pPr>
      <w:r>
        <w:t>CE:</w:t>
      </w:r>
      <w:r>
        <w:tab/>
        <w:t>Comisión Europea</w:t>
      </w:r>
    </w:p>
    <w:p w14:paraId="45B76484" w14:textId="77777777" w:rsidR="00C4384E" w:rsidRDefault="0043253C" w:rsidP="004C779D">
      <w:pPr>
        <w:tabs>
          <w:tab w:val="left" w:pos="1134"/>
        </w:tabs>
      </w:pPr>
      <w:r>
        <w:t>TCE:</w:t>
      </w:r>
      <w:r>
        <w:tab/>
        <w:t>Tribunal de Cuentas Europeo</w:t>
      </w:r>
    </w:p>
    <w:p w14:paraId="2797FA11" w14:textId="77777777" w:rsidR="00C4384E" w:rsidRDefault="0043253C" w:rsidP="004C779D">
      <w:pPr>
        <w:tabs>
          <w:tab w:val="left" w:pos="1134"/>
        </w:tabs>
      </w:pPr>
      <w:r>
        <w:t>UE:</w:t>
      </w:r>
      <w:r>
        <w:tab/>
        <w:t>Unión Europea</w:t>
      </w:r>
    </w:p>
    <w:p w14:paraId="0C61170D" w14:textId="77777777" w:rsidR="00C4384E" w:rsidRDefault="00DE7D46" w:rsidP="004C779D">
      <w:pPr>
        <w:tabs>
          <w:tab w:val="left" w:pos="1134"/>
        </w:tabs>
      </w:pPr>
      <w:r>
        <w:t>GSAA:</w:t>
      </w:r>
      <w:r>
        <w:tab/>
        <w:t>Solicitud de ayuda geoespacial</w:t>
      </w:r>
    </w:p>
    <w:p w14:paraId="03BDFC08" w14:textId="77777777" w:rsidR="00C4384E" w:rsidRDefault="009C07BB" w:rsidP="004C779D">
      <w:pPr>
        <w:tabs>
          <w:tab w:val="left" w:pos="1134"/>
        </w:tabs>
      </w:pPr>
      <w:r>
        <w:t>SIGC:</w:t>
      </w:r>
      <w:r>
        <w:tab/>
        <w:t>Sistema integrado de gestión y control</w:t>
      </w:r>
    </w:p>
    <w:p w14:paraId="2A7A7C20" w14:textId="77777777" w:rsidR="00C4384E" w:rsidRDefault="0043253C" w:rsidP="004C779D">
      <w:pPr>
        <w:tabs>
          <w:tab w:val="left" w:pos="1134"/>
        </w:tabs>
      </w:pPr>
      <w:r>
        <w:t>SCI:</w:t>
      </w:r>
      <w:r>
        <w:tab/>
        <w:t>Sistema de control interno</w:t>
      </w:r>
    </w:p>
    <w:p w14:paraId="37F89A76" w14:textId="77777777" w:rsidR="00C4384E" w:rsidRDefault="0043253C" w:rsidP="004C779D">
      <w:pPr>
        <w:tabs>
          <w:tab w:val="left" w:pos="1134"/>
        </w:tabs>
      </w:pPr>
      <w:r>
        <w:t>RI:</w:t>
      </w:r>
      <w:r>
        <w:tab/>
        <w:t>Riesgo inherente</w:t>
      </w:r>
    </w:p>
    <w:p w14:paraId="574A7B9B" w14:textId="77777777" w:rsidR="00C4384E" w:rsidRDefault="009C07BB" w:rsidP="004C779D">
      <w:pPr>
        <w:tabs>
          <w:tab w:val="left" w:pos="1134"/>
        </w:tabs>
        <w:ind w:left="1440" w:hanging="1440"/>
      </w:pPr>
      <w:r>
        <w:t xml:space="preserve">SIGPAC: </w:t>
      </w:r>
      <w:r>
        <w:tab/>
        <w:t>Sistema de identificación de parcelas agrícolas.</w:t>
      </w:r>
    </w:p>
    <w:p w14:paraId="5F74C1DF" w14:textId="77777777" w:rsidR="00C4384E" w:rsidRDefault="0043253C" w:rsidP="004C779D">
      <w:pPr>
        <w:tabs>
          <w:tab w:val="left" w:pos="1134"/>
        </w:tabs>
        <w:ind w:left="1134" w:hanging="1134"/>
      </w:pPr>
      <w:r>
        <w:t>SGC:</w:t>
      </w:r>
      <w:r>
        <w:tab/>
        <w:t>Sistema de gestión y control [en el sentido previsto en el artículo 1 del Reglamento (UE) n.º 1306/2013 y en el Reglamento de Ejecución (UE) n.º 908/2014 de la Comisión]</w:t>
      </w:r>
    </w:p>
    <w:p w14:paraId="1D3E7CAD" w14:textId="77777777" w:rsidR="00C4384E" w:rsidRDefault="0043253C" w:rsidP="004C779D">
      <w:pPr>
        <w:tabs>
          <w:tab w:val="left" w:pos="1134"/>
        </w:tabs>
      </w:pPr>
      <w:r>
        <w:t>DG:</w:t>
      </w:r>
      <w:r>
        <w:tab/>
        <w:t>Declaración sobre la gestión</w:t>
      </w:r>
    </w:p>
    <w:p w14:paraId="0141CB93" w14:textId="2B41FEF5" w:rsidR="00C4384E" w:rsidRDefault="0043253C" w:rsidP="004C779D">
      <w:pPr>
        <w:tabs>
          <w:tab w:val="left" w:pos="1134"/>
        </w:tabs>
      </w:pPr>
      <w:r>
        <w:t>EM:</w:t>
      </w:r>
      <w:r>
        <w:tab/>
        <w:t>Estado miembro</w:t>
      </w:r>
    </w:p>
    <w:p w14:paraId="542B67E5" w14:textId="77777777" w:rsidR="00C4384E" w:rsidRDefault="0043253C" w:rsidP="004C779D">
      <w:pPr>
        <w:tabs>
          <w:tab w:val="left" w:pos="1134"/>
        </w:tabs>
      </w:pPr>
      <w:r>
        <w:t>MUM:</w:t>
      </w:r>
      <w:r>
        <w:tab/>
        <w:t>Muestreo de la unidad monetaria</w:t>
      </w:r>
    </w:p>
    <w:p w14:paraId="203D9D74" w14:textId="77777777" w:rsidR="00C4384E" w:rsidRDefault="003C267E" w:rsidP="004C779D">
      <w:pPr>
        <w:tabs>
          <w:tab w:val="left" w:pos="1134"/>
        </w:tabs>
      </w:pPr>
      <w:r>
        <w:t>CST:</w:t>
      </w:r>
      <w:r>
        <w:tab/>
        <w:t>Control sobre el terreno</w:t>
      </w:r>
    </w:p>
    <w:p w14:paraId="76CE213C" w14:textId="77777777" w:rsidR="00C4384E" w:rsidRDefault="0043253C" w:rsidP="004C779D">
      <w:pPr>
        <w:tabs>
          <w:tab w:val="left" w:pos="1134"/>
        </w:tabs>
      </w:pPr>
      <w:r>
        <w:t>OP:</w:t>
      </w:r>
      <w:r>
        <w:tab/>
        <w:t>Organismo pagador</w:t>
      </w:r>
    </w:p>
    <w:p w14:paraId="5CDE008B" w14:textId="77777777" w:rsidR="00C4384E" w:rsidRDefault="0043253C" w:rsidP="004C779D">
      <w:pPr>
        <w:tabs>
          <w:tab w:val="left" w:pos="1134"/>
        </w:tabs>
      </w:pPr>
      <w:r>
        <w:t>DR:</w:t>
      </w:r>
      <w:r>
        <w:tab/>
        <w:t>Desarrollo rural</w:t>
      </w:r>
    </w:p>
    <w:p w14:paraId="4BC7B72D" w14:textId="77777777" w:rsidR="00C4384E" w:rsidRDefault="00F77056">
      <w:pPr>
        <w:spacing w:after="0"/>
        <w:jc w:val="left"/>
      </w:pPr>
      <w:r>
        <w:br w:type="page"/>
      </w:r>
    </w:p>
    <w:p w14:paraId="47CB1BA7" w14:textId="77777777" w:rsidR="00C4384E" w:rsidRDefault="00C4384E"/>
    <w:p w14:paraId="55F0BB7F" w14:textId="77777777" w:rsidR="00C4384E" w:rsidRDefault="0043253C">
      <w:pPr>
        <w:pStyle w:val="Heading1"/>
        <w:numPr>
          <w:ilvl w:val="0"/>
          <w:numId w:val="48"/>
        </w:numPr>
      </w:pPr>
      <w:bookmarkStart w:id="1" w:name="_Toc16667583"/>
      <w:r>
        <w:t>Finalidad</w:t>
      </w:r>
      <w:bookmarkEnd w:id="1"/>
      <w:r>
        <w:t xml:space="preserve"> </w:t>
      </w:r>
    </w:p>
    <w:p w14:paraId="0F55CB36" w14:textId="505BF729" w:rsidR="00C4384E" w:rsidRDefault="0028797B">
      <w:pPr>
        <w:spacing w:after="120"/>
      </w:pPr>
      <w:r>
        <w:t>El objetivo del presente documento es facilitar orientaciones a los organismos de certificación (OC) a la hora de elaborar su estrategia de auditoría en sus tareas de recabar evidencias de auditoría suficientes y apropiadas para emitir una opinión de auditoría. Según el artículo 9 del Reglamento (UE) n.º 1306/2013, la opinión de auditoría debe elaborarse de conformidad con las normas de auditoría internacionalmente aceptadas y abordar:</w:t>
      </w:r>
    </w:p>
    <w:p w14:paraId="69618273" w14:textId="7F5BCC5D" w:rsidR="00C4384E" w:rsidRDefault="00B778B9">
      <w:pPr>
        <w:pStyle w:val="ListParagraph"/>
        <w:numPr>
          <w:ilvl w:val="0"/>
          <w:numId w:val="129"/>
        </w:numPr>
        <w:spacing w:after="120"/>
      </w:pPr>
      <w:r>
        <w:t xml:space="preserve">la integralidad, exactitud y veracidad de las cuentas anuales del organismo pagador autorizado; </w:t>
      </w:r>
    </w:p>
    <w:p w14:paraId="5CD65995" w14:textId="77777777" w:rsidR="00C4384E" w:rsidRDefault="00B778B9">
      <w:pPr>
        <w:pStyle w:val="ListParagraph"/>
        <w:numPr>
          <w:ilvl w:val="0"/>
          <w:numId w:val="129"/>
        </w:numPr>
        <w:spacing w:after="120"/>
      </w:pPr>
      <w:r>
        <w:t xml:space="preserve">el correcto funcionamiento de su sistema de control interno y </w:t>
      </w:r>
    </w:p>
    <w:p w14:paraId="263780DF" w14:textId="77777777" w:rsidR="00C4384E" w:rsidRDefault="00B778B9">
      <w:pPr>
        <w:pStyle w:val="ListParagraph"/>
        <w:numPr>
          <w:ilvl w:val="0"/>
          <w:numId w:val="129"/>
        </w:numPr>
        <w:spacing w:after="120"/>
      </w:pPr>
      <w:r>
        <w:t xml:space="preserve">la legalidad y corrección del gasto para el que se solicita el reembolso a la Comisión. </w:t>
      </w:r>
    </w:p>
    <w:p w14:paraId="3A57B963" w14:textId="72ED40B6" w:rsidR="00C4384E" w:rsidRDefault="00B778B9">
      <w:pPr>
        <w:spacing w:after="120"/>
      </w:pPr>
      <w:r>
        <w:t>La opinión del organismo de certificación indicará asimismo si el examen arroja alguna duda sobre las afirmaciones realizadas en la declaración sobre la gestión.</w:t>
      </w:r>
    </w:p>
    <w:p w14:paraId="526FE4A7" w14:textId="3BE95D46" w:rsidR="00C4384E" w:rsidRDefault="00B778B9">
      <w:pPr>
        <w:pStyle w:val="Normal6"/>
        <w:jc w:val="both"/>
      </w:pPr>
      <w:r>
        <w:t>La opinión anterior acompañará al conjunto de documentos que la persona responsable del OP debe presentar a la Comisión hasta el 15 de febrero del año siguiente al ejercicio de que se trate. Dichos documentos incluyen:</w:t>
      </w:r>
    </w:p>
    <w:p w14:paraId="29A3C4C5" w14:textId="465D297C" w:rsidR="00C4384E" w:rsidRDefault="00B778B9">
      <w:pPr>
        <w:pStyle w:val="Normal6"/>
        <w:numPr>
          <w:ilvl w:val="0"/>
          <w:numId w:val="130"/>
        </w:numPr>
        <w:jc w:val="both"/>
      </w:pPr>
      <w:r>
        <w:t xml:space="preserve">las cuentas anuales, </w:t>
      </w:r>
    </w:p>
    <w:p w14:paraId="0AC074D7" w14:textId="77777777" w:rsidR="00C4384E" w:rsidRDefault="00B778B9">
      <w:pPr>
        <w:pStyle w:val="Normal6"/>
        <w:numPr>
          <w:ilvl w:val="0"/>
          <w:numId w:val="130"/>
        </w:numPr>
        <w:jc w:val="both"/>
      </w:pPr>
      <w:r>
        <w:t>la declaración sobre la gestión y</w:t>
      </w:r>
    </w:p>
    <w:p w14:paraId="144F0339" w14:textId="1858276E" w:rsidR="00C4384E" w:rsidRDefault="00B778B9">
      <w:pPr>
        <w:pStyle w:val="Normal6"/>
        <w:numPr>
          <w:ilvl w:val="0"/>
          <w:numId w:val="130"/>
        </w:numPr>
        <w:jc w:val="both"/>
      </w:pPr>
      <w:r>
        <w:t>un resumen anual de los informes definitivos de auditoría y de los controles realizados, incluido un análisis de la naturaleza y extensión de los errores y las deficiencias detectados en los sistemas, así como de la acción correctiva que deba emprenderse o planificarse [artículo 7, apartado 3, letras a) a c), del Reglamento (UE) n.º 1306/2013].</w:t>
      </w:r>
    </w:p>
    <w:p w14:paraId="363B4E24" w14:textId="0DF9202A" w:rsidR="00C4384E" w:rsidRDefault="00B778B9">
      <w:pPr>
        <w:spacing w:after="120"/>
      </w:pPr>
      <w:r>
        <w:t>La presente directriz describe la metodología de auditoría propuesta para ayudar al OC a emitir su opinión, tal como se ha expuesto anteriormente. La metodología propuesta define los dos objetivos de auditoría y expone un enfoque de auditoría que deberá seguirse para cada Fondo:</w:t>
      </w:r>
    </w:p>
    <w:p w14:paraId="1C3189E8" w14:textId="09BC2BAD" w:rsidR="00C4384E" w:rsidRDefault="00B550D1">
      <w:pPr>
        <w:numPr>
          <w:ilvl w:val="0"/>
          <w:numId w:val="25"/>
        </w:numPr>
        <w:spacing w:after="120"/>
      </w:pPr>
      <w:r>
        <w:t>o</w:t>
      </w:r>
      <w:r w:rsidR="0028797B">
        <w:t>bjetivo de auditoría n.º 1: Auditoría de las cuentas anuales;</w:t>
      </w:r>
    </w:p>
    <w:p w14:paraId="3384400E" w14:textId="02CF18FE" w:rsidR="00C4384E" w:rsidRDefault="00B550D1">
      <w:pPr>
        <w:numPr>
          <w:ilvl w:val="0"/>
          <w:numId w:val="25"/>
        </w:numPr>
        <w:spacing w:after="120"/>
      </w:pPr>
      <w:r>
        <w:t>o</w:t>
      </w:r>
      <w:r w:rsidR="0028797B">
        <w:t>bjetivo de auditoría n.º 2: Auditoría sobre la legalidad y regularidad del gasto.</w:t>
      </w:r>
    </w:p>
    <w:p w14:paraId="609E831F" w14:textId="1ACF68C8" w:rsidR="00B550D1" w:rsidRDefault="00B778B9" w:rsidP="00B550D1">
      <w:pPr>
        <w:spacing w:after="120"/>
        <w:ind w:left="414"/>
      </w:pPr>
      <w:r>
        <w:t>La directriz también explica cómo deben interpretarse los resultados y los casos en los que, en función de los resultados de la auditoría, pueda ser necesario llevar a cabo tareas adicionales, con el fin de que el OC llegue a una conclusión sobre los riesgos financieros y residuales con respecto al Fondo o nivel pertinente en lo que respecta</w:t>
      </w:r>
      <w:r w:rsidR="00B550D1">
        <w:t>:</w:t>
      </w:r>
    </w:p>
    <w:p w14:paraId="7C5BAE61" w14:textId="21D93E5C" w:rsidR="00C4384E" w:rsidRDefault="00B550D1" w:rsidP="00B550D1">
      <w:pPr>
        <w:pStyle w:val="ListParagraph"/>
        <w:numPr>
          <w:ilvl w:val="0"/>
          <w:numId w:val="137"/>
        </w:numPr>
        <w:spacing w:after="120"/>
      </w:pPr>
      <w:r>
        <w:t>a</w:t>
      </w:r>
      <w:r w:rsidR="00B778B9">
        <w:t xml:space="preserve">l sistema de control interno, </w:t>
      </w:r>
    </w:p>
    <w:p w14:paraId="643DC462" w14:textId="77777777" w:rsidR="00C4384E" w:rsidRDefault="00B778B9" w:rsidP="00B550D1">
      <w:pPr>
        <w:pStyle w:val="ListParagraph"/>
        <w:numPr>
          <w:ilvl w:val="0"/>
          <w:numId w:val="137"/>
        </w:numPr>
        <w:spacing w:after="120"/>
      </w:pPr>
      <w:r>
        <w:t xml:space="preserve">la legalidad y regularidad de las transacciones, </w:t>
      </w:r>
    </w:p>
    <w:p w14:paraId="30A3DB43" w14:textId="77777777" w:rsidR="00C4384E" w:rsidRDefault="00B778B9" w:rsidP="00B550D1">
      <w:pPr>
        <w:pStyle w:val="ListParagraph"/>
        <w:numPr>
          <w:ilvl w:val="0"/>
          <w:numId w:val="137"/>
        </w:numPr>
        <w:spacing w:after="120"/>
      </w:pPr>
      <w:r>
        <w:t xml:space="preserve">las cuentas anuales y </w:t>
      </w:r>
    </w:p>
    <w:p w14:paraId="191F7641" w14:textId="77777777" w:rsidR="00C4384E" w:rsidRDefault="00B778B9" w:rsidP="00B550D1">
      <w:pPr>
        <w:pStyle w:val="ListParagraph"/>
        <w:numPr>
          <w:ilvl w:val="0"/>
          <w:numId w:val="137"/>
        </w:numPr>
        <w:spacing w:after="120"/>
      </w:pPr>
      <w:r>
        <w:t xml:space="preserve">las declaraciones sobre la gestión conexas del OP en el ejercicio financiero de que se trate. </w:t>
      </w:r>
    </w:p>
    <w:p w14:paraId="67085814" w14:textId="0CAD5D8F" w:rsidR="00C4384E" w:rsidRDefault="00AA55B7">
      <w:pPr>
        <w:spacing w:after="120"/>
      </w:pPr>
      <w:r>
        <w:t xml:space="preserve">La </w:t>
      </w:r>
      <w:r>
        <w:rPr>
          <w:b/>
          <w:bCs/>
        </w:rPr>
        <w:t>PARTE A</w:t>
      </w:r>
      <w:r>
        <w:t xml:space="preserve"> ofrece orientaciones acerca de la auditoría de las cuentas anuales.</w:t>
      </w:r>
    </w:p>
    <w:p w14:paraId="4627E782" w14:textId="71EAE52D" w:rsidR="00C4384E" w:rsidRDefault="00AA55B7">
      <w:pPr>
        <w:spacing w:after="120"/>
      </w:pPr>
      <w:r>
        <w:lastRenderedPageBreak/>
        <w:t xml:space="preserve">La </w:t>
      </w:r>
      <w:r>
        <w:rPr>
          <w:b/>
          <w:bCs/>
        </w:rPr>
        <w:t>PARTE B</w:t>
      </w:r>
      <w:r>
        <w:t xml:space="preserve"> explica el trabajo que debe hacerse respecto a la auditoría de la legalidad y regularidad del gasto cuyo reembolso ha sido solicitado a la Comisión.</w:t>
      </w:r>
    </w:p>
    <w:p w14:paraId="03E943D1" w14:textId="77777777" w:rsidR="00C4384E" w:rsidRDefault="00F047E1">
      <w:pPr>
        <w:spacing w:after="120"/>
      </w:pPr>
      <w:r>
        <w:t>Las PARTES A y B cubren, respectivamente, la revisión y la valoración del sistema de control interno.</w:t>
      </w:r>
    </w:p>
    <w:p w14:paraId="26DB5762" w14:textId="65E21892" w:rsidR="00C4384E" w:rsidRDefault="001D2194">
      <w:pPr>
        <w:spacing w:after="120"/>
        <w:rPr>
          <w:rFonts w:eastAsia="Calibri"/>
        </w:rPr>
      </w:pPr>
      <w:r>
        <w:t xml:space="preserve">La </w:t>
      </w:r>
      <w:r>
        <w:rPr>
          <w:b/>
          <w:bCs/>
        </w:rPr>
        <w:t>PARTE C</w:t>
      </w:r>
      <w:r>
        <w:t xml:space="preserve"> define el método para agregar los resultados de auditoría a la opinión de auditoría y también explica cómo interpretar y utilizar los resultados de la auditoría.</w:t>
      </w:r>
    </w:p>
    <w:p w14:paraId="47B415C1" w14:textId="77777777" w:rsidR="00C4384E" w:rsidRDefault="00B778B9">
      <w:pPr>
        <w:spacing w:after="120"/>
      </w:pPr>
      <w:r>
        <w:t xml:space="preserve">La presente directriz será objeto de revisiones y actualizaciones periódicas teniendo en cuenta la experiencia adquirida. </w:t>
      </w:r>
    </w:p>
    <w:p w14:paraId="62B36E12" w14:textId="77777777" w:rsidR="00C4384E" w:rsidRDefault="000949A9">
      <w:pPr>
        <w:jc w:val="left"/>
      </w:pPr>
      <w:r>
        <w:br w:type="page"/>
      </w:r>
    </w:p>
    <w:p w14:paraId="18928407" w14:textId="77777777" w:rsidR="00C4384E" w:rsidRDefault="00F047E1">
      <w:pPr>
        <w:pStyle w:val="Heading1"/>
        <w:numPr>
          <w:ilvl w:val="0"/>
          <w:numId w:val="48"/>
        </w:numPr>
      </w:pPr>
      <w:bookmarkStart w:id="2" w:name="_Toc16667584"/>
      <w:r>
        <w:lastRenderedPageBreak/>
        <w:t>Modelo de garantía y marco jurídico</w:t>
      </w:r>
      <w:bookmarkEnd w:id="2"/>
    </w:p>
    <w:p w14:paraId="47DFD211" w14:textId="77777777" w:rsidR="00C4384E" w:rsidRDefault="00895724">
      <w:pPr>
        <w:pStyle w:val="Heading2"/>
      </w:pPr>
      <w:bookmarkStart w:id="3" w:name="_Toc16667585"/>
      <w:r>
        <w:t>2.1 Modelo de garantía</w:t>
      </w:r>
      <w:bookmarkEnd w:id="3"/>
    </w:p>
    <w:p w14:paraId="708AA1A0" w14:textId="30266622" w:rsidR="00C4384E" w:rsidRDefault="00C267BD">
      <w:pPr>
        <w:spacing w:beforeLines="1" w:before="2" w:afterLines="1" w:after="2"/>
      </w:pPr>
      <w:r>
        <w:t xml:space="preserve">La garantía es un examen objetivo de evidencia con el fin de proporcionar una valoración de la eficacia de la gestión de riesgos, el control y los procesos de gobernanza. El 99 % del gasto de la PAC se efectúa en el marco de una estructura de gestión compartida con los Estados miembros. </w:t>
      </w:r>
      <w:r>
        <w:rPr>
          <w:u w:val="single"/>
        </w:rPr>
        <w:t>La garantía de la DG AGRI</w:t>
      </w:r>
      <w:r>
        <w:t>, que se plasma en una declaración de garantía en el informe anual de actividad (IAA), se articula en torno a los siguientes pilares respecto del gasto efectuado en el marco de la gestión compartida:</w:t>
      </w:r>
    </w:p>
    <w:p w14:paraId="116773F5" w14:textId="77777777" w:rsidR="00C4384E" w:rsidRDefault="00C4384E">
      <w:pPr>
        <w:spacing w:beforeLines="1" w:before="2" w:afterLines="1" w:after="2"/>
      </w:pPr>
    </w:p>
    <w:p w14:paraId="48D84928" w14:textId="77777777" w:rsidR="00C4384E" w:rsidRDefault="00C4384E">
      <w:pPr>
        <w:spacing w:beforeLines="1" w:before="2" w:afterLines="1" w:after="2"/>
        <w:rPr>
          <w:szCs w:val="20"/>
        </w:rPr>
      </w:pPr>
    </w:p>
    <w:p w14:paraId="2C7B647D" w14:textId="77777777" w:rsidR="00C4384E" w:rsidRDefault="007E2B42">
      <w:pPr>
        <w:spacing w:beforeLines="1" w:before="2" w:afterLines="1" w:after="2"/>
        <w:rPr>
          <w:szCs w:val="20"/>
        </w:rPr>
      </w:pPr>
      <w:r>
        <w:rPr>
          <w:noProof/>
          <w:lang w:val="en-US"/>
        </w:rPr>
        <w:drawing>
          <wp:inline distT="0" distB="0" distL="0" distR="0" wp14:anchorId="5D9B747D" wp14:editId="2FD0C70A">
            <wp:extent cx="5474970" cy="368236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4970" cy="3682365"/>
                    </a:xfrm>
                    <a:prstGeom prst="rect">
                      <a:avLst/>
                    </a:prstGeom>
                    <a:noFill/>
                  </pic:spPr>
                </pic:pic>
              </a:graphicData>
            </a:graphic>
          </wp:inline>
        </w:drawing>
      </w:r>
    </w:p>
    <w:p w14:paraId="14CAEAE7" w14:textId="77777777" w:rsidR="00C4384E" w:rsidRDefault="00C4384E">
      <w:pPr>
        <w:spacing w:beforeLines="1" w:before="2" w:afterLines="1" w:after="2"/>
        <w:rPr>
          <w:szCs w:val="20"/>
        </w:rPr>
      </w:pPr>
    </w:p>
    <w:p w14:paraId="47A24B14" w14:textId="77777777" w:rsidR="00C4384E" w:rsidRDefault="00C4384E">
      <w:pPr>
        <w:spacing w:beforeLines="1" w:before="2" w:afterLines="1" w:after="2"/>
        <w:rPr>
          <w:szCs w:val="20"/>
        </w:rPr>
      </w:pPr>
    </w:p>
    <w:p w14:paraId="382709B8" w14:textId="428E78D4" w:rsidR="00C4384E" w:rsidRDefault="00B93181">
      <w:pPr>
        <w:numPr>
          <w:ilvl w:val="0"/>
          <w:numId w:val="28"/>
        </w:numPr>
        <w:spacing w:beforeLines="1" w:before="2" w:afterLines="1" w:after="2"/>
        <w:rPr>
          <w:szCs w:val="20"/>
        </w:rPr>
      </w:pPr>
      <w:r>
        <w:t>En términos más amplios, los Estados miembros necesitan crear el sistema de gestión y control de la PAC en el marco del sistema de gestión compartida de los Fondos. Más concretamente, los organismos pagadores deben crear un sistema de control interno que satisfaga los criterios de autorización [artículo 1 y anexo 1 del Reglamento Delegado (UE) n.º 907/2014 de la Comisión] y además deben garantizar la exhaustividad, exactitud y veracidad de las cuentas anuales [artículo 29 del Reglamento de Ejecución (UE) n.º 908/2014 de la Comisión].</w:t>
      </w:r>
    </w:p>
    <w:p w14:paraId="4CACAE50" w14:textId="2DD5804B" w:rsidR="00C4384E" w:rsidRDefault="00AC1B93">
      <w:pPr>
        <w:numPr>
          <w:ilvl w:val="0"/>
          <w:numId w:val="28"/>
        </w:numPr>
        <w:spacing w:beforeLines="1" w:before="2" w:afterLines="1" w:after="2"/>
        <w:rPr>
          <w:szCs w:val="20"/>
        </w:rPr>
      </w:pPr>
      <w:r>
        <w:t>Como parte del sistema de gestión y control de la PAC y, por lo tanto, del sistema de control interno, los organismos pagadores tienen que llevar a cabo minuciosos controles administrativos y sobre el terreno antes de efectuar los pagos (de conformidad con la legislación sectorial). Los resultados de estos controles se reflejan en la declaración sobre la gestión [artículo 3 y anexo 1 del Reglamento (UE) n.º 908/2014].</w:t>
      </w:r>
    </w:p>
    <w:p w14:paraId="17A7FE12" w14:textId="1A89F08B" w:rsidR="00C4384E" w:rsidRDefault="00381D99">
      <w:pPr>
        <w:numPr>
          <w:ilvl w:val="0"/>
          <w:numId w:val="28"/>
        </w:numPr>
        <w:spacing w:beforeLines="1" w:before="2" w:afterLines="1" w:after="2"/>
        <w:rPr>
          <w:szCs w:val="20"/>
        </w:rPr>
      </w:pPr>
      <w:r>
        <w:t xml:space="preserve">Los organismos de certificación tendrán que auditar los dos bloques anteriores y emitir una opinión de acuerdo con el artículo 9 del Reglamento (UE) n.º 1306/2013 sobre la base de la estrategia de auditoría que se elabore con </w:t>
      </w:r>
      <w:r>
        <w:lastRenderedPageBreak/>
        <w:t xml:space="preserve">arreglo al presente documento. Por lo tanto, la estrategia de auditoría debe considerarse un pilar en el modelo de garantía global. </w:t>
      </w:r>
    </w:p>
    <w:p w14:paraId="22CAA533" w14:textId="1365A61D" w:rsidR="00C4384E" w:rsidRDefault="00381D99">
      <w:pPr>
        <w:numPr>
          <w:ilvl w:val="0"/>
          <w:numId w:val="28"/>
        </w:numPr>
        <w:spacing w:beforeLines="1" w:before="2" w:afterLines="1" w:after="2"/>
        <w:rPr>
          <w:szCs w:val="20"/>
        </w:rPr>
      </w:pPr>
      <w:r>
        <w:t>La DG AGRI ha de tener en cuenta los tres pilares anteriores, es decir, la opinión de auditoría de los organismos de certificación, su propio procedimiento de liquidación de cuentas y los informes de los auditores externos (TCE) con el fin de ofrecer garantías en lo que atañe al gasto desembolsado y ha de definir el riesgo de errores.</w:t>
      </w:r>
    </w:p>
    <w:p w14:paraId="7FE8EBF6" w14:textId="77777777" w:rsidR="00C4384E" w:rsidRDefault="00C4384E">
      <w:pPr>
        <w:spacing w:beforeLines="1" w:before="2" w:afterLines="1" w:after="2"/>
        <w:rPr>
          <w:szCs w:val="20"/>
        </w:rPr>
      </w:pPr>
    </w:p>
    <w:p w14:paraId="25B1353A" w14:textId="77777777" w:rsidR="00C4384E" w:rsidRDefault="005C31A0">
      <w:pPr>
        <w:spacing w:beforeLines="1" w:before="2" w:afterLines="1" w:after="2"/>
        <w:rPr>
          <w:szCs w:val="20"/>
        </w:rPr>
      </w:pPr>
      <w:r>
        <w:t xml:space="preserve">En conclusión, el objetivo del sistema de auditoría antes descrito es ofrecer una garantía global sobre la fiabilidad del sistema de control interno y, por lo tanto, sobre el riesgo de errores. </w:t>
      </w:r>
    </w:p>
    <w:p w14:paraId="1A53CB76" w14:textId="77777777" w:rsidR="00C4384E" w:rsidRDefault="00C4384E">
      <w:pPr>
        <w:spacing w:beforeLines="1" w:before="2" w:afterLines="1" w:after="2"/>
        <w:rPr>
          <w:szCs w:val="20"/>
        </w:rPr>
      </w:pPr>
    </w:p>
    <w:p w14:paraId="1BB13C18" w14:textId="77777777" w:rsidR="00C4384E" w:rsidRDefault="00381D99">
      <w:pPr>
        <w:spacing w:beforeLines="1" w:before="2" w:afterLines="1" w:after="2"/>
        <w:rPr>
          <w:szCs w:val="20"/>
        </w:rPr>
      </w:pPr>
      <w:r>
        <w:t xml:space="preserve">Sobre esta base, el </w:t>
      </w:r>
      <w:r>
        <w:rPr>
          <w:u w:val="single"/>
        </w:rPr>
        <w:t>modelo de garantía de los OC</w:t>
      </w:r>
      <w:r>
        <w:t xml:space="preserve"> se basa en un sistema de tres niveles que se refleja en el Reglamento Financiero (artículo 59, apartados 4 y 5), así como en la opinión de auditoría que deben emitir los OC con arreglo al artículo 9 del Reglamento (UE) n.º 1306/2013 sobre:</w:t>
      </w:r>
    </w:p>
    <w:p w14:paraId="795B3078" w14:textId="1E56E6F7" w:rsidR="00C4384E" w:rsidRDefault="00381D99">
      <w:pPr>
        <w:numPr>
          <w:ilvl w:val="0"/>
          <w:numId w:val="27"/>
        </w:numPr>
        <w:spacing w:beforeLines="1" w:before="2" w:afterLines="1" w:after="2"/>
        <w:rPr>
          <w:szCs w:val="20"/>
        </w:rPr>
      </w:pPr>
      <w:r>
        <w:t>la integridad, exactitud y veracidad de las cuentas anuales del OP;</w:t>
      </w:r>
    </w:p>
    <w:p w14:paraId="3A5F5DEF" w14:textId="06E7564B" w:rsidR="00C4384E" w:rsidRDefault="00381D99">
      <w:pPr>
        <w:numPr>
          <w:ilvl w:val="0"/>
          <w:numId w:val="27"/>
        </w:numPr>
        <w:spacing w:beforeLines="1" w:before="2" w:afterLines="1" w:after="2"/>
        <w:rPr>
          <w:szCs w:val="20"/>
        </w:rPr>
      </w:pPr>
      <w:r>
        <w:t>el correcto funcionamiento de su sistema de control interno;</w:t>
      </w:r>
    </w:p>
    <w:p w14:paraId="77A37ADA" w14:textId="73E63670" w:rsidR="00C4384E" w:rsidRDefault="00381D99">
      <w:pPr>
        <w:numPr>
          <w:ilvl w:val="0"/>
          <w:numId w:val="27"/>
        </w:numPr>
        <w:spacing w:beforeLines="1" w:before="2" w:afterLines="1" w:after="2"/>
        <w:rPr>
          <w:szCs w:val="20"/>
        </w:rPr>
      </w:pPr>
      <w:r>
        <w:t>la legalidad y la regularidad de los gastos cuyo reembolso se ha solicitado a la Comisión.</w:t>
      </w:r>
    </w:p>
    <w:p w14:paraId="55AD0603" w14:textId="77777777" w:rsidR="00C4384E" w:rsidRDefault="00C4384E">
      <w:pPr>
        <w:spacing w:beforeLines="1" w:before="2" w:afterLines="1" w:after="2"/>
        <w:rPr>
          <w:szCs w:val="20"/>
        </w:rPr>
      </w:pPr>
    </w:p>
    <w:p w14:paraId="69CC9500" w14:textId="6FAB2F06" w:rsidR="00C4384E" w:rsidRDefault="00381D99">
      <w:pPr>
        <w:spacing w:beforeLines="1" w:before="2" w:afterLines="1" w:after="2"/>
        <w:rPr>
          <w:szCs w:val="20"/>
        </w:rPr>
      </w:pPr>
      <w:r>
        <w:t xml:space="preserve">El modelo de garantía de los OC se basa en el nivel de garantía obtenido a partir de las pruebas de control interno (incluidas las pruebas de cumplimiento y la valoración de los procesos/procedimientos vigentes) y de las pruebas sustantivas de una serie de expedientes con el fin de verificar la legalidad y regularidad de las transacciones a lo largo de todo el ciclo hasta la autorización del pago. </w:t>
      </w:r>
    </w:p>
    <w:p w14:paraId="687D2120" w14:textId="77777777" w:rsidR="00C4384E" w:rsidRDefault="00C4384E">
      <w:pPr>
        <w:spacing w:beforeLines="1" w:before="2" w:afterLines="1" w:after="2"/>
        <w:rPr>
          <w:szCs w:val="20"/>
        </w:rPr>
      </w:pPr>
    </w:p>
    <w:p w14:paraId="236CB9B2" w14:textId="1537DE43" w:rsidR="00C4384E" w:rsidRDefault="00EF7D6E">
      <w:pPr>
        <w:spacing w:beforeLines="1" w:before="2" w:afterLines="1" w:after="2"/>
        <w:rPr>
          <w:szCs w:val="20"/>
        </w:rPr>
      </w:pPr>
      <w:r>
        <w:t>Este modelo debe permitir a los organismos de certificación:</w:t>
      </w:r>
    </w:p>
    <w:p w14:paraId="1D1C98D0" w14:textId="77777777" w:rsidR="00C4384E" w:rsidRDefault="00381D99">
      <w:pPr>
        <w:numPr>
          <w:ilvl w:val="0"/>
          <w:numId w:val="29"/>
        </w:numPr>
        <w:spacing w:beforeLines="1" w:before="2" w:afterLines="1" w:after="2"/>
        <w:rPr>
          <w:szCs w:val="20"/>
        </w:rPr>
      </w:pPr>
      <w:r>
        <w:t>valorar y extraer conclusiones sobre el sistema de control interno en función del cumplimiento de los criterios de autorización;</w:t>
      </w:r>
    </w:p>
    <w:p w14:paraId="6D1F3169" w14:textId="77777777" w:rsidR="00C4384E" w:rsidRDefault="00381D99">
      <w:pPr>
        <w:numPr>
          <w:ilvl w:val="0"/>
          <w:numId w:val="29"/>
        </w:numPr>
        <w:spacing w:beforeLines="1" w:before="2" w:afterLines="1" w:after="2"/>
        <w:rPr>
          <w:szCs w:val="20"/>
        </w:rPr>
      </w:pPr>
      <w:r>
        <w:t>valorar y expresar una opinión sobre la legalidad y regularidad del gasto que se deriva de la confirmación de los porcentajes de error notificados en las estadísticas de control y/o en la declaración sobre la gestión;</w:t>
      </w:r>
    </w:p>
    <w:p w14:paraId="60B77EC8" w14:textId="77777777" w:rsidR="00C4384E" w:rsidRDefault="00381D99">
      <w:pPr>
        <w:numPr>
          <w:ilvl w:val="0"/>
          <w:numId w:val="29"/>
        </w:numPr>
        <w:spacing w:beforeLines="1" w:before="2" w:afterLines="1" w:after="2"/>
        <w:rPr>
          <w:szCs w:val="20"/>
        </w:rPr>
      </w:pPr>
      <w:r>
        <w:t xml:space="preserve">expresar una opinión sobre la fiabilidad de las cuentas anuales que se basan en las declaraciones de gastos a la Comisión. </w:t>
      </w:r>
    </w:p>
    <w:p w14:paraId="7A879F63" w14:textId="77777777" w:rsidR="00C4384E" w:rsidRDefault="00C4384E"/>
    <w:p w14:paraId="3FFA85E9" w14:textId="77777777" w:rsidR="00C4384E" w:rsidRDefault="00895724">
      <w:pPr>
        <w:pStyle w:val="Heading2"/>
      </w:pPr>
      <w:bookmarkStart w:id="4" w:name="_Toc16667586"/>
      <w:r>
        <w:t>2.2 Marco jurídico</w:t>
      </w:r>
      <w:bookmarkEnd w:id="4"/>
    </w:p>
    <w:p w14:paraId="08F019AF" w14:textId="7A4EC8E1" w:rsidR="00C4384E" w:rsidRDefault="00BB0537">
      <w:pPr>
        <w:spacing w:after="120"/>
      </w:pPr>
      <w:r>
        <w:t>La legislación que regula la liquidación financiera de cuentas, los informes de gestión y los procedimientos de certificación correspondientes se resume a continuación:</w:t>
      </w:r>
    </w:p>
    <w:p w14:paraId="7E160079" w14:textId="77777777" w:rsidR="00C4384E" w:rsidRDefault="00BB0537">
      <w:pPr>
        <w:spacing w:after="120"/>
        <w:rPr>
          <w:u w:val="single"/>
        </w:rPr>
      </w:pPr>
      <w:r>
        <w:rPr>
          <w:u w:val="single"/>
        </w:rPr>
        <w:t>Organismos pagadores (OP)</w:t>
      </w:r>
    </w:p>
    <w:p w14:paraId="2D1D211D" w14:textId="2A9DF4B8" w:rsidR="00C4384E" w:rsidRDefault="0043253C">
      <w:pPr>
        <w:spacing w:after="120"/>
      </w:pPr>
      <w:r>
        <w:t xml:space="preserve">De acuerdo con las disposiciones del artículo 53 del Reglamento (UE) n.º 1306/2013, la liquidación de las cuentas de los OP autorizados se basará en la información transmitida en virtud del artículo 102, apartado 1, letra c), de ese mismo Reglamento. </w:t>
      </w:r>
    </w:p>
    <w:p w14:paraId="518C1273" w14:textId="2843CF3C" w:rsidR="00C4384E" w:rsidRDefault="00BB0537">
      <w:pPr>
        <w:spacing w:after="120"/>
      </w:pPr>
      <w:r>
        <w:t xml:space="preserve">El OP debe facilitar a la Comisión los siguientes documentos relativos al gasto anual del FEAGA y del </w:t>
      </w:r>
      <w:r w:rsidR="00805BA2">
        <w:t>Feader,</w:t>
      </w:r>
      <w:r>
        <w:t xml:space="preserve"> así como las transacciones relacionadas llevadas a cabo y el sistema de control interno vigente:</w:t>
      </w:r>
    </w:p>
    <w:p w14:paraId="05ACB978" w14:textId="1194A8DC" w:rsidR="00C4384E" w:rsidRDefault="00E41FCA">
      <w:pPr>
        <w:numPr>
          <w:ilvl w:val="0"/>
          <w:numId w:val="27"/>
        </w:numPr>
        <w:spacing w:after="120"/>
      </w:pPr>
      <w:r>
        <w:t>las cuentas anuales en virtud del artículo 29 del Reglamento (UE) n.º 908/2014,</w:t>
      </w:r>
    </w:p>
    <w:p w14:paraId="4E53F574" w14:textId="61C3538E" w:rsidR="00C4384E" w:rsidRDefault="00C267BD">
      <w:pPr>
        <w:numPr>
          <w:ilvl w:val="0"/>
          <w:numId w:val="27"/>
        </w:numPr>
        <w:spacing w:after="120"/>
      </w:pPr>
      <w:r>
        <w:lastRenderedPageBreak/>
        <w:t xml:space="preserve">la declaración sobre la gestión en virtud del artículo 3 y del anexo 1 del Reglamento (UE) n.º 908/2014, incluyendo </w:t>
      </w:r>
      <w:r>
        <w:rPr>
          <w:color w:val="211E1E"/>
          <w:szCs w:val="20"/>
        </w:rPr>
        <w:t>un resumen anual de los resultados disponibles de todas las auditorías y controles realizados de acuerdo con el calendario y las disposiciones específicas establecidas en las normas sectoriales específicas conforme al artículo 102, apartado 1, letra c), inciso iv), del Reglamento (UE) n.º 1306/2013.</w:t>
      </w:r>
    </w:p>
    <w:p w14:paraId="05FC3A36" w14:textId="705ED1F7" w:rsidR="00C4384E" w:rsidRDefault="00DD6609">
      <w:pPr>
        <w:spacing w:after="120"/>
      </w:pPr>
      <w:r>
        <w:t>En el caso de la declaración sobre la gestión, los organismos pagadores también tienen que presentar los datos y las estadísticas de control con arreglo al Reglamento de Ejecución (UE) n.º 809/2014 de la Comisión y los demás reglamentos sectoriales pertinentes.</w:t>
      </w:r>
    </w:p>
    <w:p w14:paraId="3851DFA4" w14:textId="77777777" w:rsidR="00C4384E" w:rsidRDefault="00771BF8">
      <w:pPr>
        <w:spacing w:after="120"/>
        <w:rPr>
          <w:i/>
        </w:rPr>
      </w:pPr>
      <w:r>
        <w:rPr>
          <w:i/>
        </w:rPr>
        <w:t>Directrices/comunicación al Comité de los fondos agrícolas:</w:t>
      </w:r>
    </w:p>
    <w:p w14:paraId="37FD6EFF" w14:textId="709AC1A3" w:rsidR="00C4384E" w:rsidRDefault="00CB0F10">
      <w:pPr>
        <w:numPr>
          <w:ilvl w:val="0"/>
          <w:numId w:val="33"/>
        </w:numPr>
        <w:spacing w:after="120"/>
      </w:pPr>
      <w:r>
        <w:t>Directriz n.º 1 sobre autorización.</w:t>
      </w:r>
    </w:p>
    <w:p w14:paraId="1097ED01" w14:textId="2FAB3391" w:rsidR="00C4384E" w:rsidRDefault="00CB0F10">
      <w:pPr>
        <w:numPr>
          <w:ilvl w:val="0"/>
          <w:numId w:val="33"/>
        </w:numPr>
        <w:spacing w:after="120"/>
      </w:pPr>
      <w:r>
        <w:t>Directriz n.º 4 relativa a la declaración sobre la gestión.</w:t>
      </w:r>
    </w:p>
    <w:p w14:paraId="2F6BF3F7" w14:textId="75BABFA4" w:rsidR="00C4384E" w:rsidRDefault="00CB0F10">
      <w:pPr>
        <w:numPr>
          <w:ilvl w:val="0"/>
          <w:numId w:val="33"/>
        </w:numPr>
        <w:spacing w:after="120"/>
      </w:pPr>
      <w:r>
        <w:t>Directriz n.º 5 sobre irregularidades.</w:t>
      </w:r>
    </w:p>
    <w:p w14:paraId="5B7B11D6" w14:textId="5BE72129" w:rsidR="00C4384E" w:rsidRDefault="00CB0F10">
      <w:pPr>
        <w:numPr>
          <w:ilvl w:val="0"/>
          <w:numId w:val="33"/>
        </w:numPr>
        <w:spacing w:after="120"/>
      </w:pPr>
      <w:r>
        <w:t>Nota anual sobre la información que debe presentarse en las cuentas anuales.</w:t>
      </w:r>
    </w:p>
    <w:p w14:paraId="1B68270C" w14:textId="77777777" w:rsidR="00C4384E" w:rsidRDefault="00C4384E">
      <w:pPr>
        <w:spacing w:after="120"/>
        <w:rPr>
          <w:u w:val="single"/>
        </w:rPr>
      </w:pPr>
    </w:p>
    <w:p w14:paraId="05AEA4D8" w14:textId="77777777" w:rsidR="00C4384E" w:rsidRDefault="00154745">
      <w:pPr>
        <w:spacing w:after="120"/>
        <w:rPr>
          <w:u w:val="single"/>
        </w:rPr>
      </w:pPr>
      <w:r>
        <w:rPr>
          <w:u w:val="single"/>
        </w:rPr>
        <w:t>Organismos de certificación</w:t>
      </w:r>
    </w:p>
    <w:p w14:paraId="17F6AFC3" w14:textId="00A9F3A2" w:rsidR="00C4384E" w:rsidRDefault="00BB0537">
      <w:pPr>
        <w:spacing w:after="120"/>
      </w:pPr>
      <w:r>
        <w:t>En el artículo 9 del Reglamento (UE) n.º 1306/2013 y en los artículos 5-7 del Reglamento de Ejecución (UE) n.º 908/2014 se establecen las reglas relativas a las tareas de los OC, incluidos los controles, la opinión y los informes que deben elaborar dichos organismos, junto con los documentos que deben acompañarlos. Los organismos de certificación deben llevar a cabo la auditoría de certificación y redactar un informe de certificación y una opinión en consecuencia.</w:t>
      </w:r>
    </w:p>
    <w:p w14:paraId="6DC195A4" w14:textId="77777777" w:rsidR="00C4384E" w:rsidRDefault="00C4384E">
      <w:pPr>
        <w:spacing w:after="120"/>
        <w:rPr>
          <w:i/>
        </w:rPr>
      </w:pPr>
    </w:p>
    <w:p w14:paraId="3696B18F" w14:textId="77777777" w:rsidR="00C4384E" w:rsidRDefault="00160676">
      <w:pPr>
        <w:spacing w:after="120"/>
        <w:rPr>
          <w:i/>
        </w:rPr>
      </w:pPr>
      <w:r>
        <w:rPr>
          <w:i/>
        </w:rPr>
        <w:t>Directrices aplicables:</w:t>
      </w:r>
    </w:p>
    <w:p w14:paraId="4E2693E3" w14:textId="0F1EBC78" w:rsidR="00C4384E" w:rsidRDefault="00160676">
      <w:pPr>
        <w:numPr>
          <w:ilvl w:val="0"/>
          <w:numId w:val="34"/>
        </w:numPr>
        <w:spacing w:after="120"/>
      </w:pPr>
      <w:r>
        <w:t>Directriz n.º 2 relativa a la estrategia de auditoría.</w:t>
      </w:r>
    </w:p>
    <w:p w14:paraId="39045C9B" w14:textId="77777777" w:rsidR="00C4384E" w:rsidRDefault="00160676">
      <w:pPr>
        <w:numPr>
          <w:ilvl w:val="0"/>
          <w:numId w:val="34"/>
        </w:numPr>
        <w:spacing w:after="120"/>
      </w:pPr>
      <w:r>
        <w:t>Directriz n.º 3 relativa a los requisitos de información de los organismos de certificación.</w:t>
      </w:r>
    </w:p>
    <w:p w14:paraId="77618AC9" w14:textId="77777777" w:rsidR="00C4384E" w:rsidRDefault="00C4384E">
      <w:pPr>
        <w:spacing w:after="120"/>
      </w:pPr>
    </w:p>
    <w:p w14:paraId="7416311C" w14:textId="523FC1F9" w:rsidR="00C4384E" w:rsidRDefault="00EF0BD2">
      <w:pPr>
        <w:spacing w:after="120"/>
        <w:rPr>
          <w:b/>
        </w:rPr>
      </w:pPr>
      <w:r>
        <w:rPr>
          <w:b/>
        </w:rPr>
        <w:t>En términos generales, la presente directriz responde a los requisitos establecidos en el artículo 9 del Reglamento (UE) n.º 1306/2013, armonizados con los del artículo</w:t>
      </w:r>
      <w:r w:rsidR="004C779D">
        <w:rPr>
          <w:b/>
        </w:rPr>
        <w:t> </w:t>
      </w:r>
      <w:r>
        <w:rPr>
          <w:b/>
        </w:rPr>
        <w:t>59, apartados 4 y 5, del Reglamento (UE) n.º 966/2012 (el Reglamento financiero</w:t>
      </w:r>
      <w:r w:rsidR="00805BA2">
        <w:rPr>
          <w:b/>
        </w:rPr>
        <w:t>).</w:t>
      </w:r>
    </w:p>
    <w:p w14:paraId="12D8E937" w14:textId="10FF17D8" w:rsidR="00C4384E" w:rsidRDefault="00C4384E" w:rsidP="004C779D"/>
    <w:p w14:paraId="26778DFE" w14:textId="77777777" w:rsidR="00C4384E" w:rsidRDefault="00073624">
      <w:pPr>
        <w:pStyle w:val="Heading1"/>
      </w:pPr>
      <w:bookmarkStart w:id="5" w:name="_Toc16667587"/>
      <w:r>
        <w:t>Objetivos de auditoría</w:t>
      </w:r>
      <w:bookmarkEnd w:id="5"/>
    </w:p>
    <w:p w14:paraId="538F06CA" w14:textId="77777777" w:rsidR="00C4384E" w:rsidRDefault="00B53A91">
      <w:pPr>
        <w:pStyle w:val="Heading2"/>
        <w:ind w:left="491"/>
      </w:pPr>
      <w:bookmarkStart w:id="6" w:name="_Toc16667588"/>
      <w:r>
        <w:t>3.1</w:t>
      </w:r>
      <w:r>
        <w:tab/>
        <w:t>Objetivo de auditoría n.º 1</w:t>
      </w:r>
      <w:bookmarkEnd w:id="6"/>
    </w:p>
    <w:p w14:paraId="31045218" w14:textId="2930F214" w:rsidR="00C4384E" w:rsidRDefault="00FE039B">
      <w:pPr>
        <w:spacing w:before="240" w:after="120"/>
      </w:pPr>
      <w:r>
        <w:t>El modelo de garantía antes descrito define los objetivos de auditoría. Los organismos de certificación tienen que certificar que:</w:t>
      </w:r>
    </w:p>
    <w:p w14:paraId="0DCE2CFA" w14:textId="77777777" w:rsidR="00C4384E" w:rsidRDefault="0055207D">
      <w:pPr>
        <w:numPr>
          <w:ilvl w:val="0"/>
          <w:numId w:val="30"/>
        </w:numPr>
        <w:spacing w:before="240" w:after="120"/>
        <w:rPr>
          <w:b/>
        </w:rPr>
      </w:pPr>
      <w:r>
        <w:rPr>
          <w:b/>
        </w:rPr>
        <w:t>las cuentas que deben enviarse a la Comisión son veraces, íntegras y exactas,</w:t>
      </w:r>
    </w:p>
    <w:p w14:paraId="39A02686" w14:textId="77777777" w:rsidR="00C4384E" w:rsidRDefault="0055207D">
      <w:pPr>
        <w:numPr>
          <w:ilvl w:val="0"/>
          <w:numId w:val="30"/>
        </w:numPr>
        <w:spacing w:before="240" w:after="120"/>
      </w:pPr>
      <w:r>
        <w:t>el gasto cuyo reembolso se ha solicitado es legal y regular, y que</w:t>
      </w:r>
    </w:p>
    <w:p w14:paraId="4FF2A2E5" w14:textId="77777777" w:rsidR="00C4384E" w:rsidRDefault="0055207D">
      <w:pPr>
        <w:numPr>
          <w:ilvl w:val="0"/>
          <w:numId w:val="30"/>
        </w:numPr>
        <w:spacing w:before="240" w:after="120"/>
        <w:rPr>
          <w:b/>
        </w:rPr>
      </w:pPr>
      <w:r>
        <w:rPr>
          <w:b/>
        </w:rPr>
        <w:lastRenderedPageBreak/>
        <w:t xml:space="preserve">los procedimientos de control internos del OP han funcionado satisfactoriamente. </w:t>
      </w:r>
    </w:p>
    <w:p w14:paraId="2A5FF838" w14:textId="77777777" w:rsidR="00C4384E" w:rsidRDefault="008574B5">
      <w:pPr>
        <w:spacing w:before="240" w:after="120"/>
      </w:pPr>
      <w:r>
        <w:t>La opinión del OC debe indicar asimismo si el examen arroja alguna duda sobre las afirmaciones realizadas en la declaración sobre la gestión.</w:t>
      </w:r>
    </w:p>
    <w:p w14:paraId="3EC24BB1" w14:textId="77777777" w:rsidR="00C4384E" w:rsidRDefault="00E35883">
      <w:pPr>
        <w:spacing w:before="240" w:after="120"/>
        <w:rPr>
          <w:b/>
        </w:rPr>
      </w:pPr>
      <w:r>
        <w:rPr>
          <w:b/>
        </w:rPr>
        <w:t>El objetivo de auditoría n.º 1 es ofrecer una garantía para la decisión de liquidación de cuentas a través, respectivamente, de la auditoría de las cuentas anuales y de los procedimientos de control.</w:t>
      </w:r>
    </w:p>
    <w:p w14:paraId="3EDEACDA" w14:textId="77777777" w:rsidR="00C4384E" w:rsidRDefault="00FE039B">
      <w:pPr>
        <w:spacing w:before="240" w:after="120"/>
      </w:pPr>
      <w:r>
        <w:rPr>
          <w:b/>
          <w:bCs/>
        </w:rPr>
        <w:t>La PARTE A de la presente directriz</w:t>
      </w:r>
      <w:r>
        <w:t xml:space="preserve"> establece la base de la auditoría centrada en el objetivo de auditoría n.º 1. </w:t>
      </w:r>
    </w:p>
    <w:p w14:paraId="7F9A0214" w14:textId="77777777" w:rsidR="00C4384E" w:rsidRDefault="00EA0414">
      <w:pPr>
        <w:spacing w:before="240" w:after="120"/>
      </w:pPr>
      <w:r>
        <w:t>Como consecuencia de la aplicación de este enfoque de auditoría, los OC estarán en condiciones de emitir una opinión sobre:</w:t>
      </w:r>
    </w:p>
    <w:p w14:paraId="524EC621" w14:textId="415DEF76" w:rsidR="00C4384E" w:rsidRDefault="00CA0DF5" w:rsidP="004C779D">
      <w:pPr>
        <w:pStyle w:val="ListNumber1"/>
      </w:pPr>
      <w:r>
        <w:t>la eficacia del sistema de control interno (SCI) del organismo pagador, incluido el sistema de gestión y control (SGC) (en lo que atañe a los respectivos procedimientos de control: ejecución del pago, contabilidad del pago, gestión de irregularidades y deudas),</w:t>
      </w:r>
    </w:p>
    <w:p w14:paraId="3313CC69" w14:textId="5F08DB30" w:rsidR="00C4384E" w:rsidRDefault="00CA0DF5">
      <w:pPr>
        <w:pStyle w:val="ListNumber1"/>
        <w:spacing w:after="120"/>
      </w:pPr>
      <w:r>
        <w:t>la integridad, exactitud y veracidad de las cuentas anuales (teniendo en cuenta los resultados de las pruebas sustantivas y el trabajo de conciliación).</w:t>
      </w:r>
    </w:p>
    <w:p w14:paraId="1995AB9E" w14:textId="77777777" w:rsidR="00C4384E" w:rsidRDefault="008574B5">
      <w:pPr>
        <w:spacing w:before="240" w:after="120"/>
      </w:pPr>
      <w:r>
        <w:t xml:space="preserve">El OC debe elaborar un informe de sus conclusiones y reflejar el resultado en su opinión. El informe y la opinión deberán seguir el formato establecido en la directriz n.º 3 relativa a los requisitos de información. </w:t>
      </w:r>
    </w:p>
    <w:p w14:paraId="1DE58D37" w14:textId="77777777" w:rsidR="00C4384E" w:rsidRDefault="00905A70">
      <w:pPr>
        <w:pStyle w:val="Heading2"/>
      </w:pPr>
      <w:bookmarkStart w:id="7" w:name="_Toc16667589"/>
      <w:r>
        <w:t>3.2 Ámbito de auditoría del objetivo de auditoría n.º 1</w:t>
      </w:r>
      <w:bookmarkEnd w:id="7"/>
    </w:p>
    <w:p w14:paraId="0A672F08" w14:textId="1AB21020" w:rsidR="00C4384E" w:rsidRDefault="00CA0DF5">
      <w:pPr>
        <w:pStyle w:val="NormalWeb"/>
        <w:shd w:val="clear" w:color="auto" w:fill="FFFFFF"/>
        <w:jc w:val="both"/>
        <w:rPr>
          <w:rFonts w:ascii="Times New Roman" w:hAnsi="Times New Roman"/>
        </w:rPr>
      </w:pPr>
      <w:r>
        <w:rPr>
          <w:rFonts w:ascii="Times New Roman" w:hAnsi="Times New Roman"/>
        </w:rPr>
        <w:t xml:space="preserve">La auditoría en virtud del objetivo de auditoría n.º 1 se centra en las cuentas anuales. Por lo tanto, este objetivo de auditoría abarca los procedimientos de control siguientes en el caso de las transacciones operativas: </w:t>
      </w:r>
    </w:p>
    <w:p w14:paraId="3383F44A" w14:textId="77777777" w:rsidR="00C4384E" w:rsidRDefault="008D4974">
      <w:pPr>
        <w:pStyle w:val="NormalWeb"/>
        <w:numPr>
          <w:ilvl w:val="0"/>
          <w:numId w:val="132"/>
        </w:numPr>
        <w:shd w:val="clear" w:color="auto" w:fill="FFFFFF"/>
        <w:jc w:val="both"/>
      </w:pPr>
      <w:r>
        <w:rPr>
          <w:rFonts w:ascii="Times New Roman" w:hAnsi="Times New Roman"/>
        </w:rPr>
        <w:t xml:space="preserve">ejecución de los pagos, </w:t>
      </w:r>
    </w:p>
    <w:p w14:paraId="683F7F11" w14:textId="67EFF427" w:rsidR="00C4384E" w:rsidRDefault="008D4974">
      <w:pPr>
        <w:pStyle w:val="NormalWeb"/>
        <w:numPr>
          <w:ilvl w:val="0"/>
          <w:numId w:val="132"/>
        </w:numPr>
        <w:shd w:val="clear" w:color="auto" w:fill="FFFFFF"/>
        <w:jc w:val="both"/>
      </w:pPr>
      <w:r>
        <w:rPr>
          <w:rFonts w:ascii="Times New Roman" w:hAnsi="Times New Roman"/>
        </w:rPr>
        <w:t>contabilización de los pagos,</w:t>
      </w:r>
    </w:p>
    <w:p w14:paraId="66FA9441" w14:textId="77777777" w:rsidR="00C4384E" w:rsidRDefault="00ED3EEA">
      <w:pPr>
        <w:pStyle w:val="NormalWeb"/>
        <w:numPr>
          <w:ilvl w:val="0"/>
          <w:numId w:val="132"/>
        </w:numPr>
        <w:shd w:val="clear" w:color="auto" w:fill="FFFFFF"/>
        <w:jc w:val="both"/>
      </w:pPr>
      <w:r>
        <w:rPr>
          <w:rFonts w:ascii="Times New Roman" w:hAnsi="Times New Roman"/>
        </w:rPr>
        <w:t xml:space="preserve">en el caso de las transacciones no operativas: gestión de irregularidades y deudas, incluidas la compensación y la contabilización de las recuperaciones, </w:t>
      </w:r>
    </w:p>
    <w:p w14:paraId="36165CBA" w14:textId="0D4DB46C" w:rsidR="00C4384E" w:rsidRDefault="007A6D96">
      <w:pPr>
        <w:pStyle w:val="NormalWeb"/>
        <w:numPr>
          <w:ilvl w:val="0"/>
          <w:numId w:val="132"/>
        </w:numPr>
        <w:shd w:val="clear" w:color="auto" w:fill="FFFFFF"/>
        <w:jc w:val="both"/>
      </w:pPr>
      <w:r>
        <w:rPr>
          <w:rFonts w:ascii="Times New Roman" w:hAnsi="Times New Roman"/>
        </w:rPr>
        <w:t xml:space="preserve">las conciliaciones y la compilación de declaraciones realizadas sobre los pagos y las transacciones no operativas efectuadas en el ejercicio financiero. </w:t>
      </w:r>
    </w:p>
    <w:p w14:paraId="3FED3649" w14:textId="790F5432" w:rsidR="00C4384E" w:rsidRDefault="00E35883">
      <w:pPr>
        <w:spacing w:after="120"/>
      </w:pPr>
      <w:r>
        <w:t>Los objetivos de auditoría, el enfoque de auditoría y los resultados de auditoría utilizados en los procedimientos de garantía de la DG AGRI y relacionados con el trabajo de auditoría descrito en las PARTES A y B de la directriz se resumen en el cuadro que figura a continuación.</w:t>
      </w:r>
    </w:p>
    <w:p w14:paraId="64BCF850" w14:textId="77777777" w:rsidR="00C4384E" w:rsidRDefault="00C4384E">
      <w:pPr>
        <w:spacing w:after="120"/>
      </w:pPr>
    </w:p>
    <w:p w14:paraId="408EF1AD" w14:textId="77777777" w:rsidR="00C4384E" w:rsidRDefault="00905A70">
      <w:pPr>
        <w:pStyle w:val="Heading2"/>
        <w:ind w:left="791"/>
      </w:pPr>
      <w:bookmarkStart w:id="8" w:name="_Toc16667590"/>
      <w:r>
        <w:t>3.3 Objetivo de auditoría n.º 2</w:t>
      </w:r>
      <w:bookmarkEnd w:id="8"/>
    </w:p>
    <w:p w14:paraId="46DA40CE" w14:textId="77777777" w:rsidR="00C4384E" w:rsidRDefault="00B164BF">
      <w:pPr>
        <w:spacing w:before="240" w:after="120"/>
      </w:pPr>
      <w:r>
        <w:t>El modelo de garantía antes descrito define los objetivos de auditoría. Los organismos de certificación tienen que certificar que:</w:t>
      </w:r>
    </w:p>
    <w:p w14:paraId="3DF4F933" w14:textId="0A1EFCF9" w:rsidR="00C4384E" w:rsidRDefault="00B164BF">
      <w:pPr>
        <w:numPr>
          <w:ilvl w:val="0"/>
          <w:numId w:val="30"/>
        </w:numPr>
        <w:spacing w:before="240" w:after="120"/>
      </w:pPr>
      <w:r>
        <w:t>las cuentas que deben enviarse a la Comisión son veraces, íntegras y exactas,</w:t>
      </w:r>
    </w:p>
    <w:p w14:paraId="7A08F59C" w14:textId="77777777" w:rsidR="00C4384E" w:rsidRDefault="00B164BF">
      <w:pPr>
        <w:numPr>
          <w:ilvl w:val="0"/>
          <w:numId w:val="30"/>
        </w:numPr>
        <w:spacing w:before="240" w:after="120"/>
        <w:rPr>
          <w:b/>
        </w:rPr>
      </w:pPr>
      <w:r>
        <w:rPr>
          <w:b/>
        </w:rPr>
        <w:lastRenderedPageBreak/>
        <w:t xml:space="preserve">el gasto cuyo reembolso se ha solicitado es legal y regular, y que </w:t>
      </w:r>
    </w:p>
    <w:p w14:paraId="44C36AF1" w14:textId="77777777" w:rsidR="00C4384E" w:rsidRDefault="00B164BF">
      <w:pPr>
        <w:numPr>
          <w:ilvl w:val="0"/>
          <w:numId w:val="30"/>
        </w:numPr>
        <w:spacing w:before="240" w:after="120"/>
        <w:rPr>
          <w:b/>
        </w:rPr>
      </w:pPr>
      <w:r>
        <w:rPr>
          <w:b/>
        </w:rPr>
        <w:t xml:space="preserve">los procedimientos de control internos del OP han funcionado satisfactoriamente. </w:t>
      </w:r>
    </w:p>
    <w:p w14:paraId="17EA7067" w14:textId="77777777" w:rsidR="00C4384E" w:rsidRDefault="00B164BF">
      <w:pPr>
        <w:spacing w:before="240" w:after="120"/>
        <w:rPr>
          <w:b/>
        </w:rPr>
      </w:pPr>
      <w:r>
        <w:rPr>
          <w:b/>
        </w:rPr>
        <w:t>La opinión del OC debe indicar asimismo si el examen arroja alguna duda sobre las afirmaciones realizadas en la declaración sobre la gestión.</w:t>
      </w:r>
    </w:p>
    <w:p w14:paraId="17E6D286" w14:textId="5C1DEE82" w:rsidR="00C4384E" w:rsidRDefault="00B164BF">
      <w:pPr>
        <w:spacing w:before="240" w:after="120"/>
        <w:rPr>
          <w:b/>
        </w:rPr>
      </w:pPr>
      <w:r>
        <w:rPr>
          <w:b/>
        </w:rPr>
        <w:t xml:space="preserve">El objetivo de auditoría n.º 2 debe ofrecer garantías sobre la legalidad y regularidad del gasto cuyo reembolso ha sido solicitado a la Comisión. Dicho objetivo debe alcanzarse a través de la auditoría de la legalidad y regularidad del gasto y de los procedimientos de control, respectivamente. Además, el trabajo de auditoría sobre la legalidad y la regularidad debe confirmar las afirmaciones de la declaración sobre la gestión, que representa el riesgo de errores (riesgo residual) notificado. </w:t>
      </w:r>
    </w:p>
    <w:p w14:paraId="0D270D83" w14:textId="77777777" w:rsidR="00C4384E" w:rsidRDefault="00B164BF">
      <w:pPr>
        <w:spacing w:before="240" w:after="120"/>
      </w:pPr>
      <w:r>
        <w:rPr>
          <w:b/>
          <w:bCs/>
        </w:rPr>
        <w:t>La PARTE B de la directriz</w:t>
      </w:r>
      <w:r>
        <w:t xml:space="preserve"> establece la base de la auditoría centrada en el objetivo de auditoría n.º 2. </w:t>
      </w:r>
    </w:p>
    <w:p w14:paraId="2E3E2239" w14:textId="0353E43F" w:rsidR="00C4384E" w:rsidRDefault="00F60879">
      <w:pPr>
        <w:spacing w:before="240" w:after="120"/>
      </w:pPr>
      <w:r>
        <w:t>Aplicando este enfoque de auditoría, los OC estarán en condiciones de emitir una opinión sobre:</w:t>
      </w:r>
    </w:p>
    <w:p w14:paraId="20B3B110" w14:textId="25C4DFE4" w:rsidR="00C4384E" w:rsidRDefault="00B164BF">
      <w:pPr>
        <w:pStyle w:val="ListNumber1"/>
        <w:numPr>
          <w:ilvl w:val="0"/>
          <w:numId w:val="85"/>
        </w:numPr>
        <w:tabs>
          <w:tab w:val="num" w:pos="567"/>
        </w:tabs>
        <w:spacing w:after="120"/>
        <w:ind w:left="567" w:hanging="567"/>
      </w:pPr>
      <w:r>
        <w:t>la eficacia del sistema de control interno y/o del sistema de gestión y control del OP (en lo que atañe a los respectivos procedimientos de control: autorización de pagos),</w:t>
      </w:r>
    </w:p>
    <w:p w14:paraId="289C69D0" w14:textId="52A7EF3B" w:rsidR="00C4384E" w:rsidRDefault="00B164BF">
      <w:pPr>
        <w:pStyle w:val="ListNumber1"/>
        <w:numPr>
          <w:ilvl w:val="0"/>
          <w:numId w:val="85"/>
        </w:numPr>
        <w:tabs>
          <w:tab w:val="clear" w:pos="851"/>
          <w:tab w:val="num" w:pos="567"/>
        </w:tabs>
        <w:spacing w:after="120"/>
        <w:ind w:left="567" w:hanging="567"/>
      </w:pPr>
      <w:r>
        <w:t>la legalidad y regularidad del gasto cuyo reembolso ha sido solicitado a la Comisión;</w:t>
      </w:r>
    </w:p>
    <w:p w14:paraId="1394107B" w14:textId="5BDFCADC" w:rsidR="00C4384E" w:rsidRDefault="00B164BF">
      <w:pPr>
        <w:pStyle w:val="ListNumber1"/>
        <w:numPr>
          <w:ilvl w:val="0"/>
          <w:numId w:val="85"/>
        </w:numPr>
        <w:spacing w:after="120"/>
        <w:ind w:left="567" w:hanging="567"/>
      </w:pPr>
      <w:r>
        <w:t>las afirmaciones realizadas en la declaración sobre la gestión por parte del director del OP,</w:t>
      </w:r>
    </w:p>
    <w:p w14:paraId="3248EFD6" w14:textId="33764465" w:rsidR="00C4384E" w:rsidRDefault="004E5E5E">
      <w:pPr>
        <w:pStyle w:val="ListNumber1"/>
        <w:numPr>
          <w:ilvl w:val="0"/>
          <w:numId w:val="85"/>
        </w:numPr>
        <w:spacing w:after="120"/>
        <w:ind w:left="567" w:hanging="567"/>
      </w:pPr>
      <w:r>
        <w:t>una confirmación en lo que atañe a las medidas/regímenes con respecto a los cuales el OP pretende reducir el porcentaje de control de acuerdo con el artículo 41 del Reglamento (UE) n.º 908/2014 (según proceda).</w:t>
      </w:r>
    </w:p>
    <w:p w14:paraId="3325C494" w14:textId="62A4857C" w:rsidR="00C4384E" w:rsidRDefault="00B164BF">
      <w:pPr>
        <w:spacing w:before="240" w:after="120"/>
      </w:pPr>
      <w:r>
        <w:t xml:space="preserve">Los OC deben elaborar un informe de sus conclusiones y reflejar el resultado en su opinión. El informe y la opinión deberán seguir el formato establecido en la directriz n.º 3 relativa a los requisitos de información. </w:t>
      </w:r>
    </w:p>
    <w:p w14:paraId="6C57481D" w14:textId="77777777" w:rsidR="00C4384E" w:rsidRDefault="00C4384E">
      <w:pPr>
        <w:spacing w:before="240" w:after="120"/>
      </w:pPr>
    </w:p>
    <w:p w14:paraId="6B766CBB" w14:textId="77777777" w:rsidR="00C4384E" w:rsidRDefault="00905A70">
      <w:pPr>
        <w:pStyle w:val="Heading2"/>
      </w:pPr>
      <w:bookmarkStart w:id="9" w:name="_Toc16667591"/>
      <w:r>
        <w:t>3.4 Ámbito de auditoría del objetivo de auditoría n.º 2</w:t>
      </w:r>
      <w:bookmarkEnd w:id="9"/>
    </w:p>
    <w:p w14:paraId="393626DD" w14:textId="5CA1D610" w:rsidR="00C4384E" w:rsidRDefault="00B164BF">
      <w:pPr>
        <w:spacing w:before="240" w:after="120"/>
      </w:pPr>
      <w:r>
        <w:t>La auditoría en virtud del objetivo de auditoría n.º 2 en el caso de las poblaciones SIGC se basará en los pagos estimados</w:t>
      </w:r>
      <w:r>
        <w:rPr>
          <w:rStyle w:val="FootnoteReference"/>
        </w:rPr>
        <w:footnoteReference w:id="2"/>
      </w:r>
      <w:r>
        <w:t xml:space="preserve">, pero el muestreo real se efectuará sobre los importes solicitados. En el caso de las poblaciones no SIGC, la base del objetivo de auditoría n.º 2 </w:t>
      </w:r>
      <w:r>
        <w:lastRenderedPageBreak/>
        <w:t>será el gasto declarado o estimado</w:t>
      </w:r>
      <w:r>
        <w:rPr>
          <w:rStyle w:val="FootnoteReference"/>
        </w:rPr>
        <w:footnoteReference w:id="3"/>
      </w:r>
      <w:r>
        <w:t xml:space="preserve"> en el ejercicio financiero. No obstante, si el OC lo considera oportuno, el muestreo real también podría efectuarse sobre los importes solicitados. Habida cuenta de que, en el caso del Feader no SIGC, ya no existen limitaciones de tiempo, el muestreo real podría basarse en los pagos reales. </w:t>
      </w:r>
    </w:p>
    <w:p w14:paraId="6D7DB989" w14:textId="70919202" w:rsidR="00C4384E" w:rsidRDefault="00844C64">
      <w:pPr>
        <w:spacing w:before="240" w:after="120"/>
      </w:pPr>
      <w:r>
        <w:t>El trabajo de auditoría efectuado en el ámbito del objetivo de auditoría n.º 2 cubre los datos de control y los informes de control del OP correspondientes a determinadas medidas que no se consignan en las estadísticas de control. Deben incluirse en el ámbito de la auditoría todos los procedimientos de control (controles administrativos y sobre el terreno, conciliaciones y compilación de declaraciones de gestión) realizados para autorizar los pagos efectuados para las transacciones notificadas en las estadísticas de control/informes de control.</w:t>
      </w:r>
      <w:r w:rsidR="00805BA2">
        <w:t xml:space="preserve"> </w:t>
      </w:r>
    </w:p>
    <w:p w14:paraId="0B43A107" w14:textId="27364B41" w:rsidR="00C4384E" w:rsidRDefault="00B164BF">
      <w:pPr>
        <w:spacing w:before="240" w:after="120"/>
      </w:pPr>
      <w:r>
        <w:t>Los objetivos de auditoría, el enfoque de auditoría y los resultados de auditoría utilizados en los procedimientos de garantía de la DG AGRI correspondientes a las PARTES A y B de la directriz se resumen en el cuadro que figura a continuación.</w:t>
      </w:r>
    </w:p>
    <w:p w14:paraId="3C853E85" w14:textId="77777777" w:rsidR="00C4384E" w:rsidRDefault="00C4384E">
      <w:pPr>
        <w:spacing w:after="120"/>
      </w:pPr>
    </w:p>
    <w:p w14:paraId="5EBC37E6" w14:textId="77777777" w:rsidR="00C4384E" w:rsidRDefault="00C4384E">
      <w:pPr>
        <w:spacing w:after="120"/>
      </w:pPr>
    </w:p>
    <w:p w14:paraId="75B96C9C" w14:textId="77777777" w:rsidR="00C4384E" w:rsidRDefault="00C4384E">
      <w:pPr>
        <w:spacing w:after="120"/>
        <w:sectPr w:rsidR="00C4384E" w:rsidSect="006F4E0D">
          <w:headerReference w:type="even" r:id="rId13"/>
          <w:headerReference w:type="default" r:id="rId14"/>
          <w:footerReference w:type="even" r:id="rId15"/>
          <w:footerReference w:type="default" r:id="rId16"/>
          <w:headerReference w:type="first" r:id="rId17"/>
          <w:footerReference w:type="first" r:id="rId18"/>
          <w:pgSz w:w="11906" w:h="16838" w:code="9"/>
          <w:pgMar w:top="1020" w:right="1701" w:bottom="200" w:left="1587" w:header="601" w:footer="907" w:gutter="0"/>
          <w:cols w:space="720"/>
          <w:titlePg/>
          <w:docGrid w:linePitch="326"/>
        </w:sectPr>
      </w:pPr>
    </w:p>
    <w:tbl>
      <w:tblPr>
        <w:tblpPr w:leftFromText="180" w:rightFromText="180" w:vertAnchor="page" w:horzAnchor="page" w:tblpX="2083" w:tblpY="2161"/>
        <w:tblW w:w="12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7"/>
        <w:gridCol w:w="2891"/>
        <w:gridCol w:w="3510"/>
        <w:gridCol w:w="3549"/>
      </w:tblGrid>
      <w:tr w:rsidR="00C4384E" w14:paraId="1B6C3C48" w14:textId="77777777" w:rsidTr="004C779D">
        <w:trPr>
          <w:trHeight w:val="274"/>
        </w:trPr>
        <w:tc>
          <w:tcPr>
            <w:tcW w:w="2887" w:type="dxa"/>
            <w:shd w:val="clear" w:color="auto" w:fill="auto"/>
          </w:tcPr>
          <w:p w14:paraId="658898C0" w14:textId="77777777" w:rsidR="00C4384E" w:rsidRDefault="000F71E3">
            <w:pPr>
              <w:spacing w:after="0"/>
              <w:jc w:val="left"/>
              <w:rPr>
                <w:b/>
                <w:sz w:val="20"/>
              </w:rPr>
            </w:pPr>
            <w:r>
              <w:rPr>
                <w:b/>
                <w:sz w:val="20"/>
              </w:rPr>
              <w:lastRenderedPageBreak/>
              <w:t xml:space="preserve">Objetivos de la auditoría </w:t>
            </w:r>
          </w:p>
        </w:tc>
        <w:tc>
          <w:tcPr>
            <w:tcW w:w="2891" w:type="dxa"/>
          </w:tcPr>
          <w:p w14:paraId="4458F629" w14:textId="77777777" w:rsidR="00C4384E" w:rsidRDefault="0043253C">
            <w:pPr>
              <w:spacing w:after="0"/>
              <w:jc w:val="left"/>
              <w:rPr>
                <w:b/>
                <w:sz w:val="20"/>
              </w:rPr>
            </w:pPr>
            <w:r>
              <w:rPr>
                <w:b/>
                <w:sz w:val="20"/>
              </w:rPr>
              <w:t xml:space="preserve">Enfoque de la auditoría </w:t>
            </w:r>
          </w:p>
        </w:tc>
        <w:tc>
          <w:tcPr>
            <w:tcW w:w="3510" w:type="dxa"/>
            <w:shd w:val="clear" w:color="auto" w:fill="auto"/>
          </w:tcPr>
          <w:p w14:paraId="23E858C4" w14:textId="77777777" w:rsidR="00C4384E" w:rsidRDefault="001C643C">
            <w:pPr>
              <w:spacing w:after="0"/>
              <w:jc w:val="left"/>
              <w:rPr>
                <w:b/>
                <w:sz w:val="20"/>
              </w:rPr>
            </w:pPr>
            <w:r>
              <w:rPr>
                <w:b/>
                <w:sz w:val="20"/>
              </w:rPr>
              <w:t xml:space="preserve">Resultados de la auditoría </w:t>
            </w:r>
          </w:p>
        </w:tc>
        <w:tc>
          <w:tcPr>
            <w:tcW w:w="3549" w:type="dxa"/>
            <w:shd w:val="clear" w:color="auto" w:fill="auto"/>
          </w:tcPr>
          <w:p w14:paraId="23A210D3" w14:textId="77777777" w:rsidR="00C4384E" w:rsidRDefault="007D2B33">
            <w:pPr>
              <w:spacing w:after="0"/>
              <w:jc w:val="left"/>
              <w:rPr>
                <w:b/>
                <w:sz w:val="20"/>
              </w:rPr>
            </w:pPr>
            <w:r>
              <w:rPr>
                <w:b/>
                <w:sz w:val="20"/>
              </w:rPr>
              <w:t>Utilización por la DG AGRI</w:t>
            </w:r>
          </w:p>
        </w:tc>
      </w:tr>
      <w:tr w:rsidR="00C4384E" w14:paraId="7834A213" w14:textId="77777777" w:rsidTr="004C779D">
        <w:trPr>
          <w:trHeight w:val="3389"/>
        </w:trPr>
        <w:tc>
          <w:tcPr>
            <w:tcW w:w="2887" w:type="dxa"/>
            <w:shd w:val="clear" w:color="auto" w:fill="auto"/>
          </w:tcPr>
          <w:p w14:paraId="22515087" w14:textId="77777777" w:rsidR="00C4384E" w:rsidRDefault="001C643C">
            <w:pPr>
              <w:spacing w:after="0"/>
              <w:rPr>
                <w:b/>
                <w:i/>
                <w:sz w:val="20"/>
              </w:rPr>
            </w:pPr>
            <w:r>
              <w:rPr>
                <w:b/>
                <w:i/>
                <w:sz w:val="20"/>
              </w:rPr>
              <w:t>Objetivo de auditoría n.º 1</w:t>
            </w:r>
          </w:p>
          <w:p w14:paraId="248B11A1" w14:textId="77777777" w:rsidR="00C4384E" w:rsidRDefault="00C4384E">
            <w:pPr>
              <w:spacing w:after="0"/>
              <w:rPr>
                <w:b/>
                <w:i/>
                <w:sz w:val="20"/>
              </w:rPr>
            </w:pPr>
          </w:p>
          <w:p w14:paraId="06300504" w14:textId="77777777" w:rsidR="00C4384E" w:rsidRDefault="007A6D96">
            <w:pPr>
              <w:spacing w:after="0"/>
              <w:rPr>
                <w:sz w:val="20"/>
              </w:rPr>
            </w:pPr>
            <w:r>
              <w:rPr>
                <w:sz w:val="20"/>
              </w:rPr>
              <w:t>Emitir una opinión sobre:</w:t>
            </w:r>
          </w:p>
          <w:p w14:paraId="7B3D0E6A" w14:textId="77777777" w:rsidR="00C4384E" w:rsidRDefault="007A6D96">
            <w:pPr>
              <w:numPr>
                <w:ilvl w:val="0"/>
                <w:numId w:val="31"/>
              </w:numPr>
              <w:spacing w:after="0"/>
              <w:rPr>
                <w:sz w:val="20"/>
              </w:rPr>
            </w:pPr>
            <w:r>
              <w:rPr>
                <w:sz w:val="20"/>
              </w:rPr>
              <w:t>el correcto funcionamiento de los sistemas de control vigentes (cumplimiento de los criterios de autorización – ejecución y contabilidad de los pagos, registro de las deudas),</w:t>
            </w:r>
          </w:p>
          <w:p w14:paraId="078C2374" w14:textId="31BAF341" w:rsidR="00C4384E" w:rsidRPr="004C779D" w:rsidRDefault="007A6D96" w:rsidP="004C779D">
            <w:pPr>
              <w:numPr>
                <w:ilvl w:val="0"/>
                <w:numId w:val="31"/>
              </w:numPr>
              <w:spacing w:after="0"/>
              <w:rPr>
                <w:sz w:val="20"/>
              </w:rPr>
            </w:pPr>
            <w:r>
              <w:rPr>
                <w:sz w:val="20"/>
              </w:rPr>
              <w:t>la integridad, exactitud y veracidad de las cuentas anuales.</w:t>
            </w:r>
          </w:p>
        </w:tc>
        <w:tc>
          <w:tcPr>
            <w:tcW w:w="2891" w:type="dxa"/>
            <w:shd w:val="clear" w:color="auto" w:fill="auto"/>
          </w:tcPr>
          <w:p w14:paraId="6B3FA461" w14:textId="3E438042" w:rsidR="00C4384E" w:rsidRDefault="001C643C">
            <w:pPr>
              <w:spacing w:after="0"/>
              <w:rPr>
                <w:sz w:val="20"/>
              </w:rPr>
            </w:pPr>
            <w:r>
              <w:rPr>
                <w:sz w:val="20"/>
              </w:rPr>
              <w:t>Principales procedimientos de auditoría:</w:t>
            </w:r>
          </w:p>
          <w:p w14:paraId="039212CE" w14:textId="77777777" w:rsidR="00C4384E" w:rsidRDefault="003A281D">
            <w:pPr>
              <w:numPr>
                <w:ilvl w:val="0"/>
                <w:numId w:val="32"/>
              </w:numPr>
              <w:spacing w:after="0"/>
              <w:rPr>
                <w:sz w:val="20"/>
              </w:rPr>
            </w:pPr>
            <w:r>
              <w:rPr>
                <w:sz w:val="20"/>
              </w:rPr>
              <w:t>Revisión del sistema de control interno (pruebas de procedimientos, pruebas de cumplimiento).</w:t>
            </w:r>
          </w:p>
          <w:p w14:paraId="15E81C2A" w14:textId="77777777" w:rsidR="00C4384E" w:rsidRDefault="003A281D">
            <w:pPr>
              <w:numPr>
                <w:ilvl w:val="0"/>
                <w:numId w:val="32"/>
              </w:numPr>
              <w:spacing w:after="0"/>
              <w:rPr>
                <w:sz w:val="20"/>
              </w:rPr>
            </w:pPr>
            <w:r>
              <w:rPr>
                <w:sz w:val="20"/>
              </w:rPr>
              <w:t>Pruebas sustantivas:</w:t>
            </w:r>
          </w:p>
          <w:p w14:paraId="048D3AFF" w14:textId="77777777" w:rsidR="00C4384E" w:rsidRDefault="003A281D">
            <w:pPr>
              <w:pStyle w:val="ListBullet2"/>
              <w:numPr>
                <w:ilvl w:val="0"/>
                <w:numId w:val="21"/>
              </w:numPr>
              <w:spacing w:after="0"/>
              <w:ind w:left="567"/>
              <w:jc w:val="left"/>
              <w:rPr>
                <w:sz w:val="20"/>
              </w:rPr>
            </w:pPr>
            <w:r>
              <w:rPr>
                <w:sz w:val="20"/>
              </w:rPr>
              <w:t xml:space="preserve">verificación de la ejecución y de la contabilidad de los pagos </w:t>
            </w:r>
          </w:p>
          <w:p w14:paraId="391D03E8" w14:textId="77777777" w:rsidR="00C4384E" w:rsidRDefault="00446C59">
            <w:pPr>
              <w:pStyle w:val="ListBullet2"/>
              <w:numPr>
                <w:ilvl w:val="0"/>
                <w:numId w:val="21"/>
              </w:numPr>
              <w:spacing w:after="0"/>
              <w:ind w:left="567"/>
              <w:jc w:val="left"/>
              <w:rPr>
                <w:sz w:val="20"/>
              </w:rPr>
            </w:pPr>
            <w:r>
              <w:rPr>
                <w:sz w:val="20"/>
              </w:rPr>
              <w:t>irregularidades, deudas</w:t>
            </w:r>
          </w:p>
          <w:p w14:paraId="292BA8C2" w14:textId="77777777" w:rsidR="00C4384E" w:rsidRDefault="003A281D">
            <w:pPr>
              <w:numPr>
                <w:ilvl w:val="0"/>
                <w:numId w:val="32"/>
              </w:numPr>
              <w:spacing w:after="0"/>
              <w:rPr>
                <w:sz w:val="20"/>
              </w:rPr>
            </w:pPr>
            <w:r>
              <w:rPr>
                <w:sz w:val="20"/>
              </w:rPr>
              <w:t xml:space="preserve">Revisión de la conciliación: </w:t>
            </w:r>
          </w:p>
          <w:p w14:paraId="179C6542" w14:textId="3F982D4B" w:rsidR="00C4384E" w:rsidRPr="004C779D" w:rsidRDefault="003A281D" w:rsidP="004C779D">
            <w:pPr>
              <w:pStyle w:val="ListBullet2"/>
              <w:numPr>
                <w:ilvl w:val="0"/>
                <w:numId w:val="21"/>
              </w:numPr>
              <w:spacing w:after="0"/>
              <w:ind w:left="567"/>
              <w:jc w:val="left"/>
              <w:rPr>
                <w:sz w:val="20"/>
              </w:rPr>
            </w:pPr>
            <w:r>
              <w:rPr>
                <w:sz w:val="20"/>
              </w:rPr>
              <w:t>conciliaciones financieras</w:t>
            </w:r>
          </w:p>
        </w:tc>
        <w:tc>
          <w:tcPr>
            <w:tcW w:w="3510" w:type="dxa"/>
            <w:shd w:val="clear" w:color="auto" w:fill="auto"/>
          </w:tcPr>
          <w:p w14:paraId="2897D620" w14:textId="7E4ECD5D" w:rsidR="00C4384E" w:rsidRPr="004C779D" w:rsidRDefault="00E13E5B" w:rsidP="004C779D">
            <w:pPr>
              <w:numPr>
                <w:ilvl w:val="0"/>
                <w:numId w:val="20"/>
              </w:numPr>
              <w:spacing w:after="0"/>
              <w:ind w:left="259" w:hanging="259"/>
              <w:rPr>
                <w:sz w:val="20"/>
              </w:rPr>
            </w:pPr>
            <w:r>
              <w:rPr>
                <w:sz w:val="20"/>
              </w:rPr>
              <w:t xml:space="preserve">Medición de la eficacia del sistema de control interno del OP: </w:t>
            </w:r>
            <w:r>
              <w:rPr>
                <w:b/>
                <w:bCs/>
                <w:sz w:val="20"/>
              </w:rPr>
              <w:t>clasificación de los respectivos procedimientos de control</w:t>
            </w:r>
            <w:r>
              <w:rPr>
                <w:sz w:val="20"/>
              </w:rPr>
              <w:t>, sobre la base de</w:t>
            </w:r>
          </w:p>
          <w:p w14:paraId="63FE4724" w14:textId="77777777" w:rsidR="00C4384E" w:rsidRDefault="007A6D96">
            <w:pPr>
              <w:pStyle w:val="ListBullet2"/>
              <w:numPr>
                <w:ilvl w:val="0"/>
                <w:numId w:val="21"/>
              </w:numPr>
              <w:spacing w:after="0"/>
              <w:ind w:left="567"/>
              <w:rPr>
                <w:sz w:val="20"/>
              </w:rPr>
            </w:pPr>
            <w:r>
              <w:rPr>
                <w:sz w:val="20"/>
              </w:rPr>
              <w:t xml:space="preserve">la revisión del sistema de control interno </w:t>
            </w:r>
          </w:p>
          <w:p w14:paraId="2CFC0ECA" w14:textId="77777777" w:rsidR="00C4384E" w:rsidRDefault="007A6D96">
            <w:pPr>
              <w:pStyle w:val="ListBullet2"/>
              <w:numPr>
                <w:ilvl w:val="0"/>
                <w:numId w:val="21"/>
              </w:numPr>
              <w:spacing w:after="0"/>
              <w:ind w:left="567"/>
              <w:rPr>
                <w:sz w:val="20"/>
              </w:rPr>
            </w:pPr>
            <w:r>
              <w:rPr>
                <w:sz w:val="20"/>
              </w:rPr>
              <w:t xml:space="preserve">los resultados de las pruebas sustantivas: </w:t>
            </w:r>
            <w:r>
              <w:rPr>
                <w:b/>
                <w:sz w:val="20"/>
              </w:rPr>
              <w:t>tasa de error</w:t>
            </w:r>
            <w:r>
              <w:rPr>
                <w:sz w:val="20"/>
              </w:rPr>
              <w:t xml:space="preserve"> </w:t>
            </w:r>
          </w:p>
          <w:p w14:paraId="5CD025A3" w14:textId="77777777" w:rsidR="00C4384E" w:rsidRDefault="00C4384E">
            <w:pPr>
              <w:pStyle w:val="ListBullet2"/>
              <w:numPr>
                <w:ilvl w:val="0"/>
                <w:numId w:val="0"/>
              </w:numPr>
              <w:spacing w:after="0"/>
              <w:rPr>
                <w:sz w:val="20"/>
              </w:rPr>
            </w:pPr>
          </w:p>
          <w:p w14:paraId="3840B848" w14:textId="1F950F0E" w:rsidR="00C4384E" w:rsidRDefault="0048582C">
            <w:pPr>
              <w:numPr>
                <w:ilvl w:val="0"/>
                <w:numId w:val="20"/>
              </w:numPr>
              <w:spacing w:after="0"/>
              <w:ind w:left="259" w:hanging="259"/>
              <w:rPr>
                <w:sz w:val="20"/>
              </w:rPr>
            </w:pPr>
            <w:r>
              <w:rPr>
                <w:b/>
                <w:bCs/>
                <w:sz w:val="20"/>
              </w:rPr>
              <w:t>Opinión de auditoría</w:t>
            </w:r>
            <w:r>
              <w:rPr>
                <w:sz w:val="20"/>
              </w:rPr>
              <w:t xml:space="preserve"> acerca de la integridad, exactitud y veracidad de las cuentas anuales sobre la base de la conciliación financiera y la letra a).</w:t>
            </w:r>
          </w:p>
        </w:tc>
        <w:tc>
          <w:tcPr>
            <w:tcW w:w="3549" w:type="dxa"/>
            <w:shd w:val="clear" w:color="auto" w:fill="auto"/>
          </w:tcPr>
          <w:p w14:paraId="25EA625F" w14:textId="77777777" w:rsidR="00C4384E" w:rsidRDefault="00C4384E">
            <w:pPr>
              <w:spacing w:after="0"/>
              <w:ind w:left="8"/>
              <w:rPr>
                <w:sz w:val="20"/>
              </w:rPr>
            </w:pPr>
          </w:p>
          <w:p w14:paraId="2BCCA38A" w14:textId="77777777" w:rsidR="00C4384E" w:rsidRDefault="00C4384E">
            <w:pPr>
              <w:spacing w:after="0"/>
              <w:ind w:left="8"/>
              <w:rPr>
                <w:sz w:val="20"/>
              </w:rPr>
            </w:pPr>
          </w:p>
          <w:p w14:paraId="64AAB47B" w14:textId="77777777" w:rsidR="00C4384E" w:rsidRDefault="00C65717">
            <w:pPr>
              <w:spacing w:after="0"/>
              <w:ind w:left="8"/>
              <w:rPr>
                <w:sz w:val="20"/>
              </w:rPr>
            </w:pPr>
            <w:r>
              <w:rPr>
                <w:sz w:val="20"/>
              </w:rPr>
              <w:t xml:space="preserve">Tras validar la opinión de los OC mediante la valoración de sus informes, los resultados de la auditoría deben tenerse en cuenta en el </w:t>
            </w:r>
            <w:r>
              <w:rPr>
                <w:b/>
                <w:bCs/>
                <w:sz w:val="20"/>
              </w:rPr>
              <w:t>ejercicio de liquidación financiera</w:t>
            </w:r>
            <w:r>
              <w:rPr>
                <w:sz w:val="20"/>
              </w:rPr>
              <w:t>.</w:t>
            </w:r>
          </w:p>
          <w:p w14:paraId="03DABA3D" w14:textId="77777777" w:rsidR="00C4384E" w:rsidRDefault="00C4384E">
            <w:pPr>
              <w:spacing w:after="0"/>
              <w:ind w:left="8"/>
              <w:rPr>
                <w:sz w:val="20"/>
              </w:rPr>
            </w:pPr>
          </w:p>
          <w:p w14:paraId="79276AAF" w14:textId="77777777" w:rsidR="00C4384E" w:rsidRDefault="00C65717">
            <w:pPr>
              <w:spacing w:after="0"/>
              <w:ind w:left="8"/>
              <w:rPr>
                <w:sz w:val="20"/>
              </w:rPr>
            </w:pPr>
            <w:r>
              <w:rPr>
                <w:sz w:val="20"/>
              </w:rPr>
              <w:t xml:space="preserve">Las </w:t>
            </w:r>
            <w:r>
              <w:rPr>
                <w:b/>
                <w:bCs/>
                <w:sz w:val="20"/>
              </w:rPr>
              <w:t>auditorías de conformidad</w:t>
            </w:r>
            <w:r>
              <w:rPr>
                <w:sz w:val="20"/>
              </w:rPr>
              <w:t xml:space="preserve"> sobre las funciones de pago/contabilidad y gestión de las deudas del organismo pagador podrían iniciarse sobre la base de estos resultados, si se considera necesario.</w:t>
            </w:r>
          </w:p>
        </w:tc>
      </w:tr>
      <w:tr w:rsidR="00C4384E" w14:paraId="47F793FA" w14:textId="77777777" w:rsidTr="004C779D">
        <w:trPr>
          <w:trHeight w:val="1775"/>
        </w:trPr>
        <w:tc>
          <w:tcPr>
            <w:tcW w:w="2887" w:type="dxa"/>
            <w:shd w:val="clear" w:color="auto" w:fill="auto"/>
          </w:tcPr>
          <w:p w14:paraId="163A9F54" w14:textId="77777777" w:rsidR="00C4384E" w:rsidRDefault="001C643C">
            <w:pPr>
              <w:spacing w:after="0"/>
              <w:rPr>
                <w:b/>
                <w:i/>
                <w:sz w:val="20"/>
              </w:rPr>
            </w:pPr>
            <w:r>
              <w:rPr>
                <w:b/>
                <w:i/>
                <w:sz w:val="20"/>
              </w:rPr>
              <w:t>Objetivo de auditoría n.º 2</w:t>
            </w:r>
          </w:p>
          <w:p w14:paraId="61FF06B2" w14:textId="77777777" w:rsidR="00C4384E" w:rsidRDefault="007A6D96">
            <w:pPr>
              <w:spacing w:after="0"/>
              <w:rPr>
                <w:sz w:val="20"/>
              </w:rPr>
            </w:pPr>
            <w:r>
              <w:rPr>
                <w:sz w:val="20"/>
              </w:rPr>
              <w:t>Emitir una opinión sobre:</w:t>
            </w:r>
          </w:p>
          <w:p w14:paraId="0FB0C8D0" w14:textId="77777777" w:rsidR="00C4384E" w:rsidRDefault="007A6D96">
            <w:pPr>
              <w:numPr>
                <w:ilvl w:val="0"/>
                <w:numId w:val="31"/>
              </w:numPr>
              <w:spacing w:after="0"/>
              <w:rPr>
                <w:sz w:val="20"/>
              </w:rPr>
            </w:pPr>
            <w:r>
              <w:rPr>
                <w:sz w:val="20"/>
              </w:rPr>
              <w:t>el correcto funcionamiento de los sistemas de control vigentes (cumplimiento de los criterios de autorización),</w:t>
            </w:r>
          </w:p>
          <w:p w14:paraId="0C14877E" w14:textId="77777777" w:rsidR="00C4384E" w:rsidRDefault="007A6D96">
            <w:pPr>
              <w:numPr>
                <w:ilvl w:val="0"/>
                <w:numId w:val="31"/>
              </w:numPr>
              <w:spacing w:after="0"/>
              <w:rPr>
                <w:sz w:val="20"/>
              </w:rPr>
            </w:pPr>
            <w:r>
              <w:rPr>
                <w:sz w:val="20"/>
              </w:rPr>
              <w:t>la legalidad y regularidad del gasto declarado al Fondo,</w:t>
            </w:r>
          </w:p>
          <w:p w14:paraId="0A9E9B88" w14:textId="77777777" w:rsidR="00C4384E" w:rsidRDefault="003A281D">
            <w:pPr>
              <w:numPr>
                <w:ilvl w:val="0"/>
                <w:numId w:val="31"/>
              </w:numPr>
              <w:spacing w:after="0"/>
              <w:rPr>
                <w:sz w:val="20"/>
              </w:rPr>
            </w:pPr>
            <w:r>
              <w:rPr>
                <w:sz w:val="20"/>
              </w:rPr>
              <w:t xml:space="preserve">las afirmaciones incluidas en la declaración sobre la gestión, </w:t>
            </w:r>
          </w:p>
          <w:p w14:paraId="01C17113" w14:textId="77777777" w:rsidR="00C4384E" w:rsidRDefault="003A281D">
            <w:pPr>
              <w:numPr>
                <w:ilvl w:val="0"/>
                <w:numId w:val="31"/>
              </w:numPr>
              <w:spacing w:after="0"/>
              <w:rPr>
                <w:sz w:val="20"/>
              </w:rPr>
            </w:pPr>
            <w:r>
              <w:rPr>
                <w:sz w:val="20"/>
              </w:rPr>
              <w:t>el sistema de medidas/regímenes específicos en lo que atañe a la reducción de la tasa de control (si procede).</w:t>
            </w:r>
          </w:p>
        </w:tc>
        <w:tc>
          <w:tcPr>
            <w:tcW w:w="2891" w:type="dxa"/>
            <w:shd w:val="clear" w:color="auto" w:fill="auto"/>
          </w:tcPr>
          <w:p w14:paraId="3D70A014" w14:textId="7BBFE784" w:rsidR="00C4384E" w:rsidRDefault="007D2B33">
            <w:pPr>
              <w:spacing w:after="0"/>
              <w:rPr>
                <w:sz w:val="20"/>
              </w:rPr>
            </w:pPr>
            <w:r>
              <w:rPr>
                <w:sz w:val="20"/>
              </w:rPr>
              <w:t>Principales procedimientos de auditoría:</w:t>
            </w:r>
          </w:p>
          <w:p w14:paraId="24B9F9B5" w14:textId="77777777" w:rsidR="00C4384E" w:rsidRDefault="007D2B33">
            <w:pPr>
              <w:numPr>
                <w:ilvl w:val="0"/>
                <w:numId w:val="32"/>
              </w:numPr>
              <w:spacing w:after="0"/>
              <w:rPr>
                <w:sz w:val="20"/>
              </w:rPr>
            </w:pPr>
            <w:r>
              <w:rPr>
                <w:sz w:val="20"/>
              </w:rPr>
              <w:t>Revisión del sistema de control interno (pruebas de procedimientos, pruebas de cumplimiento).</w:t>
            </w:r>
          </w:p>
          <w:p w14:paraId="0DAD5173" w14:textId="77777777" w:rsidR="00C4384E" w:rsidRDefault="007D2B33">
            <w:pPr>
              <w:numPr>
                <w:ilvl w:val="0"/>
                <w:numId w:val="32"/>
              </w:numPr>
              <w:spacing w:after="0"/>
              <w:rPr>
                <w:sz w:val="20"/>
              </w:rPr>
            </w:pPr>
            <w:r>
              <w:rPr>
                <w:sz w:val="20"/>
              </w:rPr>
              <w:t>Pruebas sustantivas:</w:t>
            </w:r>
          </w:p>
          <w:p w14:paraId="4D1A6133" w14:textId="77777777" w:rsidR="00C4384E" w:rsidRDefault="007D2B33">
            <w:pPr>
              <w:pStyle w:val="ListBullet2"/>
              <w:numPr>
                <w:ilvl w:val="0"/>
                <w:numId w:val="21"/>
              </w:numPr>
              <w:spacing w:after="0"/>
              <w:ind w:left="567"/>
              <w:jc w:val="left"/>
              <w:rPr>
                <w:sz w:val="20"/>
              </w:rPr>
            </w:pPr>
            <w:r>
              <w:rPr>
                <w:sz w:val="20"/>
              </w:rPr>
              <w:t>verificación de la autorización de los pagos (controles administrativos y sobre el terreno)</w:t>
            </w:r>
          </w:p>
          <w:p w14:paraId="080FB2C1" w14:textId="77777777" w:rsidR="00C4384E" w:rsidRDefault="002440CF">
            <w:pPr>
              <w:numPr>
                <w:ilvl w:val="0"/>
                <w:numId w:val="32"/>
              </w:numPr>
              <w:spacing w:after="0"/>
              <w:rPr>
                <w:sz w:val="20"/>
              </w:rPr>
            </w:pPr>
            <w:r>
              <w:rPr>
                <w:sz w:val="20"/>
              </w:rPr>
              <w:t xml:space="preserve">Revisión de los informes de gestión: </w:t>
            </w:r>
          </w:p>
          <w:p w14:paraId="5D4945B1" w14:textId="77777777" w:rsidR="00C4384E" w:rsidRDefault="007D2B33">
            <w:pPr>
              <w:pStyle w:val="ListBullet2"/>
              <w:numPr>
                <w:ilvl w:val="0"/>
                <w:numId w:val="21"/>
              </w:numPr>
              <w:spacing w:after="0"/>
              <w:ind w:left="567"/>
              <w:jc w:val="left"/>
              <w:rPr>
                <w:sz w:val="20"/>
              </w:rPr>
            </w:pPr>
            <w:r>
              <w:rPr>
                <w:sz w:val="20"/>
              </w:rPr>
              <w:t>Estadísticas de control, otros informes de control</w:t>
            </w:r>
          </w:p>
          <w:p w14:paraId="5F037E40" w14:textId="77777777" w:rsidR="00C4384E" w:rsidRDefault="002440CF">
            <w:pPr>
              <w:pStyle w:val="ListBullet2"/>
              <w:numPr>
                <w:ilvl w:val="0"/>
                <w:numId w:val="21"/>
              </w:numPr>
              <w:spacing w:after="0"/>
              <w:ind w:left="567"/>
              <w:jc w:val="left"/>
              <w:rPr>
                <w:sz w:val="20"/>
              </w:rPr>
            </w:pPr>
            <w:r>
              <w:rPr>
                <w:sz w:val="20"/>
              </w:rPr>
              <w:t>Planes de acción</w:t>
            </w:r>
          </w:p>
          <w:p w14:paraId="240F4D1F" w14:textId="77777777" w:rsidR="00C4384E" w:rsidRDefault="00C65717">
            <w:pPr>
              <w:pStyle w:val="ListBullet2"/>
              <w:numPr>
                <w:ilvl w:val="0"/>
                <w:numId w:val="21"/>
              </w:numPr>
              <w:spacing w:after="0"/>
              <w:ind w:left="567"/>
              <w:jc w:val="left"/>
              <w:rPr>
                <w:sz w:val="20"/>
              </w:rPr>
            </w:pPr>
            <w:r>
              <w:rPr>
                <w:sz w:val="20"/>
              </w:rPr>
              <w:t>Declaración sobre la gestión</w:t>
            </w:r>
          </w:p>
          <w:p w14:paraId="7A0E5901" w14:textId="77777777" w:rsidR="00C4384E" w:rsidRDefault="00C4384E">
            <w:pPr>
              <w:spacing w:after="0"/>
              <w:rPr>
                <w:sz w:val="20"/>
              </w:rPr>
            </w:pPr>
          </w:p>
        </w:tc>
        <w:tc>
          <w:tcPr>
            <w:tcW w:w="3510" w:type="dxa"/>
            <w:shd w:val="clear" w:color="auto" w:fill="auto"/>
          </w:tcPr>
          <w:p w14:paraId="331C62BD" w14:textId="1A30A0AB" w:rsidR="00C4384E" w:rsidRPr="004C779D" w:rsidRDefault="00E13E5B" w:rsidP="004C779D">
            <w:pPr>
              <w:numPr>
                <w:ilvl w:val="0"/>
                <w:numId w:val="35"/>
              </w:numPr>
              <w:spacing w:after="0"/>
              <w:rPr>
                <w:sz w:val="20"/>
              </w:rPr>
            </w:pPr>
            <w:r>
              <w:rPr>
                <w:sz w:val="20"/>
              </w:rPr>
              <w:t>Medición de la eficacia del sistema de control interno del OP: clasificación de los respectivos procedimientos de control, sobre la base de</w:t>
            </w:r>
          </w:p>
          <w:p w14:paraId="6304BFD4" w14:textId="77777777" w:rsidR="00C4384E" w:rsidRDefault="00C65717">
            <w:pPr>
              <w:pStyle w:val="ListBullet2"/>
              <w:numPr>
                <w:ilvl w:val="0"/>
                <w:numId w:val="21"/>
              </w:numPr>
              <w:spacing w:after="0"/>
              <w:ind w:left="567"/>
              <w:rPr>
                <w:sz w:val="20"/>
              </w:rPr>
            </w:pPr>
            <w:r>
              <w:rPr>
                <w:sz w:val="20"/>
              </w:rPr>
              <w:t xml:space="preserve">la revisión del sistema de control interno </w:t>
            </w:r>
          </w:p>
          <w:p w14:paraId="484019AF" w14:textId="77777777" w:rsidR="00C4384E" w:rsidRDefault="00C65717">
            <w:pPr>
              <w:pStyle w:val="ListBullet2"/>
              <w:numPr>
                <w:ilvl w:val="0"/>
                <w:numId w:val="21"/>
              </w:numPr>
              <w:spacing w:after="0"/>
              <w:ind w:left="567"/>
              <w:rPr>
                <w:sz w:val="20"/>
              </w:rPr>
            </w:pPr>
            <w:r>
              <w:rPr>
                <w:sz w:val="20"/>
              </w:rPr>
              <w:t xml:space="preserve">los resultados de las pruebas sustantivas: </w:t>
            </w:r>
            <w:r>
              <w:rPr>
                <w:b/>
                <w:sz w:val="20"/>
              </w:rPr>
              <w:t xml:space="preserve">índice de incumplimiento </w:t>
            </w:r>
          </w:p>
          <w:p w14:paraId="5E26171A" w14:textId="77777777" w:rsidR="00C4384E" w:rsidRDefault="00C4384E">
            <w:pPr>
              <w:pStyle w:val="ListBullet2"/>
              <w:numPr>
                <w:ilvl w:val="0"/>
                <w:numId w:val="0"/>
              </w:numPr>
              <w:spacing w:after="0"/>
              <w:rPr>
                <w:sz w:val="20"/>
              </w:rPr>
            </w:pPr>
          </w:p>
          <w:p w14:paraId="76513A0D" w14:textId="346F513F" w:rsidR="00C4384E" w:rsidRDefault="0048582C">
            <w:pPr>
              <w:numPr>
                <w:ilvl w:val="0"/>
                <w:numId w:val="35"/>
              </w:numPr>
              <w:spacing w:after="0"/>
              <w:rPr>
                <w:sz w:val="20"/>
              </w:rPr>
            </w:pPr>
            <w:r>
              <w:rPr>
                <w:b/>
                <w:bCs/>
                <w:sz w:val="20"/>
              </w:rPr>
              <w:t>Opinión de auditoría</w:t>
            </w:r>
            <w:r>
              <w:rPr>
                <w:sz w:val="20"/>
              </w:rPr>
              <w:t xml:space="preserve"> acerca de la legalidad y regularidad del gasto declarado al Fondo sobre la base de la letra a).</w:t>
            </w:r>
          </w:p>
          <w:p w14:paraId="252CFD5C" w14:textId="77777777" w:rsidR="00C4384E" w:rsidRDefault="00C4384E">
            <w:pPr>
              <w:spacing w:after="0"/>
              <w:rPr>
                <w:sz w:val="20"/>
              </w:rPr>
            </w:pPr>
          </w:p>
          <w:p w14:paraId="4A0076FB" w14:textId="77777777" w:rsidR="00C4384E" w:rsidRDefault="0048582C">
            <w:pPr>
              <w:numPr>
                <w:ilvl w:val="0"/>
                <w:numId w:val="35"/>
              </w:numPr>
              <w:spacing w:after="0"/>
              <w:rPr>
                <w:sz w:val="20"/>
              </w:rPr>
            </w:pPr>
            <w:r>
              <w:rPr>
                <w:b/>
                <w:bCs/>
                <w:sz w:val="20"/>
              </w:rPr>
              <w:t>Opinión negativa</w:t>
            </w:r>
            <w:r>
              <w:rPr>
                <w:sz w:val="20"/>
              </w:rPr>
              <w:t xml:space="preserve"> acerca de las afirmaciones incluidas en la declaración sobre la gestión, sobre la base de las letras a) y b) y revisión de los informes de gestión.</w:t>
            </w:r>
          </w:p>
        </w:tc>
        <w:tc>
          <w:tcPr>
            <w:tcW w:w="3549" w:type="dxa"/>
            <w:shd w:val="clear" w:color="auto" w:fill="auto"/>
          </w:tcPr>
          <w:p w14:paraId="0EE15CBE" w14:textId="77777777" w:rsidR="00C4384E" w:rsidRDefault="00C4384E">
            <w:pPr>
              <w:spacing w:after="0"/>
              <w:ind w:left="8"/>
              <w:rPr>
                <w:sz w:val="20"/>
              </w:rPr>
            </w:pPr>
          </w:p>
          <w:p w14:paraId="76AFAB87" w14:textId="77777777" w:rsidR="00C4384E" w:rsidRDefault="00C4384E">
            <w:pPr>
              <w:spacing w:after="0"/>
              <w:ind w:left="8"/>
              <w:rPr>
                <w:sz w:val="20"/>
              </w:rPr>
            </w:pPr>
          </w:p>
          <w:p w14:paraId="4C545753" w14:textId="77777777" w:rsidR="00C4384E" w:rsidRDefault="00C4384E">
            <w:pPr>
              <w:spacing w:after="0"/>
              <w:ind w:left="8"/>
              <w:rPr>
                <w:sz w:val="20"/>
              </w:rPr>
            </w:pPr>
          </w:p>
          <w:p w14:paraId="5AA6D99A" w14:textId="77777777" w:rsidR="00C4384E" w:rsidRDefault="002440CF">
            <w:pPr>
              <w:spacing w:after="0"/>
              <w:ind w:left="8"/>
              <w:rPr>
                <w:sz w:val="20"/>
              </w:rPr>
            </w:pPr>
            <w:r>
              <w:rPr>
                <w:sz w:val="20"/>
              </w:rPr>
              <w:t xml:space="preserve">Tras validar la opinión de los OC mediante la valoración de sus informes, los resultados de la auditoría deben tenerse en cuenta en el establecimiento </w:t>
            </w:r>
            <w:r>
              <w:rPr>
                <w:b/>
                <w:bCs/>
                <w:sz w:val="20"/>
              </w:rPr>
              <w:t>del nivel de riesgo en el informe anual de actividad de la DG AGRI</w:t>
            </w:r>
            <w:r>
              <w:rPr>
                <w:sz w:val="20"/>
              </w:rPr>
              <w:t>.</w:t>
            </w:r>
          </w:p>
          <w:p w14:paraId="4DF6C99A" w14:textId="77777777" w:rsidR="00C4384E" w:rsidRDefault="00C4384E">
            <w:pPr>
              <w:spacing w:after="0"/>
              <w:ind w:left="8"/>
              <w:rPr>
                <w:sz w:val="20"/>
              </w:rPr>
            </w:pPr>
          </w:p>
          <w:p w14:paraId="0FA0FEED" w14:textId="77777777" w:rsidR="00C4384E" w:rsidRDefault="002440CF">
            <w:pPr>
              <w:spacing w:after="0"/>
              <w:rPr>
                <w:sz w:val="20"/>
              </w:rPr>
            </w:pPr>
            <w:r>
              <w:rPr>
                <w:sz w:val="20"/>
              </w:rPr>
              <w:t>Sobre la base de estos resultados podrían iniciarse las auditorías de conformidad de los controles relativos a la autorización del pago del OP.</w:t>
            </w:r>
          </w:p>
          <w:p w14:paraId="2E6085BE" w14:textId="77777777" w:rsidR="00C4384E" w:rsidRDefault="002440CF">
            <w:pPr>
              <w:spacing w:after="0"/>
              <w:rPr>
                <w:sz w:val="20"/>
              </w:rPr>
            </w:pPr>
            <w:r>
              <w:rPr>
                <w:sz w:val="20"/>
              </w:rPr>
              <w:t xml:space="preserve">Si el trabajo del OC sobre la legalidad y la regularidad se considera fiable, los resultados del OC han de considerarse </w:t>
            </w:r>
            <w:r>
              <w:rPr>
                <w:b/>
                <w:bCs/>
                <w:sz w:val="20"/>
              </w:rPr>
              <w:t>resultados propios de la DG AGRI</w:t>
            </w:r>
            <w:r>
              <w:rPr>
                <w:sz w:val="20"/>
              </w:rPr>
              <w:t>.</w:t>
            </w:r>
          </w:p>
        </w:tc>
      </w:tr>
    </w:tbl>
    <w:p w14:paraId="7FF4C25F" w14:textId="77777777" w:rsidR="00C4384E" w:rsidRDefault="007D2B33">
      <w:pPr>
        <w:jc w:val="center"/>
        <w:sectPr w:rsidR="00C4384E">
          <w:footerReference w:type="first" r:id="rId19"/>
          <w:pgSz w:w="16838" w:h="11906" w:orient="landscape"/>
          <w:pgMar w:top="1587" w:right="1020" w:bottom="1701" w:left="1020" w:header="601" w:footer="1077" w:gutter="0"/>
          <w:cols w:space="720"/>
          <w:titlePg/>
          <w:docGrid w:linePitch="326"/>
        </w:sectPr>
      </w:pPr>
      <w:r>
        <w:rPr>
          <w:b/>
        </w:rPr>
        <w:t>Objetivos, enfoque y resultados de auditoría utilizados en los procedimientos de garantía de la DG AGRI</w:t>
      </w:r>
    </w:p>
    <w:p w14:paraId="6BD1AD92" w14:textId="77777777" w:rsidR="00C4384E" w:rsidRDefault="00C4384E">
      <w:pPr>
        <w:keepNext/>
        <w:spacing w:before="240"/>
        <w:outlineLvl w:val="0"/>
      </w:pPr>
    </w:p>
    <w:p w14:paraId="65FCAC01" w14:textId="77777777" w:rsidR="00C4384E" w:rsidRDefault="00E35883">
      <w:pPr>
        <w:pStyle w:val="Heading1"/>
      </w:pPr>
      <w:bookmarkStart w:id="10" w:name="_Toc16667592"/>
      <w:r>
        <w:t>Modelo de riesgo de auditoría y procedimientos de auditoría</w:t>
      </w:r>
      <w:bookmarkEnd w:id="10"/>
    </w:p>
    <w:p w14:paraId="295F86D8" w14:textId="77777777" w:rsidR="00C4384E" w:rsidRDefault="008C2DE6">
      <w:pPr>
        <w:spacing w:beforeLines="1" w:before="2" w:afterLines="1" w:after="2"/>
      </w:pPr>
      <w:r>
        <w:t>El objetivo del OC es obtener evidencia de auditoría adecuada suficiente en relación con los riesgos valorados de incorrecciones materiales, mediante la planificación y la aplicación de respuestas adecuadas a los riesgos identificados durante la auditoría.</w:t>
      </w:r>
    </w:p>
    <w:p w14:paraId="50C4D633" w14:textId="77777777" w:rsidR="00C4384E" w:rsidRDefault="00905A70">
      <w:pPr>
        <w:pStyle w:val="Heading2"/>
        <w:ind w:left="0"/>
      </w:pPr>
      <w:bookmarkStart w:id="11" w:name="_Toc16667593"/>
      <w:r>
        <w:t>4.1 Modelo de riesgo de auditoría</w:t>
      </w:r>
      <w:bookmarkEnd w:id="11"/>
    </w:p>
    <w:p w14:paraId="2A5A322E" w14:textId="1AFFFCE6" w:rsidR="00C4384E" w:rsidRDefault="00C305F4">
      <w:pPr>
        <w:spacing w:beforeLines="1" w:before="2" w:afterLines="1" w:after="2"/>
      </w:pPr>
      <w:r>
        <w:t>Un modelo de riesgo de auditoría resulta necesario para planificar el encargo de auditoría y para determinar los procedimientos de auditoría.</w:t>
      </w:r>
      <w:r w:rsidR="00805BA2">
        <w:t xml:space="preserve"> </w:t>
      </w:r>
    </w:p>
    <w:p w14:paraId="6143C568" w14:textId="69ED617C" w:rsidR="00C4384E" w:rsidRDefault="00AD0864">
      <w:pPr>
        <w:spacing w:beforeLines="1" w:before="2" w:afterLines="1" w:after="2"/>
      </w:pPr>
      <w:r>
        <w:t xml:space="preserve">El modelo de </w:t>
      </w:r>
      <w:r>
        <w:rPr>
          <w:b/>
          <w:bCs/>
        </w:rPr>
        <w:t>riesgo de auditoría</w:t>
      </w:r>
      <w:r>
        <w:t xml:space="preserve"> para la auditoría del FEAGA/Feader se ajusta al modelo de riesgo de auditoría de los Fondos EIE</w:t>
      </w:r>
      <w:r>
        <w:rPr>
          <w:rStyle w:val="FootnoteReference"/>
        </w:rPr>
        <w:footnoteReference w:id="4"/>
      </w:r>
      <w:r>
        <w:t>.</w:t>
      </w:r>
      <w:r>
        <w:rPr>
          <w:rFonts w:ascii="Times New Roman,Bold" w:hAnsi="Times New Roman,Bold"/>
        </w:rPr>
        <w:t xml:space="preserve"> </w:t>
      </w:r>
    </w:p>
    <w:p w14:paraId="7FF9178B" w14:textId="77777777" w:rsidR="00C4384E" w:rsidRDefault="00B1357F">
      <w:pPr>
        <w:pStyle w:val="NormalWeb"/>
        <w:spacing w:before="2" w:after="2"/>
        <w:jc w:val="both"/>
        <w:rPr>
          <w:rFonts w:ascii="Times New Roman" w:hAnsi="Times New Roman"/>
          <w:sz w:val="20"/>
          <w:szCs w:val="20"/>
        </w:rPr>
      </w:pPr>
      <w:r>
        <w:rPr>
          <w:rFonts w:ascii="Times New Roman" w:hAnsi="Times New Roman"/>
        </w:rPr>
        <w:t xml:space="preserve">El </w:t>
      </w:r>
      <w:r>
        <w:rPr>
          <w:rFonts w:ascii="Times New Roman" w:hAnsi="Times New Roman"/>
          <w:b/>
          <w:bCs/>
        </w:rPr>
        <w:t>riesgo de auditoría (RA)</w:t>
      </w:r>
      <w:r>
        <w:rPr>
          <w:rFonts w:ascii="Times New Roman" w:hAnsi="Times New Roman"/>
        </w:rPr>
        <w:t xml:space="preserve"> es el riesgo de que el auditor emita una opinión sin reservas, cuando la declaración de gastos contenga errores materiales. El OC necesita obtener un nivel de garantía del 95 % de sus procedimientos de auditoría con el fin de poder afirmar en su opinión de auditoría que cuenta con una «garantía razonable». Por lo tanto, el riesgo de auditoría es del 5 %. </w:t>
      </w:r>
    </w:p>
    <w:p w14:paraId="12093DDD" w14:textId="77777777" w:rsidR="00C4384E" w:rsidRDefault="00C4384E">
      <w:pPr>
        <w:spacing w:beforeLines="1" w:before="2" w:afterLines="1" w:after="2"/>
        <w:rPr>
          <w:sz w:val="20"/>
          <w:szCs w:val="20"/>
        </w:rPr>
      </w:pPr>
    </w:p>
    <w:p w14:paraId="0796FF43" w14:textId="69E49A47" w:rsidR="00C4384E" w:rsidRDefault="00B1357F">
      <w:pPr>
        <w:spacing w:beforeLines="1" w:before="2" w:afterLines="1" w:after="2"/>
        <w:rPr>
          <w:rFonts w:ascii="Times" w:hAnsi="Times"/>
          <w:sz w:val="20"/>
          <w:szCs w:val="20"/>
        </w:rPr>
      </w:pPr>
      <w:r>
        <w:t xml:space="preserve">Los tres componentes del riesgo de auditoría se denominan respectivamente riesgo inherente (RI), riesgo de control (RC) y riesgo de detección (RD), reflejados en el modelo de riesgo de auditoría como sigue: </w:t>
      </w:r>
    </w:p>
    <w:p w14:paraId="46CB54C1" w14:textId="77777777" w:rsidR="00C4384E" w:rsidRDefault="00C4384E">
      <w:pPr>
        <w:spacing w:beforeLines="1" w:before="2" w:afterLines="1" w:after="2"/>
        <w:jc w:val="left"/>
      </w:pPr>
    </w:p>
    <w:p w14:paraId="017F386C" w14:textId="77777777" w:rsidR="00C4384E" w:rsidRDefault="00B1357F">
      <w:pPr>
        <w:spacing w:beforeLines="1" w:before="2" w:afterLines="1" w:after="2"/>
        <w:jc w:val="center"/>
        <w:rPr>
          <w:rFonts w:ascii="Times" w:hAnsi="Times"/>
          <w:b/>
          <w:i/>
          <w:sz w:val="20"/>
          <w:szCs w:val="20"/>
        </w:rPr>
      </w:pPr>
      <w:r>
        <w:rPr>
          <w:b/>
          <w:i/>
        </w:rPr>
        <w:t>RA = RI x RC x RD</w:t>
      </w:r>
    </w:p>
    <w:p w14:paraId="08A44594" w14:textId="77777777" w:rsidR="00C4384E" w:rsidRDefault="00C4384E">
      <w:pPr>
        <w:spacing w:beforeLines="1" w:before="2" w:afterLines="1" w:after="2"/>
        <w:jc w:val="left"/>
        <w:rPr>
          <w:sz w:val="20"/>
          <w:szCs w:val="20"/>
        </w:rPr>
      </w:pPr>
    </w:p>
    <w:p w14:paraId="210DF70A" w14:textId="6DFF91B3" w:rsidR="00C4384E" w:rsidRDefault="004D1F4F">
      <w:pPr>
        <w:spacing w:beforeLines="1" w:before="2" w:afterLines="1" w:after="2"/>
      </w:pPr>
      <w:r>
        <w:t xml:space="preserve">El </w:t>
      </w:r>
      <w:r>
        <w:rPr>
          <w:b/>
          <w:bCs/>
        </w:rPr>
        <w:t>riesgo inherente (RI)</w:t>
      </w:r>
      <w:r>
        <w:t xml:space="preserve"> es el nivel percibido de riesgo de que se produzca un error material en las declaraciones de gastos certificadas presentadas a la Comisión, o en los niveles subyacentes de transacciones, a falta de procedimientos de control interno. El riesgo inherente está vinculado a las actividades del organismo pagador y dependerá de factores externos (culturales, políticos, económicos, actividades empresariales, clientes y proveedores, etc.) e internos (tipo de organización, procedimientos, competencia del personal, modificaciones recientes de los procesos o de los puestos de gestión, etc.). El riesgo inherente debe valorarse antes de que empiecen los procedimientos de auditoría detallados (entrevistas con la dirección y el personal clave, análisis de la información contextual, como organigramas, manuales y documentos internos y externos). El OC debe valorar el riesgo inherente al nivel que proceda (estrato o población) y puede valorar el riesgo inherente como elevado (100 %) o bajo (60 %). Basándose en su criterio profesional, el OC debe identificar entre los riesgos inherentes aquellos que requieran </w:t>
      </w:r>
      <w:r>
        <w:lastRenderedPageBreak/>
        <w:t>una consideración especial (a saber, constituyen un riesgo considerable</w:t>
      </w:r>
      <w:r>
        <w:rPr>
          <w:rStyle w:val="FootnoteReference"/>
        </w:rPr>
        <w:footnoteReference w:id="5"/>
      </w:r>
      <w:r>
        <w:t>). Los riesgos significativos pueden estar asociados a regímenes, medidas o transacciones que sean complejos, estén gestionados por terceros, sean propensos al fraude, estén sujetos a un alto grado de subjetividad, etc. Por ejemplo, si se dan todas las condiciones anteriores, el punto de partida para esta población/estrato debe ser riesgo inherente elevado. Esto es especialmente válido para las poblaciones no SIGC (FEAGA, Feader). En caso de que el OC considere que una población no SIGC es una población con un riesgo inherente bajo, este juicio debe explicarse en la estrategia de auditoría y en el informe de certificación.</w:t>
      </w:r>
    </w:p>
    <w:p w14:paraId="2FCB096C" w14:textId="77777777" w:rsidR="00C4384E" w:rsidRDefault="00C4384E">
      <w:pPr>
        <w:spacing w:beforeLines="1" w:before="2" w:afterLines="1" w:after="2"/>
        <w:jc w:val="left"/>
      </w:pPr>
    </w:p>
    <w:p w14:paraId="1B353AB5" w14:textId="77777777" w:rsidR="00C4384E" w:rsidRDefault="00C4384E">
      <w:pPr>
        <w:spacing w:beforeLines="1" w:before="2" w:afterLines="1" w:after="2"/>
        <w:jc w:val="left"/>
      </w:pPr>
    </w:p>
    <w:p w14:paraId="6419F201" w14:textId="77777777" w:rsidR="00C4384E" w:rsidRDefault="005F71A4">
      <w:pPr>
        <w:spacing w:beforeLines="1" w:before="2" w:afterLines="1" w:after="2"/>
        <w:jc w:val="left"/>
      </w:pPr>
      <w:r>
        <w:rPr>
          <w:noProof/>
          <w:lang w:val="en-US"/>
        </w:rPr>
        <w:drawing>
          <wp:inline distT="0" distB="0" distL="0" distR="0" wp14:anchorId="7770861F" wp14:editId="32D65C02">
            <wp:extent cx="4183380" cy="28575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83380" cy="2857500"/>
                    </a:xfrm>
                    <a:prstGeom prst="rect">
                      <a:avLst/>
                    </a:prstGeom>
                    <a:noFill/>
                    <a:ln>
                      <a:noFill/>
                    </a:ln>
                  </pic:spPr>
                </pic:pic>
              </a:graphicData>
            </a:graphic>
          </wp:inline>
        </w:drawing>
      </w:r>
    </w:p>
    <w:p w14:paraId="5265F40E" w14:textId="77777777" w:rsidR="00C4384E" w:rsidRDefault="004D1F4F">
      <w:pPr>
        <w:spacing w:beforeLines="1" w:before="2" w:afterLines="1" w:after="2"/>
      </w:pPr>
      <w:r>
        <w:t xml:space="preserve">El </w:t>
      </w:r>
      <w:r>
        <w:rPr>
          <w:b/>
          <w:bCs/>
        </w:rPr>
        <w:t>riesgo de control (RC)</w:t>
      </w:r>
      <w:r>
        <w:t xml:space="preserve"> es el nivel percibido de riesgo de que un error material no pueda ser evitado, detectado ni corregido por los procedimientos de control interno de la dirección en las declaraciones de gastos certificadas presentadas a la Comisión, o en los niveles subyacentes de transacciones. Como tales, los riesgos de control están relacionados con el modo como son gestionados (controlados) los riesgos inherentes y dependerán del sistema de control interno (SCI), incluidos los controles de la aplicación, los controles informáticos y los controles organizativos. Los riesgos de control pueden ser evaluados mediante </w:t>
      </w:r>
      <w:r>
        <w:rPr>
          <w:rFonts w:ascii="Times New Roman,Bold" w:hAnsi="Times New Roman,Bold"/>
        </w:rPr>
        <w:t>auditorías de sistemas</w:t>
      </w:r>
      <w:r>
        <w:t xml:space="preserve"> - pruebas detalladas de controles y presentación de informes, con el objetivo de demostrar la eficacia del planteamiento y del funcionamiento de un sistema de control a la hora de evitar o detectar errores materiales y la capacidad de la organización para registrar, tratar, resumir y comunicar los datos. El riesgo de control debe valorarse como sigue: bajo (controles fiables) o elevado (controles no fiables).</w:t>
      </w:r>
    </w:p>
    <w:p w14:paraId="2C509D98" w14:textId="77777777" w:rsidR="00C4384E" w:rsidRDefault="00C4384E">
      <w:pPr>
        <w:spacing w:beforeLines="1" w:before="2" w:afterLines="1" w:after="2"/>
        <w:rPr>
          <w:sz w:val="20"/>
          <w:szCs w:val="20"/>
        </w:rPr>
      </w:pPr>
    </w:p>
    <w:p w14:paraId="2BBAA843" w14:textId="00856F26" w:rsidR="00C4384E" w:rsidRDefault="00B2051F">
      <w:pPr>
        <w:spacing w:beforeLines="1" w:before="2" w:afterLines="1" w:after="2"/>
      </w:pPr>
      <w:r>
        <w:t xml:space="preserve">La evaluación de riesgos combinada, es decir (RI x RC), debe valorarse a partir de los conocimientos y experiencia de los auditores como mínima, baja, moderada o elevada en lugar de recurrir a probabilidades precisas. Si durante la auditoría de sistemas se detectan debilidades importantes, el riesgo de control es elevado y el nivel de garantía que debe </w:t>
      </w:r>
      <w:r>
        <w:lastRenderedPageBreak/>
        <w:t xml:space="preserve">obtenerse del sistema es bajo (evaluación de riesgos combinada moderada o elevada). Si no existen debilidades importantes, el riesgo de control es bajo y si el riesgo inherente también es bajo, el nivel de garantía obtenido del sistema es elevado (evaluación de riesgos combinada mínima). </w:t>
      </w:r>
    </w:p>
    <w:p w14:paraId="32D5D63A" w14:textId="77777777" w:rsidR="00C4384E" w:rsidRDefault="00C4384E">
      <w:pPr>
        <w:spacing w:beforeLines="1" w:before="2" w:afterLines="1" w:after="2"/>
      </w:pPr>
    </w:p>
    <w:tbl>
      <w:tblPr>
        <w:tblStyle w:val="TableGrid"/>
        <w:tblW w:w="0" w:type="auto"/>
        <w:tblLook w:val="04A0" w:firstRow="1" w:lastRow="0" w:firstColumn="1" w:lastColumn="0" w:noHBand="0" w:noVBand="1"/>
      </w:tblPr>
      <w:tblGrid>
        <w:gridCol w:w="2207"/>
        <w:gridCol w:w="2206"/>
        <w:gridCol w:w="2206"/>
        <w:gridCol w:w="2214"/>
      </w:tblGrid>
      <w:tr w:rsidR="00C4384E" w14:paraId="172710D3" w14:textId="77777777">
        <w:tc>
          <w:tcPr>
            <w:tcW w:w="2207" w:type="dxa"/>
            <w:vMerge w:val="restart"/>
          </w:tcPr>
          <w:p w14:paraId="50883846" w14:textId="77777777" w:rsidR="00C4384E" w:rsidRDefault="00C4384E">
            <w:pPr>
              <w:spacing w:beforeLines="1" w:before="2" w:afterLines="1" w:after="2"/>
              <w:jc w:val="center"/>
            </w:pPr>
          </w:p>
          <w:p w14:paraId="14E3C108" w14:textId="77777777" w:rsidR="00C4384E" w:rsidRDefault="00C4384E">
            <w:pPr>
              <w:spacing w:beforeLines="1" w:before="2" w:afterLines="1" w:after="2"/>
              <w:jc w:val="center"/>
            </w:pPr>
          </w:p>
          <w:p w14:paraId="0070FD18" w14:textId="77777777" w:rsidR="00C4384E" w:rsidRDefault="00C4384E">
            <w:pPr>
              <w:spacing w:beforeLines="1" w:before="2" w:afterLines="1" w:after="2"/>
              <w:jc w:val="center"/>
            </w:pPr>
          </w:p>
          <w:p w14:paraId="09AA2324" w14:textId="77777777" w:rsidR="00C4384E" w:rsidRDefault="0000082F">
            <w:pPr>
              <w:spacing w:beforeLines="1" w:before="2" w:afterLines="1" w:after="2"/>
              <w:jc w:val="center"/>
            </w:pPr>
            <w:r>
              <w:t>Valoración del riesgo inherente</w:t>
            </w:r>
          </w:p>
        </w:tc>
        <w:tc>
          <w:tcPr>
            <w:tcW w:w="2206" w:type="dxa"/>
          </w:tcPr>
          <w:p w14:paraId="5F12D001" w14:textId="77777777" w:rsidR="00C4384E" w:rsidRDefault="00C4384E">
            <w:pPr>
              <w:spacing w:beforeLines="1" w:before="2" w:afterLines="1" w:after="2"/>
            </w:pPr>
          </w:p>
        </w:tc>
        <w:tc>
          <w:tcPr>
            <w:tcW w:w="4420" w:type="dxa"/>
            <w:gridSpan w:val="2"/>
          </w:tcPr>
          <w:p w14:paraId="6FC296FB" w14:textId="77777777" w:rsidR="00C4384E" w:rsidRDefault="0000082F">
            <w:pPr>
              <w:spacing w:beforeLines="1" w:before="2" w:afterLines="1" w:after="2"/>
              <w:jc w:val="center"/>
            </w:pPr>
            <w:r>
              <w:t>Valoración del riesgo de control</w:t>
            </w:r>
          </w:p>
        </w:tc>
      </w:tr>
      <w:tr w:rsidR="00C4384E" w14:paraId="71E5D896" w14:textId="77777777">
        <w:tc>
          <w:tcPr>
            <w:tcW w:w="2207" w:type="dxa"/>
            <w:vMerge/>
          </w:tcPr>
          <w:p w14:paraId="50BD2905" w14:textId="77777777" w:rsidR="00C4384E" w:rsidRDefault="00C4384E">
            <w:pPr>
              <w:spacing w:beforeLines="1" w:before="2" w:afterLines="1" w:after="2"/>
            </w:pPr>
          </w:p>
        </w:tc>
        <w:tc>
          <w:tcPr>
            <w:tcW w:w="2206" w:type="dxa"/>
          </w:tcPr>
          <w:p w14:paraId="03DB91C4" w14:textId="77777777" w:rsidR="00C4384E" w:rsidRDefault="00C4384E">
            <w:pPr>
              <w:spacing w:beforeLines="1" w:before="2" w:afterLines="1" w:after="2"/>
            </w:pPr>
          </w:p>
        </w:tc>
        <w:tc>
          <w:tcPr>
            <w:tcW w:w="2206" w:type="dxa"/>
          </w:tcPr>
          <w:p w14:paraId="1973C3BA" w14:textId="77777777" w:rsidR="00C4384E" w:rsidRDefault="0000082F">
            <w:pPr>
              <w:spacing w:beforeLines="1" w:before="2" w:afterLines="1" w:after="2"/>
              <w:jc w:val="center"/>
            </w:pPr>
            <w:r>
              <w:t>Fiabilidad de los controles (baja)</w:t>
            </w:r>
          </w:p>
        </w:tc>
        <w:tc>
          <w:tcPr>
            <w:tcW w:w="2214" w:type="dxa"/>
          </w:tcPr>
          <w:p w14:paraId="092880E7" w14:textId="77777777" w:rsidR="00C4384E" w:rsidRDefault="0000082F">
            <w:pPr>
              <w:spacing w:beforeLines="1" w:before="2" w:afterLines="1" w:after="2"/>
              <w:jc w:val="center"/>
            </w:pPr>
            <w:r>
              <w:t>No fiabilidad de los controles (elevada)</w:t>
            </w:r>
          </w:p>
        </w:tc>
      </w:tr>
      <w:tr w:rsidR="00C4384E" w14:paraId="398272AD" w14:textId="77777777">
        <w:tc>
          <w:tcPr>
            <w:tcW w:w="2207" w:type="dxa"/>
            <w:vMerge/>
          </w:tcPr>
          <w:p w14:paraId="19B2D4F3" w14:textId="77777777" w:rsidR="00C4384E" w:rsidRDefault="00C4384E">
            <w:pPr>
              <w:spacing w:beforeLines="1" w:before="2" w:afterLines="1" w:after="2"/>
            </w:pPr>
          </w:p>
        </w:tc>
        <w:tc>
          <w:tcPr>
            <w:tcW w:w="2206" w:type="dxa"/>
          </w:tcPr>
          <w:p w14:paraId="7CA03BD3" w14:textId="77777777" w:rsidR="00C4384E" w:rsidRDefault="0000082F">
            <w:pPr>
              <w:spacing w:beforeLines="1" w:before="2" w:afterLines="1" w:after="2"/>
            </w:pPr>
            <w:r>
              <w:t>Baja</w:t>
            </w:r>
          </w:p>
        </w:tc>
        <w:tc>
          <w:tcPr>
            <w:tcW w:w="2206" w:type="dxa"/>
          </w:tcPr>
          <w:p w14:paraId="2A240DC8" w14:textId="77777777" w:rsidR="00C4384E" w:rsidRDefault="0000082F">
            <w:pPr>
              <w:spacing w:beforeLines="1" w:before="2" w:afterLines="1" w:after="2"/>
              <w:jc w:val="center"/>
              <w:rPr>
                <w:b/>
              </w:rPr>
            </w:pPr>
            <w:r>
              <w:rPr>
                <w:b/>
              </w:rPr>
              <w:t>Mínima</w:t>
            </w:r>
          </w:p>
        </w:tc>
        <w:tc>
          <w:tcPr>
            <w:tcW w:w="2214" w:type="dxa"/>
          </w:tcPr>
          <w:p w14:paraId="44317C82" w14:textId="77777777" w:rsidR="00C4384E" w:rsidRDefault="0000082F">
            <w:pPr>
              <w:spacing w:beforeLines="1" w:before="2" w:afterLines="1" w:after="2"/>
              <w:jc w:val="center"/>
              <w:rPr>
                <w:b/>
              </w:rPr>
            </w:pPr>
            <w:r>
              <w:rPr>
                <w:b/>
              </w:rPr>
              <w:t>Moderada</w:t>
            </w:r>
          </w:p>
        </w:tc>
      </w:tr>
      <w:tr w:rsidR="00C4384E" w14:paraId="1AC5B8C2" w14:textId="77777777">
        <w:tc>
          <w:tcPr>
            <w:tcW w:w="2207" w:type="dxa"/>
            <w:vMerge/>
          </w:tcPr>
          <w:p w14:paraId="5C761C74" w14:textId="77777777" w:rsidR="00C4384E" w:rsidRDefault="00C4384E">
            <w:pPr>
              <w:spacing w:beforeLines="1" w:before="2" w:afterLines="1" w:after="2"/>
            </w:pPr>
          </w:p>
        </w:tc>
        <w:tc>
          <w:tcPr>
            <w:tcW w:w="2206" w:type="dxa"/>
          </w:tcPr>
          <w:p w14:paraId="3A2E8487" w14:textId="77777777" w:rsidR="00C4384E" w:rsidRDefault="0000082F">
            <w:pPr>
              <w:spacing w:beforeLines="1" w:before="2" w:afterLines="1" w:after="2"/>
            </w:pPr>
            <w:r>
              <w:t>Elevada</w:t>
            </w:r>
          </w:p>
        </w:tc>
        <w:tc>
          <w:tcPr>
            <w:tcW w:w="2206" w:type="dxa"/>
          </w:tcPr>
          <w:p w14:paraId="259F0896" w14:textId="77777777" w:rsidR="00C4384E" w:rsidRDefault="0000082F">
            <w:pPr>
              <w:spacing w:beforeLines="1" w:before="2" w:afterLines="1" w:after="2"/>
              <w:jc w:val="center"/>
              <w:rPr>
                <w:b/>
              </w:rPr>
            </w:pPr>
            <w:r>
              <w:rPr>
                <w:b/>
              </w:rPr>
              <w:t>Baja</w:t>
            </w:r>
          </w:p>
        </w:tc>
        <w:tc>
          <w:tcPr>
            <w:tcW w:w="2214" w:type="dxa"/>
          </w:tcPr>
          <w:p w14:paraId="6119184A" w14:textId="77777777" w:rsidR="00C4384E" w:rsidRDefault="0000082F">
            <w:pPr>
              <w:spacing w:beforeLines="1" w:before="2" w:afterLines="1" w:after="2"/>
              <w:jc w:val="center"/>
              <w:rPr>
                <w:b/>
              </w:rPr>
            </w:pPr>
            <w:r>
              <w:rPr>
                <w:b/>
              </w:rPr>
              <w:t>Elevada</w:t>
            </w:r>
          </w:p>
        </w:tc>
      </w:tr>
      <w:tr w:rsidR="00C4384E" w14:paraId="58A985D9" w14:textId="77777777">
        <w:tblPrEx>
          <w:tblLook w:val="0000" w:firstRow="0" w:lastRow="0" w:firstColumn="0" w:lastColumn="0" w:noHBand="0" w:noVBand="0"/>
        </w:tblPrEx>
        <w:trPr>
          <w:trHeight w:val="313"/>
        </w:trPr>
        <w:tc>
          <w:tcPr>
            <w:tcW w:w="2207" w:type="dxa"/>
            <w:vMerge/>
          </w:tcPr>
          <w:p w14:paraId="2E4DB734" w14:textId="77777777" w:rsidR="00C4384E" w:rsidRDefault="00C4384E">
            <w:pPr>
              <w:spacing w:beforeLines="1" w:before="2" w:afterLines="1" w:after="2"/>
              <w:ind w:left="108"/>
            </w:pPr>
          </w:p>
        </w:tc>
        <w:tc>
          <w:tcPr>
            <w:tcW w:w="2206" w:type="dxa"/>
          </w:tcPr>
          <w:p w14:paraId="767A1FBA" w14:textId="77777777" w:rsidR="00C4384E" w:rsidRDefault="0000082F">
            <w:pPr>
              <w:spacing w:beforeLines="1" w:before="2" w:afterLines="1" w:after="2"/>
            </w:pPr>
            <w:r>
              <w:t>Riesgo significativo</w:t>
            </w:r>
          </w:p>
        </w:tc>
        <w:tc>
          <w:tcPr>
            <w:tcW w:w="4420" w:type="dxa"/>
            <w:gridSpan w:val="2"/>
          </w:tcPr>
          <w:p w14:paraId="46201A9B" w14:textId="77777777" w:rsidR="00C4384E" w:rsidRDefault="0000082F">
            <w:pPr>
              <w:spacing w:beforeLines="1" w:before="2" w:afterLines="1" w:after="2"/>
              <w:ind w:left="108"/>
              <w:jc w:val="center"/>
            </w:pPr>
            <w:r>
              <w:t>Consideraciones de auditoría especiales</w:t>
            </w:r>
          </w:p>
        </w:tc>
      </w:tr>
    </w:tbl>
    <w:p w14:paraId="7A80B1FE" w14:textId="77777777" w:rsidR="00C4384E" w:rsidRDefault="00C4384E">
      <w:pPr>
        <w:spacing w:beforeLines="1" w:before="2" w:afterLines="1" w:after="2"/>
      </w:pPr>
    </w:p>
    <w:p w14:paraId="36394726" w14:textId="2A0A6868" w:rsidR="00C4384E" w:rsidRDefault="00F30453">
      <w:pPr>
        <w:spacing w:beforeLines="1" w:before="2" w:afterLines="1" w:after="2"/>
        <w:rPr>
          <w:rFonts w:ascii="Times" w:hAnsi="Times"/>
          <w:sz w:val="20"/>
          <w:szCs w:val="20"/>
        </w:rPr>
      </w:pPr>
      <w:r>
        <w:t>Otras explicaciones figuran en la sección 5: Valoración del sistema de control interno.</w:t>
      </w:r>
      <w:r w:rsidR="00805BA2">
        <w:t xml:space="preserve"> </w:t>
      </w:r>
    </w:p>
    <w:p w14:paraId="4E6B499B" w14:textId="5235BCB5" w:rsidR="00C4384E" w:rsidRDefault="00C4384E">
      <w:pPr>
        <w:spacing w:after="0"/>
        <w:jc w:val="left"/>
        <w:rPr>
          <w:sz w:val="20"/>
          <w:szCs w:val="20"/>
        </w:rPr>
      </w:pPr>
    </w:p>
    <w:p w14:paraId="11526C74" w14:textId="77777777" w:rsidR="00C4384E" w:rsidRDefault="00B1357F">
      <w:pPr>
        <w:spacing w:beforeLines="1" w:before="2" w:afterLines="1" w:after="2"/>
        <w:jc w:val="left"/>
      </w:pPr>
      <w:r>
        <w:t xml:space="preserve">El producto del riesgo inherente y del riesgo de control se denomina </w:t>
      </w:r>
      <w:r>
        <w:rPr>
          <w:rFonts w:ascii="Times New Roman,Bold" w:hAnsi="Times New Roman,Bold"/>
        </w:rPr>
        <w:t>riesgo de error material</w:t>
      </w:r>
      <w:r>
        <w:t>.</w:t>
      </w:r>
    </w:p>
    <w:p w14:paraId="2217518B" w14:textId="77777777" w:rsidR="00C4384E" w:rsidRDefault="00C4384E">
      <w:pPr>
        <w:spacing w:beforeLines="1" w:before="2" w:afterLines="1" w:after="2"/>
        <w:jc w:val="left"/>
      </w:pPr>
    </w:p>
    <w:p w14:paraId="73A00C32" w14:textId="77777777" w:rsidR="00C4384E" w:rsidRDefault="000B60AC">
      <w:pPr>
        <w:spacing w:beforeLines="1" w:before="2" w:afterLines="1" w:after="2"/>
        <w:jc w:val="center"/>
        <w:rPr>
          <w:b/>
          <w:i/>
          <w:sz w:val="20"/>
          <w:szCs w:val="20"/>
        </w:rPr>
      </w:pPr>
      <w:r>
        <w:rPr>
          <w:b/>
          <w:i/>
        </w:rPr>
        <w:t>RA = riesgo de incorrección material x RD</w:t>
      </w:r>
    </w:p>
    <w:p w14:paraId="5E00DE09" w14:textId="77777777" w:rsidR="00C4384E" w:rsidRDefault="00C4384E">
      <w:pPr>
        <w:spacing w:beforeLines="1" w:before="2" w:afterLines="1" w:after="2"/>
        <w:jc w:val="left"/>
      </w:pPr>
    </w:p>
    <w:p w14:paraId="6252F37B" w14:textId="77777777" w:rsidR="00C4384E" w:rsidRDefault="00B1357F">
      <w:pPr>
        <w:spacing w:beforeLines="1" w:before="2" w:afterLines="1" w:after="2"/>
        <w:jc w:val="left"/>
        <w:rPr>
          <w:sz w:val="20"/>
          <w:szCs w:val="20"/>
        </w:rPr>
      </w:pPr>
      <w:r>
        <w:t xml:space="preserve">El riesgo de error material está vinculado al resultado de las </w:t>
      </w:r>
      <w:r>
        <w:rPr>
          <w:rFonts w:ascii="Times New Roman,Bold" w:hAnsi="Times New Roman,Bold"/>
        </w:rPr>
        <w:t>auditorías de sistemas</w:t>
      </w:r>
      <w:r>
        <w:t xml:space="preserve">. </w:t>
      </w:r>
    </w:p>
    <w:p w14:paraId="2353AB53" w14:textId="77777777" w:rsidR="00C4384E" w:rsidRDefault="00C4384E">
      <w:pPr>
        <w:spacing w:beforeLines="1" w:before="2" w:afterLines="1" w:after="2"/>
        <w:jc w:val="left"/>
        <w:rPr>
          <w:sz w:val="20"/>
          <w:szCs w:val="20"/>
        </w:rPr>
      </w:pPr>
    </w:p>
    <w:p w14:paraId="5BE0495F" w14:textId="2A59C36B" w:rsidR="00C4384E" w:rsidRDefault="00AD0864">
      <w:pPr>
        <w:spacing w:beforeLines="1" w:before="2" w:afterLines="1" w:after="2"/>
        <w:rPr>
          <w:rFonts w:ascii="Times" w:hAnsi="Times"/>
          <w:sz w:val="20"/>
          <w:szCs w:val="20"/>
        </w:rPr>
      </w:pPr>
      <w:r>
        <w:t xml:space="preserve">El </w:t>
      </w:r>
      <w:r>
        <w:rPr>
          <w:b/>
          <w:bCs/>
        </w:rPr>
        <w:t xml:space="preserve">riesgo de detección </w:t>
      </w:r>
      <w:r>
        <w:t>es el nivel percibido de riesgo de que el auditor no detecte un error material en las declaraciones de gastos certificadas presentadas a la Comisión, o en los niveles subyacentes de transacciones. Los riesgos de detección están relacionados con la realización adecuada de las auditorías, en particular la metodología de muestreo, la competencia del personal, las técnicas de auditoría, las herramientas de auditoría, etc. Los riesgos de detección están relacionados con la realización de auditorías de las operaciones, incluidas pruebas sustantivas (es decir, pruebas de detalles de las transacciones, que se suelen basar en un muestreo de las operaciones). El riesgo de detección puede determinarse en función del riesgo de auditoría, del riesgo inherente y del riesgo de control definidos.</w:t>
      </w:r>
    </w:p>
    <w:p w14:paraId="466BA085" w14:textId="77777777" w:rsidR="00C4384E" w:rsidRDefault="00B2051F">
      <w:pPr>
        <w:jc w:val="center"/>
        <w:rPr>
          <w:i/>
        </w:rPr>
      </w:pPr>
      <w:r>
        <w:rPr>
          <w:i/>
        </w:rPr>
        <w:t>RD = RA / (RI x RC)</w:t>
      </w:r>
    </w:p>
    <w:p w14:paraId="29F9F472" w14:textId="77777777" w:rsidR="00C4384E" w:rsidRDefault="00905A70">
      <w:pPr>
        <w:pStyle w:val="Heading2"/>
      </w:pPr>
      <w:bookmarkStart w:id="12" w:name="_Toc16667594"/>
      <w:r>
        <w:t>4.2 Niveles de garantía para los procedimientos de auditoría</w:t>
      </w:r>
      <w:bookmarkEnd w:id="12"/>
    </w:p>
    <w:p w14:paraId="752382FE" w14:textId="77777777" w:rsidR="00C4384E" w:rsidRDefault="005E07A1">
      <w:pPr>
        <w:autoSpaceDE w:val="0"/>
        <w:autoSpaceDN w:val="0"/>
        <w:adjustRightInd w:val="0"/>
        <w:spacing w:after="0"/>
        <w:rPr>
          <w:sz w:val="20"/>
          <w:szCs w:val="20"/>
        </w:rPr>
      </w:pPr>
      <w:r>
        <w:t xml:space="preserve">El procedimiento de valoración del riesgo del OC tiene la finalidad de identificar y valorar el </w:t>
      </w:r>
      <w:r>
        <w:rPr>
          <w:b/>
          <w:bCs/>
        </w:rPr>
        <w:t>riesgo de incorrección material</w:t>
      </w:r>
      <w:r>
        <w:t>. Más adelante en la directriz, se explica cómo planificar y aplicar respuestas globales a través de pruebas y procedimientos de auditoría para afrontar los riesgos valorados de incorrección material.</w:t>
      </w:r>
    </w:p>
    <w:p w14:paraId="6E653259" w14:textId="77777777" w:rsidR="00C4384E" w:rsidRDefault="00C4384E">
      <w:pPr>
        <w:autoSpaceDE w:val="0"/>
        <w:autoSpaceDN w:val="0"/>
        <w:adjustRightInd w:val="0"/>
        <w:spacing w:after="0"/>
        <w:rPr>
          <w:sz w:val="20"/>
          <w:szCs w:val="20"/>
        </w:rPr>
      </w:pPr>
    </w:p>
    <w:p w14:paraId="3B4965B6" w14:textId="77777777" w:rsidR="00C4384E" w:rsidRDefault="005E07A1">
      <w:pPr>
        <w:pStyle w:val="Text1"/>
        <w:spacing w:after="120"/>
        <w:ind w:left="0"/>
      </w:pPr>
      <w:r>
        <w:t>Esta valoración del riesgo incluye varias etapas, que deben resumirse en el plan o en la estrategia de auditoría. Las normas de auditoría internacionalmente aceptadas suelen enumerar las etapas siguientes:</w:t>
      </w:r>
    </w:p>
    <w:p w14:paraId="09CFC7D2" w14:textId="77777777" w:rsidR="00C4384E" w:rsidRDefault="005E07A1">
      <w:pPr>
        <w:pStyle w:val="ListNumber1"/>
        <w:numPr>
          <w:ilvl w:val="0"/>
          <w:numId w:val="105"/>
        </w:numPr>
        <w:spacing w:after="120"/>
      </w:pPr>
      <w:r>
        <w:rPr>
          <w:b/>
          <w:bCs/>
        </w:rPr>
        <w:t>Conocimiento de la entidad y de su entorno</w:t>
      </w:r>
      <w:r>
        <w:t xml:space="preserve">, que debe incluir: </w:t>
      </w:r>
    </w:p>
    <w:p w14:paraId="03316875" w14:textId="6AA35AFF" w:rsidR="00C4384E" w:rsidRDefault="005E07A1">
      <w:pPr>
        <w:pStyle w:val="ListDash2"/>
        <w:numPr>
          <w:ilvl w:val="0"/>
          <w:numId w:val="76"/>
        </w:numPr>
        <w:spacing w:after="120"/>
      </w:pPr>
      <w:r>
        <w:t>El entorno de control, incluido el marco jurídico y reglamentario aplicable, basado en el conocimiento existente de los sistemas de gestión y control vigentes y, en particular, los riesgos identificados en períodos anteriores para cada variable que conlleve un nivel significativo de gasto. La evaluación de riesgos debe actualizarse continuamente relacionando las conclusiones de la auditoría del OC con potenciales mejoras y teniendo en cuenta las conclusiones de otros auditores, como el TCE, la Dirección Fiabilidad y Auditoría de la DG AGRI, etc.</w:t>
      </w:r>
    </w:p>
    <w:p w14:paraId="19810794" w14:textId="17E6DBEB" w:rsidR="00C4384E" w:rsidRDefault="005E07A1">
      <w:pPr>
        <w:pStyle w:val="ListDash2"/>
        <w:numPr>
          <w:ilvl w:val="0"/>
          <w:numId w:val="76"/>
        </w:numPr>
        <w:spacing w:after="120"/>
      </w:pPr>
      <w:r>
        <w:t xml:space="preserve">Las actividades de control (primarias y de seguimiento) y aquellas integradas en el sistema de información que constituye el soporte de los procesos principales; el </w:t>
      </w:r>
      <w:r>
        <w:lastRenderedPageBreak/>
        <w:t xml:space="preserve">auditor debe evaluar el planteamiento de dichos controles y determinar si se han implantado y si se aplican en la práctica [los componentes del sistema de control interno (SCI) se detallan en el Reglamento (UE) n.º 907/2014, el anexo 4 de la presente directriz y la directriz n.º 1 relativa a los criterios de autorización]. </w:t>
      </w:r>
    </w:p>
    <w:p w14:paraId="060C7FA7" w14:textId="0E8F7820" w:rsidR="00C4384E" w:rsidRDefault="005E07A1">
      <w:pPr>
        <w:pStyle w:val="ListNumber1"/>
        <w:numPr>
          <w:ilvl w:val="0"/>
          <w:numId w:val="85"/>
        </w:numPr>
        <w:spacing w:after="120"/>
      </w:pPr>
      <w:r>
        <w:rPr>
          <w:b/>
          <w:bCs/>
        </w:rPr>
        <w:t>Valoración de los cambios introducidos (en su caso) en el SCI</w:t>
      </w:r>
      <w:r>
        <w:t xml:space="preserve"> desde la última auditoría.</w:t>
      </w:r>
      <w:r>
        <w:tab/>
      </w:r>
      <w:r>
        <w:br/>
        <w:t>El OC debe valorar el impacto de las modificaciones introducidas en los sistemas organizativos y en los procedimientos desde la auditoría anterior, valorando así en qué medida el OP sigue cumpliendo los criterios de autorización. Los nuevos sistemas de organización pueden presentar un riesgo muy superior al de los sistemas ya consolidados de valor similar con una tasa de error históricamente reducida.</w:t>
      </w:r>
    </w:p>
    <w:p w14:paraId="2889EDB4" w14:textId="11DDE55A" w:rsidR="00C4384E" w:rsidRDefault="005E07A1">
      <w:pPr>
        <w:pStyle w:val="ListNumber1"/>
        <w:spacing w:after="120"/>
      </w:pPr>
      <w:r>
        <w:rPr>
          <w:b/>
          <w:bCs/>
        </w:rPr>
        <w:t>Valoración de la eficacia de la gestión del riesgo</w:t>
      </w:r>
      <w:r>
        <w:t xml:space="preserve">, con un enfoque centrado en los objetivos siguientes para el OP: comprender y priorizar los riesgos, identificar controles que den respuesta a los riesgos claves, incluidos los riesgos de fraude, identificar información que indique de manera convincente si el SCI está funcionando de forma eficaz, así como desarrollar e implantar procedimientos para evaluar dicha información. </w:t>
      </w:r>
    </w:p>
    <w:p w14:paraId="4E70E988" w14:textId="31002E7B" w:rsidR="00C4384E" w:rsidRDefault="005E07A1">
      <w:pPr>
        <w:pStyle w:val="ListNumber1"/>
        <w:spacing w:after="120"/>
      </w:pPr>
      <w:r>
        <w:rPr>
          <w:b/>
          <w:bCs/>
        </w:rPr>
        <w:t>Confirmar riesgos y orientar funciones.</w:t>
      </w:r>
      <w:r>
        <w:t xml:space="preserve"> Los riesgos de que se produzcan incorrecciones materiales se pueden desglosar en dos componentes (riesgos inherentes y riesgos de control) que deben evaluarse con respecto a las afirmaciones para las transacciones (operativas y no operativas) y las cuentas (véase la sección 5.3 de la presente Directriz). No obstante, el alcance de las verificaciones debe depender de los riesgos confirmados y de su impacto potencial y puede incluir una valoración regular (en cada ejercicio presupuestario) de funciones de control específicas</w:t>
      </w:r>
      <w:r>
        <w:rPr>
          <w:rStyle w:val="FootnoteReference"/>
        </w:rPr>
        <w:footnoteReference w:id="6"/>
      </w:r>
      <w:r>
        <w:t xml:space="preserve">. </w:t>
      </w:r>
    </w:p>
    <w:p w14:paraId="5CBBE9C2" w14:textId="77777777" w:rsidR="00C4384E" w:rsidRDefault="00A87B74">
      <w:pPr>
        <w:pStyle w:val="Heading2"/>
      </w:pPr>
      <w:bookmarkStart w:id="13" w:name="_Toc16667595"/>
      <w:r>
        <w:t>4.3 Utilización de las pruebas de auditoría obtenidas en auditorías anteriores y de otros auditores</w:t>
      </w:r>
      <w:bookmarkEnd w:id="13"/>
    </w:p>
    <w:p w14:paraId="3003B223" w14:textId="6F03E9C4" w:rsidR="00C4384E" w:rsidRDefault="005E07A1">
      <w:pPr>
        <w:pStyle w:val="Text1"/>
        <w:spacing w:before="240" w:after="120"/>
        <w:ind w:left="0"/>
      </w:pPr>
      <w:r>
        <w:t>El trabajo de auditoría del OC se puede racionalizar utilizando las pruebas de auditoría obtenidas en una auditoría anterior para la eficacia del funcionamiento de controles específicos. Con este fin, el OC debe determinar si los resultados de las auditorías anteriores continúan siendo relevantes, valorando si se han producido cambios significativos en dichos controles con posterioridad a la auditoría anterior, tal como se establece en la sección 3.2, apartado 2. El OC lleva a cabo esta valoración mediante la realización de indagaciones combinadas con procedimientos de observación o inspección, con el fin de confirmar el conocimiento de dichos controles específicos (véase la NIA 330, apartado 14):</w:t>
      </w:r>
    </w:p>
    <w:p w14:paraId="18D5A975" w14:textId="042BF02E" w:rsidR="00C4384E" w:rsidRDefault="005E07A1" w:rsidP="004C779D">
      <w:pPr>
        <w:pStyle w:val="ListNumber"/>
      </w:pPr>
      <w:r>
        <w:t xml:space="preserve">Si se han producido cambios que afectan a la relevancia de la evidencia de auditoría procedente de la auditoría anterior, el auditor debe realizar pruebas sobre los controles en la auditoría actual. </w:t>
      </w:r>
    </w:p>
    <w:p w14:paraId="57D29E95" w14:textId="43452D2C" w:rsidR="00C4384E" w:rsidRDefault="005E07A1">
      <w:pPr>
        <w:pStyle w:val="ListNumber"/>
        <w:spacing w:after="120"/>
      </w:pPr>
      <w:r>
        <w:lastRenderedPageBreak/>
        <w:t xml:space="preserve">Si no se han producido tales cambios, el auditor podría probar los controles al menos cada tres años y realizar pruebas sobre algunos controles fundamentales en los que tenga previsto confiar en el transcurso de cada auditoría. En este sentido, el OC puede instaurar un plan de rotación de controles, y establecer una correlación con los resultados de la valoración de riesgo, que se utilice para identificar los controles fundamentales de la auditoría. Durante el primer año de aplicación de la presente directriz, el OC podría seguir aplicando la rotación de las pruebas de control diseñadas en virtud de la directriz anterior, siempre y cuando no contradiga la metodología de auditoría en virtud de la presente directriz. </w:t>
      </w:r>
    </w:p>
    <w:p w14:paraId="461A92FE" w14:textId="77777777" w:rsidR="00C4384E" w:rsidRDefault="00A87B74">
      <w:pPr>
        <w:pStyle w:val="Heading2"/>
      </w:pPr>
      <w:bookmarkStart w:id="14" w:name="_Toc16667596"/>
      <w:r>
        <w:t>4.4 Enfoque de auditoría – respuestas del OC a los riesgos valorados y fortalecimiento de la garantía</w:t>
      </w:r>
      <w:bookmarkEnd w:id="14"/>
    </w:p>
    <w:p w14:paraId="04860473" w14:textId="77777777" w:rsidR="00C4384E" w:rsidRDefault="005E07A1">
      <w:pPr>
        <w:pStyle w:val="Text1"/>
        <w:spacing w:before="240" w:after="120"/>
        <w:ind w:left="0"/>
      </w:pPr>
      <w:r>
        <w:t xml:space="preserve">El enfoque de auditoría consta de procedimientos de ejecución con el fin de responder a los riesgos identificados de incorrección material, centrándose, por lo tanto, en las áreas y actividades de mayor riesgo a efectos de auditoría. </w:t>
      </w:r>
    </w:p>
    <w:p w14:paraId="24657204" w14:textId="263E9A54" w:rsidR="00C4384E" w:rsidRDefault="005E07A1">
      <w:pPr>
        <w:pStyle w:val="Text1"/>
        <w:spacing w:after="120"/>
        <w:ind w:left="0"/>
      </w:pPr>
      <w:r>
        <w:t xml:space="preserve">El enfoque de auditoría se basa en gran medida en la opinión que el auditor debe emitir con respecto al SCI del OP. Téngase en cuenta que los procedimientos sustantivos por sí solos no pueden proporcionar evidencia de auditoría apropiada suficiente al nivel de aseveración (NIA 330). </w:t>
      </w:r>
    </w:p>
    <w:p w14:paraId="62D3CCCE" w14:textId="77777777" w:rsidR="00C4384E" w:rsidRDefault="005E07A1">
      <w:pPr>
        <w:pStyle w:val="Text1"/>
        <w:spacing w:after="120"/>
        <w:ind w:left="0"/>
      </w:pPr>
      <w:r>
        <w:t xml:space="preserve">El OC debe obtener una seguridad razonable con respecto a lo siguiente: </w:t>
      </w:r>
    </w:p>
    <w:p w14:paraId="7264F45E" w14:textId="77777777" w:rsidR="00C4384E" w:rsidRDefault="005E07A1">
      <w:pPr>
        <w:pStyle w:val="ListNumberLevel2"/>
        <w:numPr>
          <w:ilvl w:val="0"/>
          <w:numId w:val="78"/>
        </w:numPr>
        <w:spacing w:before="240" w:after="120"/>
      </w:pPr>
      <w:r>
        <w:t>el correcto funcionamiento del SCI, incluido el cumplimiento de los criterios de autorización y la capacidad de los sistemas de gestión y control</w:t>
      </w:r>
      <w:r>
        <w:rPr>
          <w:rStyle w:val="FootnoteReference"/>
        </w:rPr>
        <w:footnoteReference w:id="7"/>
      </w:r>
      <w:r>
        <w:t xml:space="preserve"> (SGC) para reconocer y evaluar los riesgos operativos (auditoría de sistemas);</w:t>
      </w:r>
    </w:p>
    <w:p w14:paraId="25FFABD1" w14:textId="77777777" w:rsidR="00C4384E" w:rsidRDefault="005E07A1">
      <w:pPr>
        <w:pStyle w:val="ListNumberLevel2"/>
        <w:numPr>
          <w:ilvl w:val="0"/>
          <w:numId w:val="78"/>
        </w:numPr>
        <w:spacing w:after="120"/>
      </w:pPr>
      <w:r>
        <w:t>el cumplimiento de las leyes y reglamentos pertinentes (auditoría de la legalidad y regularidad del gasto);</w:t>
      </w:r>
    </w:p>
    <w:p w14:paraId="5C6F3988" w14:textId="77777777" w:rsidR="00C4384E" w:rsidRDefault="005E07A1">
      <w:pPr>
        <w:pStyle w:val="ListNumberLevel2"/>
        <w:numPr>
          <w:ilvl w:val="0"/>
          <w:numId w:val="78"/>
        </w:numPr>
        <w:spacing w:after="120"/>
      </w:pPr>
      <w:r>
        <w:t>la integridad, exactitud y veracidad de las cuentas, incluida la fiabilidad de los informes financieros (auditoría financiera).</w:t>
      </w:r>
    </w:p>
    <w:p w14:paraId="31FEF09F" w14:textId="77777777" w:rsidR="00C4384E" w:rsidRDefault="005E07A1">
      <w:pPr>
        <w:pStyle w:val="Text1"/>
        <w:spacing w:after="120"/>
        <w:ind w:left="0"/>
      </w:pPr>
      <w:r>
        <w:t>Las conclusiones sobre estas tres cuestiones de auditoría distintas son interdependientes, en la medida en que la valoración de cualquiera de ellas puede afectar al resto.</w:t>
      </w:r>
    </w:p>
    <w:p w14:paraId="1C61D1EA" w14:textId="06EB0FCA" w:rsidR="00C4384E" w:rsidRDefault="000F572C">
      <w:pPr>
        <w:pStyle w:val="Text2"/>
        <w:ind w:left="0"/>
      </w:pPr>
      <w:r>
        <w:t xml:space="preserve">El grado total de garantía exigido a las pruebas de auditoría se establece en el 95 %. Esta garantía de auditoría se obtiene a partir de 1) la valoración del entorno de control (mediante la valoración del riesgo inherente y de control) y 2) las pruebas sustantivas de expedientes (pruebas detalladas basadas en el modelo de riesgo de auditoría establecido, el riesgo de detección valorado). </w:t>
      </w:r>
    </w:p>
    <w:p w14:paraId="6FBEC2CA" w14:textId="24A9BE73" w:rsidR="00C4384E" w:rsidRDefault="006C6C81">
      <w:pPr>
        <w:pStyle w:val="Text2"/>
        <w:ind w:left="0"/>
      </w:pPr>
      <w:r>
        <w:t xml:space="preserve">La </w:t>
      </w:r>
      <w:r>
        <w:rPr>
          <w:b/>
          <w:bCs/>
        </w:rPr>
        <w:t>garantía del sistema</w:t>
      </w:r>
      <w:r>
        <w:t xml:space="preserve"> representa la fiabilidad del sistema de control interno, incluido el cumplimiento de los criterios de autorización. Se determina sobre la base de la revisión del sistema de control interno (véase la sección 5). Sobre la base de este trabajo de auditoría, los cuatro niveles siguientes de fiabilidad en el sistema de control interno han de utilizarse para la evaluación de los procedimientos de control:</w:t>
      </w:r>
    </w:p>
    <w:p w14:paraId="0443B5D9" w14:textId="026AAB8C" w:rsidR="00C4384E" w:rsidRDefault="00D74FCF">
      <w:pPr>
        <w:pStyle w:val="Text2"/>
        <w:numPr>
          <w:ilvl w:val="0"/>
          <w:numId w:val="32"/>
        </w:numPr>
      </w:pPr>
      <w:r>
        <w:lastRenderedPageBreak/>
        <w:t>Funciona bien, solo se precisan pequeñas mejoras – Garantía del sistema elevada (media alta)</w:t>
      </w:r>
    </w:p>
    <w:p w14:paraId="34A4000D" w14:textId="311ACE90" w:rsidR="00C4384E" w:rsidRDefault="00D74FCF">
      <w:pPr>
        <w:pStyle w:val="Text2"/>
        <w:numPr>
          <w:ilvl w:val="0"/>
          <w:numId w:val="32"/>
        </w:numPr>
      </w:pPr>
      <w:r>
        <w:t>Funciona, pero son necesarias algunas mejoras – Garantía del sistema media</w:t>
      </w:r>
    </w:p>
    <w:p w14:paraId="12A2D1BC" w14:textId="1DC25591" w:rsidR="00C4384E" w:rsidRDefault="00D74FCF">
      <w:pPr>
        <w:pStyle w:val="Text2"/>
        <w:numPr>
          <w:ilvl w:val="0"/>
          <w:numId w:val="32"/>
        </w:numPr>
      </w:pPr>
      <w:r>
        <w:t>Funciona parcialmente, se precisan mejoras importantes – Garantía del sistema media baja</w:t>
      </w:r>
    </w:p>
    <w:p w14:paraId="0B54D910" w14:textId="54EAD514" w:rsidR="00C4384E" w:rsidRDefault="00C5109E">
      <w:pPr>
        <w:pStyle w:val="Text2"/>
        <w:numPr>
          <w:ilvl w:val="0"/>
          <w:numId w:val="32"/>
        </w:numPr>
      </w:pPr>
      <w:r>
        <w:t>Básicamente no funciona – Garantía del sistema baja.</w:t>
      </w:r>
    </w:p>
    <w:p w14:paraId="51180464" w14:textId="1EFBFBED" w:rsidR="00C4384E" w:rsidRDefault="00C5109E">
      <w:pPr>
        <w:spacing w:beforeLines="1" w:before="2" w:afterLines="1" w:after="2"/>
      </w:pPr>
      <w:r>
        <w:t xml:space="preserve">El </w:t>
      </w:r>
      <w:r>
        <w:rPr>
          <w:b/>
          <w:bCs/>
        </w:rPr>
        <w:t>nivel de garantía obtenido de las pruebas sustantivas</w:t>
      </w:r>
      <w:r>
        <w:t>, y, respectivamente, el nivel de confianza que realmente determine el tamaño de la muestra, dependerá del nivel de garantía obtenido de la auditoría del sistema. En general, la correlación entre la valoración del SCI (sección 5) y la garantía exigida de las pruebas sustantivas es inversa a la correlación entre la valoración del SCI y la garantía del sistema.</w:t>
      </w:r>
    </w:p>
    <w:p w14:paraId="216D5868" w14:textId="31ACA652" w:rsidR="00C4384E" w:rsidRDefault="00C4384E">
      <w:pPr>
        <w:pStyle w:val="ZDGName"/>
      </w:pPr>
    </w:p>
    <w:p w14:paraId="477575AD" w14:textId="77777777" w:rsidR="004C779D" w:rsidRDefault="004C779D">
      <w:pPr>
        <w:pStyle w:val="ZDGName"/>
      </w:pPr>
    </w:p>
    <w:p w14:paraId="7AE54CB8" w14:textId="77777777" w:rsidR="00C4384E" w:rsidRDefault="006B45F0">
      <w:pPr>
        <w:spacing w:beforeLines="1" w:before="2" w:afterLines="1" w:after="2"/>
      </w:pPr>
      <w:r>
        <w:rPr>
          <w:b/>
        </w:rPr>
        <w:t>Correlación entre la valoración del SCI, la garantía del sistema y el nivel de confianza</w:t>
      </w:r>
    </w:p>
    <w:tbl>
      <w:tblPr>
        <w:tblW w:w="829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2072"/>
        <w:gridCol w:w="2134"/>
        <w:gridCol w:w="2406"/>
      </w:tblGrid>
      <w:tr w:rsidR="00C4384E" w14:paraId="64D1E3BC" w14:textId="77777777">
        <w:tc>
          <w:tcPr>
            <w:tcW w:w="1687" w:type="dxa"/>
          </w:tcPr>
          <w:p w14:paraId="49BD1EDC" w14:textId="77777777" w:rsidR="00C4384E" w:rsidRDefault="0000082F">
            <w:pPr>
              <w:pStyle w:val="Text1"/>
              <w:spacing w:after="0"/>
              <w:ind w:left="0"/>
              <w:jc w:val="center"/>
              <w:rPr>
                <w:b/>
              </w:rPr>
            </w:pPr>
            <w:r>
              <w:rPr>
                <w:b/>
              </w:rPr>
              <w:t>Evaluación de riesgos combinada</w:t>
            </w:r>
          </w:p>
        </w:tc>
        <w:tc>
          <w:tcPr>
            <w:tcW w:w="2072" w:type="dxa"/>
            <w:shd w:val="clear" w:color="auto" w:fill="auto"/>
          </w:tcPr>
          <w:p w14:paraId="7755CD0A" w14:textId="77777777" w:rsidR="00C4384E" w:rsidRDefault="00AE7E77">
            <w:pPr>
              <w:pStyle w:val="Text1"/>
              <w:spacing w:after="0"/>
              <w:ind w:left="0"/>
              <w:jc w:val="center"/>
              <w:rPr>
                <w:b/>
              </w:rPr>
            </w:pPr>
            <w:r>
              <w:rPr>
                <w:b/>
              </w:rPr>
              <w:t>Valoración del SCI</w:t>
            </w:r>
          </w:p>
        </w:tc>
        <w:tc>
          <w:tcPr>
            <w:tcW w:w="2134" w:type="dxa"/>
          </w:tcPr>
          <w:p w14:paraId="31A7E0C9" w14:textId="77777777" w:rsidR="00C4384E" w:rsidRDefault="00AE7E77">
            <w:pPr>
              <w:pStyle w:val="Text1"/>
              <w:spacing w:after="0"/>
              <w:ind w:left="0"/>
              <w:jc w:val="center"/>
              <w:rPr>
                <w:b/>
              </w:rPr>
            </w:pPr>
            <w:r>
              <w:rPr>
                <w:b/>
              </w:rPr>
              <w:t xml:space="preserve">Garantía del sistema </w:t>
            </w:r>
          </w:p>
        </w:tc>
        <w:tc>
          <w:tcPr>
            <w:tcW w:w="2406" w:type="dxa"/>
          </w:tcPr>
          <w:p w14:paraId="10674515" w14:textId="77777777" w:rsidR="00C4384E" w:rsidRDefault="00AE7E77">
            <w:pPr>
              <w:pStyle w:val="Text1"/>
              <w:spacing w:after="0"/>
              <w:ind w:left="0"/>
              <w:jc w:val="center"/>
              <w:rPr>
                <w:b/>
              </w:rPr>
            </w:pPr>
            <w:r>
              <w:rPr>
                <w:b/>
              </w:rPr>
              <w:t>Garantía de las pruebas sustantivas</w:t>
            </w:r>
          </w:p>
        </w:tc>
      </w:tr>
      <w:tr w:rsidR="00C4384E" w14:paraId="4B034D1A" w14:textId="77777777">
        <w:tc>
          <w:tcPr>
            <w:tcW w:w="1687" w:type="dxa"/>
          </w:tcPr>
          <w:p w14:paraId="631A8A79" w14:textId="77777777" w:rsidR="00C4384E" w:rsidRDefault="0000082F">
            <w:pPr>
              <w:pStyle w:val="Text1"/>
              <w:spacing w:after="0"/>
              <w:ind w:left="0"/>
              <w:jc w:val="left"/>
            </w:pPr>
            <w:r>
              <w:t>Mínima</w:t>
            </w:r>
          </w:p>
        </w:tc>
        <w:tc>
          <w:tcPr>
            <w:tcW w:w="2072" w:type="dxa"/>
            <w:shd w:val="clear" w:color="auto" w:fill="auto"/>
          </w:tcPr>
          <w:p w14:paraId="0C3F225F" w14:textId="77777777" w:rsidR="00C4384E" w:rsidRDefault="00AE7E77">
            <w:pPr>
              <w:pStyle w:val="Text1"/>
              <w:spacing w:after="0"/>
              <w:ind w:left="0"/>
              <w:jc w:val="left"/>
            </w:pPr>
            <w:r>
              <w:t>Funciona bien</w:t>
            </w:r>
          </w:p>
        </w:tc>
        <w:tc>
          <w:tcPr>
            <w:tcW w:w="2134" w:type="dxa"/>
          </w:tcPr>
          <w:p w14:paraId="6D1644E4" w14:textId="77777777" w:rsidR="00C4384E" w:rsidRDefault="00AE7E77">
            <w:pPr>
              <w:pStyle w:val="Text1"/>
              <w:spacing w:after="0"/>
              <w:ind w:left="0"/>
              <w:jc w:val="center"/>
            </w:pPr>
            <w:r>
              <w:t>Alta (Media alta)</w:t>
            </w:r>
          </w:p>
        </w:tc>
        <w:tc>
          <w:tcPr>
            <w:tcW w:w="2406" w:type="dxa"/>
          </w:tcPr>
          <w:p w14:paraId="0A5DC961" w14:textId="77777777" w:rsidR="00C4384E" w:rsidRDefault="00AE7E77">
            <w:pPr>
              <w:pStyle w:val="Text1"/>
              <w:spacing w:after="0"/>
              <w:ind w:left="0"/>
              <w:jc w:val="center"/>
            </w:pPr>
            <w:r>
              <w:t>Baja/Media baja</w:t>
            </w:r>
          </w:p>
        </w:tc>
      </w:tr>
      <w:tr w:rsidR="00C4384E" w14:paraId="51BBE933" w14:textId="77777777">
        <w:tc>
          <w:tcPr>
            <w:tcW w:w="1687" w:type="dxa"/>
          </w:tcPr>
          <w:p w14:paraId="58B1C77E" w14:textId="77777777" w:rsidR="00C4384E" w:rsidRDefault="0000082F">
            <w:pPr>
              <w:pStyle w:val="Text1"/>
              <w:spacing w:after="0"/>
              <w:ind w:left="0"/>
              <w:jc w:val="left"/>
            </w:pPr>
            <w:r>
              <w:t>Baja</w:t>
            </w:r>
          </w:p>
        </w:tc>
        <w:tc>
          <w:tcPr>
            <w:tcW w:w="2072" w:type="dxa"/>
            <w:shd w:val="clear" w:color="auto" w:fill="auto"/>
          </w:tcPr>
          <w:p w14:paraId="373F1FF0" w14:textId="77777777" w:rsidR="00C4384E" w:rsidRDefault="00AE7E77">
            <w:pPr>
              <w:pStyle w:val="Text1"/>
              <w:spacing w:after="0"/>
              <w:ind w:left="0"/>
              <w:jc w:val="left"/>
            </w:pPr>
            <w:r>
              <w:t xml:space="preserve">Funciona </w:t>
            </w:r>
          </w:p>
        </w:tc>
        <w:tc>
          <w:tcPr>
            <w:tcW w:w="2134" w:type="dxa"/>
          </w:tcPr>
          <w:p w14:paraId="0BB91B00" w14:textId="77777777" w:rsidR="00C4384E" w:rsidRDefault="00AE7E77">
            <w:pPr>
              <w:pStyle w:val="Text1"/>
              <w:spacing w:after="0"/>
              <w:ind w:left="0"/>
              <w:jc w:val="center"/>
            </w:pPr>
            <w:r>
              <w:t>Media</w:t>
            </w:r>
          </w:p>
        </w:tc>
        <w:tc>
          <w:tcPr>
            <w:tcW w:w="2406" w:type="dxa"/>
          </w:tcPr>
          <w:p w14:paraId="574D7630" w14:textId="77777777" w:rsidR="00C4384E" w:rsidRDefault="00AE7E77">
            <w:pPr>
              <w:pStyle w:val="Text1"/>
              <w:spacing w:after="0"/>
              <w:ind w:left="0"/>
              <w:jc w:val="center"/>
            </w:pPr>
            <w:r>
              <w:t>Media</w:t>
            </w:r>
          </w:p>
        </w:tc>
      </w:tr>
      <w:tr w:rsidR="00C4384E" w14:paraId="547ECCD4" w14:textId="77777777">
        <w:tc>
          <w:tcPr>
            <w:tcW w:w="1687" w:type="dxa"/>
          </w:tcPr>
          <w:p w14:paraId="30EE3A98" w14:textId="77777777" w:rsidR="00C4384E" w:rsidRDefault="0000082F">
            <w:pPr>
              <w:pStyle w:val="Text1"/>
              <w:spacing w:after="0"/>
              <w:ind w:left="0"/>
              <w:jc w:val="left"/>
            </w:pPr>
            <w:r>
              <w:t>Moderada</w:t>
            </w:r>
          </w:p>
        </w:tc>
        <w:tc>
          <w:tcPr>
            <w:tcW w:w="2072" w:type="dxa"/>
            <w:shd w:val="clear" w:color="auto" w:fill="auto"/>
          </w:tcPr>
          <w:p w14:paraId="3E4AB6BB" w14:textId="77777777" w:rsidR="00C4384E" w:rsidRDefault="00AE7E77">
            <w:pPr>
              <w:pStyle w:val="Text1"/>
              <w:spacing w:after="0"/>
              <w:ind w:left="0"/>
              <w:jc w:val="left"/>
            </w:pPr>
            <w:r>
              <w:t>Funciona parcialmente</w:t>
            </w:r>
          </w:p>
        </w:tc>
        <w:tc>
          <w:tcPr>
            <w:tcW w:w="2134" w:type="dxa"/>
          </w:tcPr>
          <w:p w14:paraId="5350F1C9" w14:textId="77777777" w:rsidR="00C4384E" w:rsidRDefault="00AE7E77">
            <w:pPr>
              <w:pStyle w:val="Text1"/>
              <w:spacing w:after="0"/>
              <w:ind w:left="0"/>
              <w:jc w:val="center"/>
            </w:pPr>
            <w:r>
              <w:t>Media baja</w:t>
            </w:r>
          </w:p>
        </w:tc>
        <w:tc>
          <w:tcPr>
            <w:tcW w:w="2406" w:type="dxa"/>
          </w:tcPr>
          <w:p w14:paraId="63587B4B" w14:textId="77777777" w:rsidR="00C4384E" w:rsidRDefault="00AE7E77">
            <w:pPr>
              <w:pStyle w:val="Text1"/>
              <w:spacing w:after="0"/>
              <w:ind w:left="0"/>
              <w:jc w:val="center"/>
            </w:pPr>
            <w:r>
              <w:t>Media alta</w:t>
            </w:r>
          </w:p>
        </w:tc>
      </w:tr>
      <w:tr w:rsidR="00C4384E" w14:paraId="5D190506" w14:textId="77777777">
        <w:tc>
          <w:tcPr>
            <w:tcW w:w="1687" w:type="dxa"/>
          </w:tcPr>
          <w:p w14:paraId="1F84C007" w14:textId="77777777" w:rsidR="00C4384E" w:rsidRDefault="0000082F">
            <w:pPr>
              <w:pStyle w:val="Text1"/>
              <w:spacing w:after="0"/>
              <w:ind w:left="0"/>
              <w:jc w:val="left"/>
            </w:pPr>
            <w:r>
              <w:t>Elevada</w:t>
            </w:r>
          </w:p>
        </w:tc>
        <w:tc>
          <w:tcPr>
            <w:tcW w:w="2072" w:type="dxa"/>
            <w:shd w:val="clear" w:color="auto" w:fill="auto"/>
          </w:tcPr>
          <w:p w14:paraId="42C78C4F" w14:textId="77777777" w:rsidR="00C4384E" w:rsidRDefault="001510C4">
            <w:pPr>
              <w:pStyle w:val="Text1"/>
              <w:spacing w:after="0"/>
              <w:ind w:left="0"/>
              <w:jc w:val="left"/>
            </w:pPr>
            <w:r>
              <w:t>No funciona</w:t>
            </w:r>
          </w:p>
        </w:tc>
        <w:tc>
          <w:tcPr>
            <w:tcW w:w="2134" w:type="dxa"/>
          </w:tcPr>
          <w:p w14:paraId="7C5E7C47" w14:textId="77777777" w:rsidR="00C4384E" w:rsidRDefault="00AE7E77">
            <w:pPr>
              <w:pStyle w:val="Text1"/>
              <w:spacing w:after="0"/>
              <w:ind w:left="0"/>
              <w:jc w:val="center"/>
            </w:pPr>
            <w:r>
              <w:t>Baja</w:t>
            </w:r>
          </w:p>
        </w:tc>
        <w:tc>
          <w:tcPr>
            <w:tcW w:w="2406" w:type="dxa"/>
          </w:tcPr>
          <w:p w14:paraId="4FD297DE" w14:textId="77777777" w:rsidR="00C4384E" w:rsidRDefault="00AE7E77">
            <w:pPr>
              <w:pStyle w:val="Text1"/>
              <w:spacing w:after="0"/>
              <w:ind w:left="0"/>
              <w:jc w:val="center"/>
            </w:pPr>
            <w:r>
              <w:t>Elevada</w:t>
            </w:r>
          </w:p>
        </w:tc>
      </w:tr>
    </w:tbl>
    <w:p w14:paraId="23E2AE2B" w14:textId="77777777" w:rsidR="00C4384E" w:rsidRDefault="00C4384E">
      <w:pPr>
        <w:spacing w:beforeLines="1" w:before="2" w:afterLines="1" w:after="2"/>
        <w:rPr>
          <w:szCs w:val="20"/>
        </w:rPr>
      </w:pPr>
    </w:p>
    <w:p w14:paraId="4A406C2E" w14:textId="77777777" w:rsidR="00C4384E" w:rsidRDefault="00E3331E">
      <w:pPr>
        <w:spacing w:beforeLines="1" w:before="2" w:afterLines="1" w:after="2"/>
        <w:rPr>
          <w:szCs w:val="20"/>
        </w:rPr>
      </w:pPr>
      <w:r>
        <w:t xml:space="preserve">El cuadro siguiente ofrece ejemplos de niveles de garantía del sistema (procedentes de la evaluación de riesgos combinada: RI x RC) en relación con el riesgo de detección (RD) y, respectivamente, con la garantía que debe obtenerse de las pruebas sustantivas. </w:t>
      </w:r>
    </w:p>
    <w:p w14:paraId="24830245" w14:textId="77777777" w:rsidR="00C4384E" w:rsidRDefault="00C4384E">
      <w:pPr>
        <w:spacing w:beforeLines="1" w:before="2" w:afterLines="1" w:after="2"/>
        <w:rPr>
          <w:szCs w:val="20"/>
        </w:rPr>
      </w:pPr>
    </w:p>
    <w:p w14:paraId="50FAD793" w14:textId="4A7E3D46" w:rsidR="00C4384E" w:rsidRDefault="00DC7229">
      <w:pPr>
        <w:spacing w:beforeLines="1" w:before="2" w:afterLines="1" w:after="2"/>
        <w:rPr>
          <w:szCs w:val="20"/>
        </w:rPr>
      </w:pPr>
      <w:r>
        <w:t>Estos ejemplos establecen un marco para la creación del modelo de riesgo y del modelo de garantía de auditoría que deben ser aplicados por los OC en sus procedimientos de auditoría. El riesgo de auditoría real valorado por el organismo de certificación en el transcurso de la auditoría de certificación puede diferir de estos ejemplos concretos.</w:t>
      </w:r>
    </w:p>
    <w:p w14:paraId="422CF952" w14:textId="77777777" w:rsidR="00C4384E" w:rsidRDefault="00C4384E">
      <w:pPr>
        <w:pStyle w:val="ZDGName"/>
      </w:pPr>
    </w:p>
    <w:p w14:paraId="52658D3D" w14:textId="77777777" w:rsidR="00C4384E" w:rsidRDefault="006B45F0">
      <w:pPr>
        <w:pStyle w:val="Text2"/>
        <w:ind w:left="0"/>
        <w:jc w:val="center"/>
        <w:rPr>
          <w:b/>
        </w:rPr>
      </w:pPr>
      <w:r>
        <w:rPr>
          <w:b/>
        </w:rPr>
        <w:t>Ejemplos para la valoración del modelo de riesgo de auditoría y niveles de garantía correspondientes</w:t>
      </w:r>
    </w:p>
    <w:tbl>
      <w:tblPr>
        <w:tblW w:w="8898" w:type="dxa"/>
        <w:tblInd w:w="98" w:type="dxa"/>
        <w:tblLayout w:type="fixed"/>
        <w:tblCellMar>
          <w:left w:w="10" w:type="dxa"/>
          <w:right w:w="10" w:type="dxa"/>
        </w:tblCellMar>
        <w:tblLook w:val="04A0" w:firstRow="1" w:lastRow="0" w:firstColumn="1" w:lastColumn="0" w:noHBand="0" w:noVBand="1"/>
      </w:tblPr>
      <w:tblGrid>
        <w:gridCol w:w="1434"/>
        <w:gridCol w:w="2039"/>
        <w:gridCol w:w="2401"/>
        <w:gridCol w:w="1438"/>
        <w:gridCol w:w="1586"/>
      </w:tblGrid>
      <w:tr w:rsidR="00C4384E" w14:paraId="299DE74A" w14:textId="77777777" w:rsidTr="004C779D">
        <w:trPr>
          <w:trHeight w:hRule="exact" w:val="1105"/>
        </w:trPr>
        <w:tc>
          <w:tcPr>
            <w:tcW w:w="806" w:type="pct"/>
            <w:tcBorders>
              <w:top w:val="single" w:sz="4" w:space="0" w:color="auto"/>
              <w:left w:val="single" w:sz="4" w:space="0" w:color="auto"/>
            </w:tcBorders>
            <w:shd w:val="clear" w:color="auto" w:fill="FFFFFF"/>
            <w:vAlign w:val="center"/>
          </w:tcPr>
          <w:p w14:paraId="34CA5FED" w14:textId="40616885" w:rsidR="00C4384E" w:rsidRDefault="0065091F" w:rsidP="004C779D">
            <w:pPr>
              <w:spacing w:after="0" w:line="278" w:lineRule="exact"/>
              <w:jc w:val="center"/>
              <w:rPr>
                <w:rStyle w:val="Bodytext2Bold"/>
              </w:rPr>
            </w:pPr>
            <w:r>
              <w:rPr>
                <w:rStyle w:val="Bodytext2Bold"/>
              </w:rPr>
              <w:t>Evaluación de riesgos combinada</w:t>
            </w:r>
          </w:p>
        </w:tc>
        <w:tc>
          <w:tcPr>
            <w:tcW w:w="1146" w:type="pct"/>
            <w:tcBorders>
              <w:top w:val="single" w:sz="4" w:space="0" w:color="auto"/>
              <w:left w:val="single" w:sz="4" w:space="0" w:color="auto"/>
            </w:tcBorders>
            <w:shd w:val="clear" w:color="auto" w:fill="FFFFFF"/>
            <w:vAlign w:val="center"/>
          </w:tcPr>
          <w:p w14:paraId="52CED10D" w14:textId="77777777" w:rsidR="00C4384E" w:rsidRDefault="0065091F">
            <w:pPr>
              <w:spacing w:after="0" w:line="278" w:lineRule="exact"/>
              <w:jc w:val="center"/>
            </w:pPr>
            <w:r>
              <w:rPr>
                <w:rStyle w:val="Bodytext2Bold"/>
              </w:rPr>
              <w:t>Nivel de garantía obtenido de las auditorías del sistema</w:t>
            </w:r>
          </w:p>
        </w:tc>
        <w:tc>
          <w:tcPr>
            <w:tcW w:w="1349" w:type="pct"/>
            <w:tcBorders>
              <w:top w:val="single" w:sz="4" w:space="0" w:color="auto"/>
              <w:left w:val="single" w:sz="4" w:space="0" w:color="auto"/>
            </w:tcBorders>
            <w:shd w:val="clear" w:color="auto" w:fill="FFFFFF"/>
            <w:vAlign w:val="center"/>
          </w:tcPr>
          <w:p w14:paraId="7E90B54C" w14:textId="2BC92005" w:rsidR="00C4384E" w:rsidRDefault="00ED5661" w:rsidP="004C779D">
            <w:pPr>
              <w:spacing w:after="0" w:line="274" w:lineRule="exact"/>
              <w:ind w:left="180"/>
              <w:jc w:val="center"/>
            </w:pPr>
            <w:r>
              <w:rPr>
                <w:rStyle w:val="Bodytext2Bold"/>
              </w:rPr>
              <w:t>Garantía</w:t>
            </w:r>
            <w:r w:rsidR="004C779D">
              <w:rPr>
                <w:rStyle w:val="Bodytext2Bold"/>
              </w:rPr>
              <w:t xml:space="preserve"> </w:t>
            </w:r>
            <w:r w:rsidR="0065091F">
              <w:rPr>
                <w:rStyle w:val="Bodytext2Bold"/>
              </w:rPr>
              <w:t>del</w:t>
            </w:r>
            <w:r w:rsidR="004C779D">
              <w:rPr>
                <w:rStyle w:val="Bodytext2Bold"/>
              </w:rPr>
              <w:t xml:space="preserve"> </w:t>
            </w:r>
            <w:r w:rsidR="0065091F">
              <w:rPr>
                <w:rStyle w:val="Bodytext2Bold"/>
              </w:rPr>
              <w:t>sistema</w:t>
            </w:r>
          </w:p>
        </w:tc>
        <w:tc>
          <w:tcPr>
            <w:tcW w:w="808" w:type="pct"/>
            <w:tcBorders>
              <w:top w:val="single" w:sz="4" w:space="0" w:color="auto"/>
              <w:left w:val="single" w:sz="4" w:space="0" w:color="auto"/>
            </w:tcBorders>
            <w:shd w:val="clear" w:color="auto" w:fill="FFFFFF"/>
            <w:vAlign w:val="center"/>
          </w:tcPr>
          <w:p w14:paraId="52830B1A" w14:textId="67A9F8DE" w:rsidR="00C4384E" w:rsidRDefault="0065091F" w:rsidP="004C779D">
            <w:pPr>
              <w:spacing w:after="0"/>
            </w:pPr>
            <w:r>
              <w:rPr>
                <w:rStyle w:val="Bodytext2Bold"/>
              </w:rPr>
              <w:t>Nivel de</w:t>
            </w:r>
            <w:r w:rsidR="004C779D">
              <w:rPr>
                <w:rStyle w:val="Bodytext2Bold"/>
              </w:rPr>
              <w:t xml:space="preserve"> </w:t>
            </w:r>
            <w:r>
              <w:rPr>
                <w:rStyle w:val="Bodytext2Bold"/>
              </w:rPr>
              <w:t>confianza</w:t>
            </w:r>
          </w:p>
        </w:tc>
        <w:tc>
          <w:tcPr>
            <w:tcW w:w="891" w:type="pct"/>
            <w:tcBorders>
              <w:top w:val="single" w:sz="4" w:space="0" w:color="auto"/>
              <w:left w:val="single" w:sz="4" w:space="0" w:color="auto"/>
              <w:right w:val="single" w:sz="4" w:space="0" w:color="auto"/>
            </w:tcBorders>
            <w:shd w:val="clear" w:color="auto" w:fill="FFFFFF"/>
            <w:vAlign w:val="center"/>
          </w:tcPr>
          <w:p w14:paraId="084DBED0" w14:textId="1B2CF98E" w:rsidR="00C4384E" w:rsidRDefault="0065091F">
            <w:pPr>
              <w:spacing w:after="0"/>
              <w:ind w:left="320"/>
              <w:jc w:val="left"/>
            </w:pPr>
            <w:r>
              <w:rPr>
                <w:rStyle w:val="Bodytext2Bold"/>
              </w:rPr>
              <w:t>Riesgo de detección</w:t>
            </w:r>
          </w:p>
        </w:tc>
      </w:tr>
      <w:tr w:rsidR="00C4384E" w14:paraId="68F70ADB" w14:textId="77777777">
        <w:trPr>
          <w:trHeight w:hRule="exact" w:val="1288"/>
        </w:trPr>
        <w:tc>
          <w:tcPr>
            <w:tcW w:w="806" w:type="pct"/>
            <w:tcBorders>
              <w:top w:val="single" w:sz="4" w:space="0" w:color="auto"/>
              <w:left w:val="single" w:sz="4" w:space="0" w:color="auto"/>
            </w:tcBorders>
            <w:shd w:val="clear" w:color="auto" w:fill="FFFFFF"/>
          </w:tcPr>
          <w:p w14:paraId="29BEBE6D" w14:textId="77777777" w:rsidR="00C4384E" w:rsidRDefault="0065091F">
            <w:pPr>
              <w:spacing w:line="283" w:lineRule="exact"/>
              <w:ind w:left="160"/>
              <w:rPr>
                <w:rStyle w:val="Bodytext20"/>
              </w:rPr>
            </w:pPr>
            <w:r>
              <w:rPr>
                <w:rStyle w:val="Bodytext20"/>
              </w:rPr>
              <w:t>Mínima</w:t>
            </w:r>
          </w:p>
        </w:tc>
        <w:tc>
          <w:tcPr>
            <w:tcW w:w="1146" w:type="pct"/>
            <w:tcBorders>
              <w:top w:val="single" w:sz="4" w:space="0" w:color="auto"/>
              <w:left w:val="single" w:sz="4" w:space="0" w:color="auto"/>
            </w:tcBorders>
            <w:shd w:val="clear" w:color="auto" w:fill="FFFFFF"/>
            <w:vAlign w:val="center"/>
          </w:tcPr>
          <w:p w14:paraId="159C2C73" w14:textId="77777777" w:rsidR="00C4384E" w:rsidRDefault="0065091F">
            <w:pPr>
              <w:spacing w:line="283" w:lineRule="exact"/>
              <w:ind w:left="160"/>
              <w:jc w:val="left"/>
            </w:pPr>
            <w:r>
              <w:rPr>
                <w:rStyle w:val="Bodytext20"/>
              </w:rPr>
              <w:t>Funciona bien, solo se precisan pequeñas mejoras</w:t>
            </w:r>
          </w:p>
        </w:tc>
        <w:tc>
          <w:tcPr>
            <w:tcW w:w="1349" w:type="pct"/>
            <w:tcBorders>
              <w:top w:val="single" w:sz="4" w:space="0" w:color="auto"/>
              <w:left w:val="single" w:sz="4" w:space="0" w:color="auto"/>
            </w:tcBorders>
            <w:shd w:val="clear" w:color="auto" w:fill="FFFFFF"/>
          </w:tcPr>
          <w:p w14:paraId="2361EAE1" w14:textId="77777777" w:rsidR="00C4384E" w:rsidRDefault="0065091F">
            <w:pPr>
              <w:ind w:left="180"/>
              <w:jc w:val="center"/>
            </w:pPr>
            <w:r>
              <w:rPr>
                <w:rStyle w:val="Bodytext20"/>
              </w:rPr>
              <w:t>Alta (Media alta)</w:t>
            </w:r>
          </w:p>
        </w:tc>
        <w:tc>
          <w:tcPr>
            <w:tcW w:w="808" w:type="pct"/>
            <w:tcBorders>
              <w:top w:val="single" w:sz="4" w:space="0" w:color="auto"/>
              <w:left w:val="single" w:sz="4" w:space="0" w:color="auto"/>
            </w:tcBorders>
            <w:shd w:val="clear" w:color="auto" w:fill="FFFFFF"/>
            <w:vAlign w:val="center"/>
          </w:tcPr>
          <w:p w14:paraId="7E7C8EEE" w14:textId="77777777" w:rsidR="00C4384E" w:rsidRDefault="0065091F">
            <w:pPr>
              <w:spacing w:line="274" w:lineRule="exact"/>
            </w:pPr>
            <w:r>
              <w:rPr>
                <w:rStyle w:val="Bodytext20"/>
              </w:rPr>
              <w:t>Al menos el 60 %</w:t>
            </w:r>
          </w:p>
        </w:tc>
        <w:tc>
          <w:tcPr>
            <w:tcW w:w="891" w:type="pct"/>
            <w:tcBorders>
              <w:top w:val="single" w:sz="4" w:space="0" w:color="auto"/>
              <w:left w:val="single" w:sz="4" w:space="0" w:color="auto"/>
              <w:right w:val="single" w:sz="4" w:space="0" w:color="auto"/>
            </w:tcBorders>
            <w:shd w:val="clear" w:color="auto" w:fill="FFFFFF"/>
            <w:vAlign w:val="center"/>
          </w:tcPr>
          <w:p w14:paraId="0B842E76" w14:textId="77777777" w:rsidR="00C4384E" w:rsidRDefault="0065091F">
            <w:pPr>
              <w:spacing w:line="274" w:lineRule="exact"/>
            </w:pPr>
            <w:r>
              <w:rPr>
                <w:rStyle w:val="Bodytext20"/>
              </w:rPr>
              <w:t>Inferior o igual al 40 %</w:t>
            </w:r>
          </w:p>
        </w:tc>
      </w:tr>
      <w:tr w:rsidR="00C4384E" w14:paraId="6ADCCD09" w14:textId="77777777">
        <w:trPr>
          <w:trHeight w:hRule="exact" w:val="991"/>
        </w:trPr>
        <w:tc>
          <w:tcPr>
            <w:tcW w:w="806" w:type="pct"/>
            <w:tcBorders>
              <w:top w:val="single" w:sz="4" w:space="0" w:color="auto"/>
              <w:left w:val="single" w:sz="4" w:space="0" w:color="auto"/>
            </w:tcBorders>
            <w:shd w:val="clear" w:color="auto" w:fill="FFFFFF"/>
          </w:tcPr>
          <w:p w14:paraId="686850EB" w14:textId="77777777" w:rsidR="00C4384E" w:rsidRDefault="0065091F">
            <w:pPr>
              <w:spacing w:line="274" w:lineRule="exact"/>
              <w:ind w:left="160"/>
              <w:rPr>
                <w:rStyle w:val="Bodytext20"/>
              </w:rPr>
            </w:pPr>
            <w:r>
              <w:rPr>
                <w:rStyle w:val="Bodytext20"/>
              </w:rPr>
              <w:t>Baja</w:t>
            </w:r>
          </w:p>
        </w:tc>
        <w:tc>
          <w:tcPr>
            <w:tcW w:w="1146" w:type="pct"/>
            <w:tcBorders>
              <w:top w:val="single" w:sz="4" w:space="0" w:color="auto"/>
              <w:left w:val="single" w:sz="4" w:space="0" w:color="auto"/>
            </w:tcBorders>
            <w:shd w:val="clear" w:color="auto" w:fill="FFFFFF"/>
            <w:vAlign w:val="center"/>
          </w:tcPr>
          <w:p w14:paraId="04F52DA7" w14:textId="77777777" w:rsidR="00C4384E" w:rsidRDefault="0065091F">
            <w:pPr>
              <w:spacing w:line="274" w:lineRule="exact"/>
              <w:ind w:left="160"/>
              <w:jc w:val="left"/>
            </w:pPr>
            <w:r>
              <w:rPr>
                <w:rStyle w:val="Bodytext20"/>
              </w:rPr>
              <w:t>Funciona, pero se precisan algunas mejoras</w:t>
            </w:r>
          </w:p>
        </w:tc>
        <w:tc>
          <w:tcPr>
            <w:tcW w:w="1349" w:type="pct"/>
            <w:tcBorders>
              <w:top w:val="single" w:sz="4" w:space="0" w:color="auto"/>
              <w:left w:val="single" w:sz="4" w:space="0" w:color="auto"/>
            </w:tcBorders>
            <w:shd w:val="clear" w:color="auto" w:fill="FFFFFF"/>
          </w:tcPr>
          <w:p w14:paraId="4CE510D2" w14:textId="77777777" w:rsidR="00C4384E" w:rsidRDefault="0065091F">
            <w:pPr>
              <w:ind w:left="180"/>
              <w:jc w:val="center"/>
            </w:pPr>
            <w:r>
              <w:rPr>
                <w:rStyle w:val="Bodytext20"/>
              </w:rPr>
              <w:t>Media</w:t>
            </w:r>
          </w:p>
        </w:tc>
        <w:tc>
          <w:tcPr>
            <w:tcW w:w="808" w:type="pct"/>
            <w:tcBorders>
              <w:top w:val="single" w:sz="4" w:space="0" w:color="auto"/>
              <w:left w:val="single" w:sz="4" w:space="0" w:color="auto"/>
            </w:tcBorders>
            <w:shd w:val="clear" w:color="auto" w:fill="FFFFFF"/>
          </w:tcPr>
          <w:p w14:paraId="0AC32820" w14:textId="77777777" w:rsidR="00C4384E" w:rsidRDefault="0065091F">
            <w:r>
              <w:rPr>
                <w:rStyle w:val="Bodytext20"/>
              </w:rPr>
              <w:t>70 %</w:t>
            </w:r>
          </w:p>
        </w:tc>
        <w:tc>
          <w:tcPr>
            <w:tcW w:w="891" w:type="pct"/>
            <w:tcBorders>
              <w:top w:val="single" w:sz="4" w:space="0" w:color="auto"/>
              <w:left w:val="single" w:sz="4" w:space="0" w:color="auto"/>
              <w:right w:val="single" w:sz="4" w:space="0" w:color="auto"/>
            </w:tcBorders>
            <w:shd w:val="clear" w:color="auto" w:fill="FFFFFF"/>
          </w:tcPr>
          <w:p w14:paraId="7BE71350" w14:textId="77777777" w:rsidR="00C4384E" w:rsidRDefault="0065091F">
            <w:r>
              <w:rPr>
                <w:rStyle w:val="Bodytext20"/>
              </w:rPr>
              <w:t>30 %</w:t>
            </w:r>
          </w:p>
        </w:tc>
      </w:tr>
      <w:tr w:rsidR="00C4384E" w14:paraId="2CFF7FE2" w14:textId="77777777">
        <w:trPr>
          <w:trHeight w:hRule="exact" w:val="1417"/>
        </w:trPr>
        <w:tc>
          <w:tcPr>
            <w:tcW w:w="806" w:type="pct"/>
            <w:tcBorders>
              <w:top w:val="single" w:sz="4" w:space="0" w:color="auto"/>
              <w:left w:val="single" w:sz="4" w:space="0" w:color="auto"/>
            </w:tcBorders>
            <w:shd w:val="clear" w:color="auto" w:fill="FFFFFF"/>
          </w:tcPr>
          <w:p w14:paraId="33B2BE8B" w14:textId="77777777" w:rsidR="00C4384E" w:rsidRDefault="0065091F">
            <w:pPr>
              <w:spacing w:line="278" w:lineRule="exact"/>
              <w:ind w:left="160"/>
              <w:rPr>
                <w:rStyle w:val="Bodytext20"/>
              </w:rPr>
            </w:pPr>
            <w:r>
              <w:rPr>
                <w:rStyle w:val="Bodytext20"/>
              </w:rPr>
              <w:lastRenderedPageBreak/>
              <w:t>Moderada</w:t>
            </w:r>
          </w:p>
        </w:tc>
        <w:tc>
          <w:tcPr>
            <w:tcW w:w="1146" w:type="pct"/>
            <w:tcBorders>
              <w:top w:val="single" w:sz="4" w:space="0" w:color="auto"/>
              <w:left w:val="single" w:sz="4" w:space="0" w:color="auto"/>
            </w:tcBorders>
            <w:shd w:val="clear" w:color="auto" w:fill="FFFFFF"/>
            <w:vAlign w:val="center"/>
          </w:tcPr>
          <w:p w14:paraId="42BEFBD5" w14:textId="1A869EDB" w:rsidR="00C4384E" w:rsidRDefault="0065091F" w:rsidP="004C779D">
            <w:pPr>
              <w:spacing w:line="278" w:lineRule="exact"/>
              <w:ind w:left="160"/>
              <w:jc w:val="left"/>
            </w:pPr>
            <w:r>
              <w:rPr>
                <w:rStyle w:val="Bodytext20"/>
              </w:rPr>
              <w:t>Funciona parcialmente,</w:t>
            </w:r>
            <w:r w:rsidR="004C779D">
              <w:rPr>
                <w:rStyle w:val="Bodytext20"/>
              </w:rPr>
              <w:t xml:space="preserve"> </w:t>
            </w:r>
            <w:r>
              <w:rPr>
                <w:rStyle w:val="Bodytext20"/>
              </w:rPr>
              <w:t>se precisan mejoras importantes</w:t>
            </w:r>
          </w:p>
        </w:tc>
        <w:tc>
          <w:tcPr>
            <w:tcW w:w="1349" w:type="pct"/>
            <w:tcBorders>
              <w:top w:val="single" w:sz="4" w:space="0" w:color="auto"/>
              <w:left w:val="single" w:sz="4" w:space="0" w:color="auto"/>
            </w:tcBorders>
            <w:shd w:val="clear" w:color="auto" w:fill="FFFFFF"/>
          </w:tcPr>
          <w:p w14:paraId="33CFF3EB" w14:textId="5288EA96" w:rsidR="00C4384E" w:rsidRDefault="0065091F">
            <w:pPr>
              <w:ind w:left="180"/>
              <w:jc w:val="center"/>
            </w:pPr>
            <w:r>
              <w:t>Media baja</w:t>
            </w:r>
          </w:p>
        </w:tc>
        <w:tc>
          <w:tcPr>
            <w:tcW w:w="808" w:type="pct"/>
            <w:tcBorders>
              <w:top w:val="single" w:sz="4" w:space="0" w:color="auto"/>
              <w:left w:val="single" w:sz="4" w:space="0" w:color="auto"/>
            </w:tcBorders>
            <w:shd w:val="clear" w:color="auto" w:fill="FFFFFF"/>
          </w:tcPr>
          <w:p w14:paraId="4BCD5A88" w14:textId="77777777" w:rsidR="00C4384E" w:rsidRDefault="0065091F">
            <w:r>
              <w:rPr>
                <w:rStyle w:val="Bodytext20"/>
              </w:rPr>
              <w:t>80 %</w:t>
            </w:r>
          </w:p>
        </w:tc>
        <w:tc>
          <w:tcPr>
            <w:tcW w:w="891" w:type="pct"/>
            <w:tcBorders>
              <w:top w:val="single" w:sz="4" w:space="0" w:color="auto"/>
              <w:left w:val="single" w:sz="4" w:space="0" w:color="auto"/>
              <w:right w:val="single" w:sz="4" w:space="0" w:color="auto"/>
            </w:tcBorders>
            <w:shd w:val="clear" w:color="auto" w:fill="FFFFFF"/>
          </w:tcPr>
          <w:p w14:paraId="2016FD48" w14:textId="77777777" w:rsidR="00C4384E" w:rsidRDefault="0065091F">
            <w:r>
              <w:rPr>
                <w:rStyle w:val="Bodytext20"/>
              </w:rPr>
              <w:t>20 %</w:t>
            </w:r>
          </w:p>
        </w:tc>
      </w:tr>
      <w:tr w:rsidR="00C4384E" w14:paraId="04A2A21F" w14:textId="77777777" w:rsidTr="006F4E0D">
        <w:trPr>
          <w:trHeight w:hRule="exact" w:val="814"/>
        </w:trPr>
        <w:tc>
          <w:tcPr>
            <w:tcW w:w="806" w:type="pct"/>
            <w:tcBorders>
              <w:top w:val="single" w:sz="4" w:space="0" w:color="auto"/>
              <w:left w:val="single" w:sz="4" w:space="0" w:color="auto"/>
              <w:bottom w:val="single" w:sz="4" w:space="0" w:color="auto"/>
            </w:tcBorders>
            <w:shd w:val="clear" w:color="auto" w:fill="FFFFFF"/>
          </w:tcPr>
          <w:p w14:paraId="60D9DAF0" w14:textId="77777777" w:rsidR="00C4384E" w:rsidRDefault="0065091F">
            <w:pPr>
              <w:ind w:left="160"/>
              <w:rPr>
                <w:rStyle w:val="Bodytext20"/>
              </w:rPr>
            </w:pPr>
            <w:r>
              <w:rPr>
                <w:rStyle w:val="Bodytext20"/>
              </w:rPr>
              <w:t>Elevada</w:t>
            </w:r>
          </w:p>
        </w:tc>
        <w:tc>
          <w:tcPr>
            <w:tcW w:w="1146" w:type="pct"/>
            <w:tcBorders>
              <w:top w:val="single" w:sz="4" w:space="0" w:color="auto"/>
              <w:left w:val="single" w:sz="4" w:space="0" w:color="auto"/>
              <w:bottom w:val="single" w:sz="4" w:space="0" w:color="auto"/>
            </w:tcBorders>
            <w:shd w:val="clear" w:color="auto" w:fill="FFFFFF"/>
          </w:tcPr>
          <w:p w14:paraId="20B1213A" w14:textId="77777777" w:rsidR="00C4384E" w:rsidRDefault="0065091F">
            <w:pPr>
              <w:ind w:left="160"/>
              <w:jc w:val="left"/>
            </w:pPr>
            <w:r>
              <w:rPr>
                <w:rStyle w:val="Bodytext20"/>
              </w:rPr>
              <w:t>Básicamente no funciona</w:t>
            </w:r>
          </w:p>
        </w:tc>
        <w:tc>
          <w:tcPr>
            <w:tcW w:w="1349" w:type="pct"/>
            <w:tcBorders>
              <w:top w:val="single" w:sz="4" w:space="0" w:color="auto"/>
              <w:left w:val="single" w:sz="4" w:space="0" w:color="auto"/>
              <w:bottom w:val="single" w:sz="4" w:space="0" w:color="auto"/>
            </w:tcBorders>
            <w:shd w:val="clear" w:color="auto" w:fill="FFFFFF"/>
          </w:tcPr>
          <w:p w14:paraId="46546119" w14:textId="77777777" w:rsidR="00C4384E" w:rsidRDefault="0065091F">
            <w:pPr>
              <w:ind w:left="180"/>
              <w:jc w:val="center"/>
            </w:pPr>
            <w:r>
              <w:rPr>
                <w:rStyle w:val="Bodytext20"/>
              </w:rPr>
              <w:t>Baja</w:t>
            </w:r>
          </w:p>
        </w:tc>
        <w:tc>
          <w:tcPr>
            <w:tcW w:w="808" w:type="pct"/>
            <w:tcBorders>
              <w:top w:val="single" w:sz="4" w:space="0" w:color="auto"/>
              <w:left w:val="single" w:sz="4" w:space="0" w:color="auto"/>
              <w:bottom w:val="single" w:sz="4" w:space="0" w:color="auto"/>
            </w:tcBorders>
            <w:shd w:val="clear" w:color="auto" w:fill="FFFFFF"/>
            <w:vAlign w:val="center"/>
          </w:tcPr>
          <w:p w14:paraId="2E1DCA4F" w14:textId="77777777" w:rsidR="00C4384E" w:rsidRDefault="0065091F">
            <w:pPr>
              <w:spacing w:line="274" w:lineRule="exact"/>
            </w:pPr>
            <w:r>
              <w:rPr>
                <w:rStyle w:val="Bodytext20"/>
              </w:rPr>
              <w:t>Superior o igual al 90 %</w:t>
            </w:r>
          </w:p>
        </w:tc>
        <w:tc>
          <w:tcPr>
            <w:tcW w:w="891" w:type="pct"/>
            <w:tcBorders>
              <w:top w:val="single" w:sz="4" w:space="0" w:color="auto"/>
              <w:left w:val="single" w:sz="4" w:space="0" w:color="auto"/>
              <w:bottom w:val="single" w:sz="4" w:space="0" w:color="auto"/>
              <w:right w:val="single" w:sz="4" w:space="0" w:color="auto"/>
            </w:tcBorders>
            <w:shd w:val="clear" w:color="auto" w:fill="FFFFFF"/>
            <w:vAlign w:val="center"/>
          </w:tcPr>
          <w:p w14:paraId="47E70474" w14:textId="77777777" w:rsidR="00C4384E" w:rsidRDefault="0065091F">
            <w:pPr>
              <w:spacing w:line="274" w:lineRule="exact"/>
            </w:pPr>
            <w:r>
              <w:rPr>
                <w:rStyle w:val="Bodytext20"/>
              </w:rPr>
              <w:t>No superior al 10 %</w:t>
            </w:r>
          </w:p>
        </w:tc>
      </w:tr>
    </w:tbl>
    <w:p w14:paraId="6E3239C7" w14:textId="77777777" w:rsidR="00C4384E" w:rsidRDefault="00C4384E">
      <w:pPr>
        <w:pStyle w:val="Text2"/>
        <w:ind w:left="0"/>
      </w:pPr>
    </w:p>
    <w:p w14:paraId="17DF822E" w14:textId="29E2CF9C" w:rsidR="00C4384E" w:rsidRDefault="00833DAC">
      <w:pPr>
        <w:pStyle w:val="Text1"/>
        <w:spacing w:after="120"/>
        <w:ind w:left="0"/>
      </w:pPr>
      <w:r>
        <w:t>De lo anterior se desprende que cuanto mayor sea la valoración del nivel de riesgo combinado que realice el auditor, menor será el riesgo de detección.</w:t>
      </w:r>
      <w:r w:rsidR="00805BA2">
        <w:t xml:space="preserve"> </w:t>
      </w:r>
      <w:r>
        <w:t>Esto implica un mayor número de pruebas sustantivas (tamaños de la muestra más grandes). Igualmente, una valoración combinada de riesgo inherente y de control menores tiene en cuenta un riesgo de detección mayor, lo que se traduce en menos trabajo sustantivo y más fiabilidad en el sistema de control interno.</w:t>
      </w:r>
    </w:p>
    <w:p w14:paraId="7491CDFD" w14:textId="0D17204C" w:rsidR="00C4384E" w:rsidRDefault="00DC7229">
      <w:pPr>
        <w:spacing w:beforeLines="1" w:before="2" w:afterLines="1" w:after="2"/>
      </w:pPr>
      <w:r>
        <w:t>Establecer un nivel de confianza apropiado es una cuestión crucial para la auditoría de las transacciones (desde la autorización a la contabilidad/declaración), ya que el tamaño de la muestra depende en gran medida del nivel de confianza (cuanto más elevado es el nivel de confianza, mayor es el tamaño de la muestra). Tal como se indica en el marco antes mencionado y se explica más adelante en la presente directriz, es posible reducir el nivel de confianza que debe obtenerse de las pruebas sustantivas y, por consiguiente, la carga de trabajo de auditoría de los sistemas con un bajo porcentaje de error (por lo tanto garantía elevada), manteniendo, al mismo tiempo, la exigencia de un elevado nivel de confianza (por consiguiente, un mayor tamaño de la muestra), en el caso de un sistema con un porcentaje de error potencialmente elevado (por lo tanto garantía baja).</w:t>
      </w:r>
      <w:r w:rsidR="00805BA2">
        <w:t xml:space="preserve"> </w:t>
      </w:r>
      <w:r>
        <w:t xml:space="preserve">En casos excepcionales en los que el OC llegue a la conclusión de que no se puede confiar en el sistema de control interno, la garantía/el nivel de confianza que debe obtenerse de las pruebas sustantivas es del 95 %. </w:t>
      </w:r>
    </w:p>
    <w:p w14:paraId="1898545B" w14:textId="77777777" w:rsidR="00C4384E" w:rsidRDefault="00C4384E">
      <w:pPr>
        <w:spacing w:beforeLines="1" w:before="2" w:afterLines="1" w:after="2"/>
        <w:rPr>
          <w:rFonts w:ascii="Times" w:hAnsi="Times"/>
          <w:sz w:val="20"/>
          <w:szCs w:val="20"/>
        </w:rPr>
      </w:pPr>
    </w:p>
    <w:p w14:paraId="26E8DAD6" w14:textId="60FE366F" w:rsidR="00C4384E" w:rsidRDefault="00C5109E">
      <w:r>
        <w:t>Los tamaños reales correspondientes de las muestras deberán determinarse mediante los procedimientos de auditoría teniendo en cuenta las secciones 5-6-7.</w:t>
      </w:r>
    </w:p>
    <w:p w14:paraId="4E200AEC" w14:textId="44B2EA2E" w:rsidR="00C4384E" w:rsidRDefault="00412FE9">
      <w:pPr>
        <w:spacing w:after="0"/>
      </w:pPr>
      <w:r>
        <w:t xml:space="preserve">Para reducir el riesgo de auditoría a un nivel aceptablemente bajo, el OC debe elaborar respuestas globales que aborden los riesgos valorados de incorrección material con respecto a la población y concebir y ejecutar procedimientos de auditoría adicionales cuya naturaleza, calendario y alcance respondan a los riesgos valorados de incorrección material con respecto a la afirmación correspondiente. </w:t>
      </w:r>
    </w:p>
    <w:p w14:paraId="3E4FEF01" w14:textId="77777777" w:rsidR="00C4384E" w:rsidRDefault="00771BF8">
      <w:pPr>
        <w:spacing w:after="0"/>
        <w:jc w:val="left"/>
      </w:pPr>
      <w:r>
        <w:br w:type="page"/>
      </w:r>
    </w:p>
    <w:p w14:paraId="1B90C917" w14:textId="77777777" w:rsidR="00C4384E" w:rsidRDefault="00C4384E">
      <w:pPr>
        <w:jc w:val="center"/>
        <w:rPr>
          <w:b/>
          <w:sz w:val="72"/>
        </w:rPr>
      </w:pPr>
    </w:p>
    <w:p w14:paraId="1C7F3506" w14:textId="77777777" w:rsidR="00C4384E" w:rsidRDefault="00C4384E">
      <w:pPr>
        <w:jc w:val="center"/>
        <w:rPr>
          <w:b/>
          <w:sz w:val="72"/>
        </w:rPr>
      </w:pPr>
    </w:p>
    <w:p w14:paraId="5721ED76" w14:textId="77777777" w:rsidR="00C4384E" w:rsidRDefault="00C4384E">
      <w:pPr>
        <w:jc w:val="center"/>
        <w:rPr>
          <w:b/>
          <w:sz w:val="72"/>
        </w:rPr>
      </w:pPr>
    </w:p>
    <w:p w14:paraId="4B9FB03E" w14:textId="77777777" w:rsidR="00C4384E" w:rsidRDefault="00C4384E">
      <w:pPr>
        <w:jc w:val="center"/>
        <w:rPr>
          <w:b/>
          <w:sz w:val="72"/>
        </w:rPr>
      </w:pPr>
    </w:p>
    <w:p w14:paraId="48391556" w14:textId="77777777" w:rsidR="00C4384E" w:rsidRDefault="00C4384E">
      <w:pPr>
        <w:jc w:val="center"/>
        <w:rPr>
          <w:b/>
          <w:sz w:val="72"/>
        </w:rPr>
      </w:pPr>
    </w:p>
    <w:p w14:paraId="50F463C6" w14:textId="77777777" w:rsidR="00C4384E" w:rsidRDefault="00C4384E">
      <w:pPr>
        <w:jc w:val="center"/>
        <w:rPr>
          <w:b/>
          <w:sz w:val="72"/>
        </w:rPr>
      </w:pPr>
    </w:p>
    <w:p w14:paraId="4AA49379" w14:textId="77777777" w:rsidR="00C4384E" w:rsidRDefault="00771BF8">
      <w:pPr>
        <w:pStyle w:val="Heading1"/>
        <w:numPr>
          <w:ilvl w:val="0"/>
          <w:numId w:val="0"/>
        </w:numPr>
        <w:jc w:val="center"/>
        <w:rPr>
          <w:sz w:val="56"/>
        </w:rPr>
        <w:sectPr w:rsidR="00C4384E">
          <w:headerReference w:type="even" r:id="rId21"/>
          <w:headerReference w:type="default" r:id="rId22"/>
          <w:footerReference w:type="even" r:id="rId23"/>
          <w:footerReference w:type="default" r:id="rId24"/>
          <w:headerReference w:type="first" r:id="rId25"/>
          <w:footerReference w:type="first" r:id="rId26"/>
          <w:pgSz w:w="11906" w:h="16838" w:code="9"/>
          <w:pgMar w:top="1020" w:right="1701" w:bottom="200" w:left="1587" w:header="601" w:footer="480" w:gutter="0"/>
          <w:cols w:space="720"/>
          <w:titlePg/>
          <w:docGrid w:linePitch="326"/>
        </w:sectPr>
      </w:pPr>
      <w:bookmarkStart w:id="15" w:name="_Toc16667597"/>
      <w:r>
        <w:rPr>
          <w:sz w:val="56"/>
        </w:rPr>
        <w:t>PARTE A</w:t>
      </w:r>
      <w:bookmarkEnd w:id="15"/>
    </w:p>
    <w:p w14:paraId="26BA5C0E" w14:textId="77777777" w:rsidR="00C4384E" w:rsidRDefault="00905A70">
      <w:pPr>
        <w:pStyle w:val="Heading2"/>
      </w:pPr>
      <w:bookmarkStart w:id="16" w:name="_Toc16667598"/>
      <w:r>
        <w:lastRenderedPageBreak/>
        <w:t>4.5 Procedimientos de auditoría</w:t>
      </w:r>
      <w:bookmarkEnd w:id="16"/>
    </w:p>
    <w:p w14:paraId="566A496B" w14:textId="227C0313" w:rsidR="00C4384E" w:rsidRDefault="005A7D76">
      <w:r>
        <w:t xml:space="preserve">En lo que atañe al objetivo de auditoría n.º 1, la auditoría abarcará un ejercicio financiero (16.10.201x-15.10.201x + 1) y podrá llevarse a cabo a lo largo de un período de doce meses (meses naturales) desde enero del ejercicio financiero auditado hasta enero del año siguiente a dicho ejercicio. El calendario se propone en función de ese período de doce meses en adelante. Sin embargo, dicha auditoría puede efectuarse en un período de tiempo más corto y depende del número de fases de muestreo. Véase la práctica recomendada en el diagrama del anexo 1. </w:t>
      </w:r>
    </w:p>
    <w:p w14:paraId="468F80E3" w14:textId="1ECEAFEB" w:rsidR="00C4384E" w:rsidRDefault="00E00D40">
      <w:r>
        <w:t>En lo que atañe al objetivo de auditoría n.º 1, la auditoría de certificación debe llevarse a cabo a través de los principales procedimientos de auditoría siguientes:</w:t>
      </w:r>
    </w:p>
    <w:p w14:paraId="0A505757" w14:textId="77777777" w:rsidR="00C4384E" w:rsidRDefault="00B22069">
      <w:pPr>
        <w:pStyle w:val="Heading3"/>
        <w:numPr>
          <w:ilvl w:val="0"/>
          <w:numId w:val="115"/>
        </w:numPr>
      </w:pPr>
      <w:bookmarkStart w:id="17" w:name="_Toc16667599"/>
      <w:r>
        <w:t>Definición del modelo de riesgo de auditoría y niveles de garantía</w:t>
      </w:r>
      <w:bookmarkEnd w:id="17"/>
    </w:p>
    <w:p w14:paraId="47335409" w14:textId="77777777" w:rsidR="00C4384E" w:rsidRDefault="00E00D40">
      <w:pPr>
        <w:rPr>
          <w:i/>
        </w:rPr>
      </w:pPr>
      <w:r>
        <w:rPr>
          <w:i/>
        </w:rPr>
        <w:t>Calendario propuesto</w:t>
      </w:r>
    </w:p>
    <w:p w14:paraId="172BB64A" w14:textId="7A3F8F9A" w:rsidR="00C4384E" w:rsidRDefault="00E00D40">
      <w:r>
        <w:t xml:space="preserve">En función del número de fases de prueba, este procedimiento ya puede llevarse a cabo en enero-marzo (denominado en lo sucesivo M1-M3) del ejercicio financiero auditado, pero debe ser planificado a más tardar para junio-agosto del ejercicio financiero auditado. </w:t>
      </w:r>
    </w:p>
    <w:p w14:paraId="02FCE045" w14:textId="77777777" w:rsidR="00C4384E" w:rsidRDefault="00E00D40">
      <w:pPr>
        <w:rPr>
          <w:i/>
        </w:rPr>
      </w:pPr>
      <w:r>
        <w:rPr>
          <w:i/>
        </w:rPr>
        <w:t>Tareas principales</w:t>
      </w:r>
    </w:p>
    <w:p w14:paraId="3A347110" w14:textId="0D735A2C" w:rsidR="00C4384E" w:rsidRDefault="00717165">
      <w:pPr>
        <w:numPr>
          <w:ilvl w:val="0"/>
          <w:numId w:val="38"/>
        </w:numPr>
      </w:pPr>
      <w:r>
        <w:t>Valorar el riesgo inherente y el riesgo de control (el riesgo de incorrección material) sobre la base de los resultados de las auditorías de años anteriores y a través de la valoración del sistema de control interno (véase la sección 5).</w:t>
      </w:r>
    </w:p>
    <w:p w14:paraId="08E23CEC" w14:textId="4BE49DFE" w:rsidR="00C4384E" w:rsidRDefault="00717165">
      <w:pPr>
        <w:numPr>
          <w:ilvl w:val="0"/>
          <w:numId w:val="38"/>
        </w:numPr>
      </w:pPr>
      <w:r>
        <w:t xml:space="preserve">Determinar la garantía del sistema y el nivel de confianza para las pruebas </w:t>
      </w:r>
      <w:r w:rsidR="00805BA2">
        <w:t>sustantivas,</w:t>
      </w:r>
      <w:r>
        <w:t xml:space="preserve"> así como los requisitos para la revisión del sistema de control interno y las pruebas substantivas.</w:t>
      </w:r>
    </w:p>
    <w:p w14:paraId="6A47E680" w14:textId="0649FFA5" w:rsidR="00C4384E" w:rsidRDefault="00717165">
      <w:pPr>
        <w:numPr>
          <w:ilvl w:val="0"/>
          <w:numId w:val="38"/>
        </w:numPr>
      </w:pPr>
      <w:r>
        <w:t>Planificar todos los procedimientos de auditoría (calendario y recursos), incluida la valoración del sistema de control interno, las pruebas sustantivas, la revisión de las conciliaciones, la interpretación de los errores y los resultados y la preparación del informe de certificación y la formulación de la opinión.</w:t>
      </w:r>
    </w:p>
    <w:p w14:paraId="6362A240" w14:textId="77777777" w:rsidR="00C4384E" w:rsidRDefault="00E00D40">
      <w:pPr>
        <w:rPr>
          <w:i/>
        </w:rPr>
      </w:pPr>
      <w:r>
        <w:rPr>
          <w:i/>
        </w:rPr>
        <w:t>Tener en cuenta</w:t>
      </w:r>
    </w:p>
    <w:p w14:paraId="59F764B7" w14:textId="41773854" w:rsidR="00C4384E" w:rsidRDefault="007E51A1">
      <w:pPr>
        <w:numPr>
          <w:ilvl w:val="0"/>
          <w:numId w:val="39"/>
        </w:numPr>
      </w:pPr>
      <w:r>
        <w:t>En el momento de la planificación, pueden utilizarse los gastos estimados. En función del gasto real, un ajuste al tamaño de la muestra puede ser necesario.</w:t>
      </w:r>
    </w:p>
    <w:p w14:paraId="02DF96CD" w14:textId="15B8B2DA" w:rsidR="00C4384E" w:rsidRDefault="007E51A1">
      <w:pPr>
        <w:numPr>
          <w:ilvl w:val="0"/>
          <w:numId w:val="39"/>
        </w:numPr>
      </w:pPr>
      <w:r>
        <w:t>En el momento de la planificación, los resultados de las pruebas de los procedimientos de control no están disponibles. Tal vez sea preciso aumentar el tamaño de la muestra de las pruebas sustantivas (si la prueba de los procedimientos de control detecta un número elevado de errores).</w:t>
      </w:r>
    </w:p>
    <w:p w14:paraId="56A8F38A" w14:textId="77777777" w:rsidR="00C4384E" w:rsidRDefault="00183AD9">
      <w:pPr>
        <w:pStyle w:val="ZDGName"/>
      </w:pPr>
      <w:r>
        <w:br w:type="page"/>
      </w:r>
    </w:p>
    <w:p w14:paraId="2A93D066" w14:textId="77777777" w:rsidR="00C4384E" w:rsidRDefault="00B22069">
      <w:pPr>
        <w:pStyle w:val="Heading3"/>
        <w:numPr>
          <w:ilvl w:val="0"/>
          <w:numId w:val="115"/>
        </w:numPr>
      </w:pPr>
      <w:bookmarkStart w:id="18" w:name="_Toc16667600"/>
      <w:r>
        <w:lastRenderedPageBreak/>
        <w:t>Valoración del sistema de control interno</w:t>
      </w:r>
      <w:bookmarkEnd w:id="18"/>
    </w:p>
    <w:p w14:paraId="03AEACAE" w14:textId="77777777" w:rsidR="00C4384E" w:rsidRDefault="00557745">
      <w:pPr>
        <w:rPr>
          <w:i/>
        </w:rPr>
      </w:pPr>
      <w:r>
        <w:rPr>
          <w:i/>
        </w:rPr>
        <w:t>Calendario propuesto</w:t>
      </w:r>
    </w:p>
    <w:p w14:paraId="5F233799" w14:textId="1CE84140" w:rsidR="00C4384E" w:rsidRDefault="005B0874">
      <w:r>
        <w:t>Parte de las tareas: la valoración del entorno de control debe planificarse al mismo tiempo que la definición del modelo de riesgo de auditoría y los niveles de garantía. (M1-M3)</w:t>
      </w:r>
    </w:p>
    <w:p w14:paraId="6518BEBF" w14:textId="785D444B" w:rsidR="00C4384E" w:rsidRDefault="005B0874">
      <w:r>
        <w:t>Otras tareas: las pruebas de procesos/procedimientos, incluidas las pruebas de controles, de cumplimiento y del sistema informático (de los procesos y procedimientos pertinentes para el objetivo de auditoría n.º 1) serán los primeros procedimientos de auditoría aplicables una vez establecido el plan de auditoría. (M4-M6)</w:t>
      </w:r>
    </w:p>
    <w:p w14:paraId="015AA13F" w14:textId="77777777" w:rsidR="00C4384E" w:rsidRDefault="00557745">
      <w:pPr>
        <w:rPr>
          <w:i/>
        </w:rPr>
      </w:pPr>
      <w:r>
        <w:rPr>
          <w:i/>
        </w:rPr>
        <w:t>Tareas principales</w:t>
      </w:r>
    </w:p>
    <w:p w14:paraId="0CE8AB08" w14:textId="4CEE0FE3" w:rsidR="00C4384E" w:rsidRDefault="00286F5E">
      <w:pPr>
        <w:numPr>
          <w:ilvl w:val="0"/>
          <w:numId w:val="40"/>
        </w:numPr>
      </w:pPr>
      <w:r>
        <w:t xml:space="preserve">Valorar la eficacia del entorno de control teniendo en cuenta la evaluación de los años anteriores del sistema de control interno, cualesquiera cambios jurídicos, organizativos, procedimentales y del sistema con el fin de determinar la garantía del sistema para el modelo de riesgo de auditoría. Esto exigirá la realización de pruebas de recorrido. </w:t>
      </w:r>
    </w:p>
    <w:p w14:paraId="54F60DC6" w14:textId="63E464DC" w:rsidR="00C4384E" w:rsidRDefault="00B57D1C">
      <w:pPr>
        <w:numPr>
          <w:ilvl w:val="0"/>
          <w:numId w:val="40"/>
        </w:numPr>
      </w:pPr>
      <w:r>
        <w:t>Efectuar las pruebas de los procedimientos de control para la valoración del sistema de control interno para el resultado del ejercicio financiero auditado. Esto puede incluir distintos tipos de pruebas, así como pruebas de los sistemas informáticos y controles.</w:t>
      </w:r>
    </w:p>
    <w:p w14:paraId="7E7B4F49" w14:textId="09342C97" w:rsidR="00C4384E" w:rsidRDefault="00B57D1C">
      <w:pPr>
        <w:numPr>
          <w:ilvl w:val="0"/>
          <w:numId w:val="40"/>
        </w:numPr>
      </w:pPr>
      <w:r>
        <w:t>Evaluar los riesgos identificados o las desviaciones constatadas y corroborar los resultados en una valoración final (funciona bien, funciona, etc.) para los procedimientos de control, y comprobar si los parámetros de las pruebas sustantivas deben ajustarse debido al elevado número de errores detectados en las pruebas de los procedimientos de control.</w:t>
      </w:r>
    </w:p>
    <w:p w14:paraId="5B9DB0AF" w14:textId="77777777" w:rsidR="00C4384E" w:rsidRDefault="00557745">
      <w:pPr>
        <w:rPr>
          <w:i/>
        </w:rPr>
      </w:pPr>
      <w:r>
        <w:rPr>
          <w:i/>
        </w:rPr>
        <w:t>Tener en cuenta</w:t>
      </w:r>
    </w:p>
    <w:p w14:paraId="4B900B81" w14:textId="7450AD19" w:rsidR="00C4384E" w:rsidRDefault="005A7D76">
      <w:pPr>
        <w:numPr>
          <w:ilvl w:val="0"/>
          <w:numId w:val="41"/>
        </w:numPr>
      </w:pPr>
      <w:r>
        <w:t>La valoración final otorgada a los procedimientos de control deberá tenerse en cuenta en la opinión sobre la eficacia del sistema de control interno.</w:t>
      </w:r>
    </w:p>
    <w:p w14:paraId="70163D36" w14:textId="5A9880E7" w:rsidR="00C4384E" w:rsidRDefault="009A5DAB">
      <w:pPr>
        <w:numPr>
          <w:ilvl w:val="0"/>
          <w:numId w:val="41"/>
        </w:numPr>
      </w:pPr>
      <w:r>
        <w:t>En lo que respecta a las pruebas de cumplimiento, pueden aplicarse pruebas de doble propósito.</w:t>
      </w:r>
    </w:p>
    <w:p w14:paraId="2037294B" w14:textId="77777777" w:rsidR="00C4384E" w:rsidRDefault="007757CA">
      <w:pPr>
        <w:numPr>
          <w:ilvl w:val="0"/>
          <w:numId w:val="41"/>
        </w:numPr>
      </w:pPr>
      <w:r>
        <w:t>Los controles de los sistemas informáticos desempeñan una función importante en la valoración de estos procedimientos de control.</w:t>
      </w:r>
    </w:p>
    <w:p w14:paraId="7F37F2A4" w14:textId="77777777" w:rsidR="00C4384E" w:rsidRDefault="00B22069">
      <w:pPr>
        <w:pStyle w:val="Heading3"/>
        <w:numPr>
          <w:ilvl w:val="0"/>
          <w:numId w:val="115"/>
        </w:numPr>
      </w:pPr>
      <w:bookmarkStart w:id="19" w:name="_Toc16667601"/>
      <w:r>
        <w:t>Pruebas sustantivas</w:t>
      </w:r>
      <w:bookmarkEnd w:id="19"/>
    </w:p>
    <w:p w14:paraId="206479F6" w14:textId="77777777" w:rsidR="00C4384E" w:rsidRDefault="00557745">
      <w:pPr>
        <w:rPr>
          <w:i/>
        </w:rPr>
      </w:pPr>
      <w:r>
        <w:rPr>
          <w:i/>
        </w:rPr>
        <w:t>Calendario propuesto</w:t>
      </w:r>
    </w:p>
    <w:p w14:paraId="49A799EC" w14:textId="40EF6C65" w:rsidR="00C4384E" w:rsidRDefault="009A5DAB">
      <w:r>
        <w:t>En lo que atañe al objetivo de auditoría n.º 1, las pruebas de confirmación deben llevarse a cabo sobre la base de los pagos efectivamente realizados. Las pruebas sustantivas pueden efectuarse en varias fases con el fin de no concentrar la carga de trabajo una vez finalizado el ejercicio financiero.</w:t>
      </w:r>
    </w:p>
    <w:p w14:paraId="3DC8DE7B" w14:textId="3C1E4857" w:rsidR="00C4384E" w:rsidRDefault="009A5DAB">
      <w:pPr>
        <w:pStyle w:val="ListParagraph"/>
        <w:numPr>
          <w:ilvl w:val="0"/>
          <w:numId w:val="133"/>
        </w:numPr>
      </w:pPr>
      <w:r>
        <w:lastRenderedPageBreak/>
        <w:t>En caso de dos fases de muestreo: M5-M6 y M11-M12, en caso de una fase de muestreo: M11-M12.</w:t>
      </w:r>
    </w:p>
    <w:p w14:paraId="0BEF8F2A" w14:textId="77777777" w:rsidR="00C4384E" w:rsidRDefault="00557745">
      <w:pPr>
        <w:rPr>
          <w:i/>
        </w:rPr>
      </w:pPr>
      <w:r>
        <w:rPr>
          <w:i/>
        </w:rPr>
        <w:t>Tareas principales</w:t>
      </w:r>
    </w:p>
    <w:p w14:paraId="0053F2F0" w14:textId="5B67E77D" w:rsidR="00C4384E" w:rsidRDefault="00006D2F">
      <w:pPr>
        <w:numPr>
          <w:ilvl w:val="0"/>
          <w:numId w:val="42"/>
        </w:numPr>
      </w:pPr>
      <w:r>
        <w:t>Extraer la muestra sobre la base de los parámetros ya establecidos en la fase de planificación y llevar a cabo la prueba real.</w:t>
      </w:r>
    </w:p>
    <w:p w14:paraId="2F9B88E7" w14:textId="3C2894A1" w:rsidR="00C4384E" w:rsidRDefault="00006D2F">
      <w:pPr>
        <w:numPr>
          <w:ilvl w:val="0"/>
          <w:numId w:val="42"/>
        </w:numPr>
      </w:pPr>
      <w:r>
        <w:t>Recoger evidencias de auditoría (para todas las demás etapas), especialmente para la documentación de excepciones (desviaciones, errores) encontradas.</w:t>
      </w:r>
    </w:p>
    <w:p w14:paraId="7CDFC3BB" w14:textId="77777777" w:rsidR="00C4384E" w:rsidRDefault="00557745">
      <w:pPr>
        <w:rPr>
          <w:i/>
        </w:rPr>
      </w:pPr>
      <w:r>
        <w:rPr>
          <w:i/>
        </w:rPr>
        <w:t>Tener en cuenta</w:t>
      </w:r>
    </w:p>
    <w:p w14:paraId="2F64E5E7" w14:textId="7DDE6B31" w:rsidR="00C4384E" w:rsidRDefault="007757CA">
      <w:pPr>
        <w:numPr>
          <w:ilvl w:val="0"/>
          <w:numId w:val="43"/>
        </w:numPr>
      </w:pPr>
      <w:r>
        <w:t>Las pruebas de los sistemas informáticos desempeñan un importante papel en el análisis de las transacciones de pago y los registros contables.</w:t>
      </w:r>
    </w:p>
    <w:p w14:paraId="4CD4AA41" w14:textId="77777777" w:rsidR="00C4384E" w:rsidRDefault="00E00D40">
      <w:pPr>
        <w:pStyle w:val="Heading3"/>
        <w:numPr>
          <w:ilvl w:val="0"/>
          <w:numId w:val="115"/>
        </w:numPr>
      </w:pPr>
      <w:bookmarkStart w:id="20" w:name="_Toc16667602"/>
      <w:r>
        <w:t>Conciliaciones</w:t>
      </w:r>
      <w:bookmarkEnd w:id="20"/>
    </w:p>
    <w:p w14:paraId="15946991" w14:textId="77777777" w:rsidR="00C4384E" w:rsidRDefault="00557745">
      <w:pPr>
        <w:rPr>
          <w:i/>
        </w:rPr>
      </w:pPr>
      <w:r>
        <w:rPr>
          <w:i/>
        </w:rPr>
        <w:t>Calendario propuesto</w:t>
      </w:r>
    </w:p>
    <w:p w14:paraId="79A28D01" w14:textId="77777777" w:rsidR="00C4384E" w:rsidRDefault="0029166A">
      <w:r>
        <w:t>Para el objetivo de auditoría n.º 1, la conciliación y la revisión de la conciliación de las cuentas anuales deben llevarse a cabo una vez finalizado el ejercicio financiero (M12-M13).</w:t>
      </w:r>
    </w:p>
    <w:p w14:paraId="6C085B71" w14:textId="77777777" w:rsidR="00C4384E" w:rsidRDefault="00557745">
      <w:pPr>
        <w:rPr>
          <w:i/>
        </w:rPr>
      </w:pPr>
      <w:r>
        <w:rPr>
          <w:i/>
        </w:rPr>
        <w:t>Tareas principales</w:t>
      </w:r>
    </w:p>
    <w:p w14:paraId="17A8F677" w14:textId="76247894" w:rsidR="00C4384E" w:rsidRDefault="0029166A">
      <w:pPr>
        <w:numPr>
          <w:ilvl w:val="0"/>
          <w:numId w:val="44"/>
        </w:numPr>
      </w:pPr>
      <w:r>
        <w:t>Revisar el procedimiento de conciliación del OP y comprobar la exactitud de cada parte de las cuentas anuales.</w:t>
      </w:r>
    </w:p>
    <w:p w14:paraId="4803E2CF" w14:textId="77777777" w:rsidR="00C4384E" w:rsidRDefault="00557745">
      <w:pPr>
        <w:rPr>
          <w:i/>
        </w:rPr>
      </w:pPr>
      <w:r>
        <w:rPr>
          <w:i/>
        </w:rPr>
        <w:t>Tener en cuenta</w:t>
      </w:r>
    </w:p>
    <w:p w14:paraId="58210626" w14:textId="7032AF0A" w:rsidR="00C4384E" w:rsidRDefault="0029166A">
      <w:pPr>
        <w:numPr>
          <w:ilvl w:val="0"/>
          <w:numId w:val="44"/>
        </w:numPr>
      </w:pPr>
      <w:r>
        <w:t>Debe prestarse especial atención a las transacciones que ocasionan importes adicionales imputados al presupuesto de la UE a través de las cuentas anuales (en comparación con las declaraciones mensuales/trimestrales).</w:t>
      </w:r>
    </w:p>
    <w:p w14:paraId="05F5CFAD" w14:textId="6371F46A" w:rsidR="00C4384E" w:rsidRDefault="0029166A">
      <w:pPr>
        <w:numPr>
          <w:ilvl w:val="0"/>
          <w:numId w:val="44"/>
        </w:numPr>
      </w:pPr>
      <w:r>
        <w:t>La correcta planificación del trabajo y, a este respecto, la colaboración con el OP son esenciales para garantizar que tanto el OP como el OC pueden cumplir sus funciones.</w:t>
      </w:r>
    </w:p>
    <w:p w14:paraId="422CDA97" w14:textId="77777777" w:rsidR="00C4384E" w:rsidRDefault="00B22069">
      <w:pPr>
        <w:pStyle w:val="Heading3"/>
        <w:numPr>
          <w:ilvl w:val="0"/>
          <w:numId w:val="115"/>
        </w:numPr>
      </w:pPr>
      <w:bookmarkStart w:id="21" w:name="_Toc16667603"/>
      <w:r>
        <w:t>Interpretación de los errores, resultados</w:t>
      </w:r>
      <w:bookmarkEnd w:id="21"/>
    </w:p>
    <w:p w14:paraId="4DCABC47" w14:textId="77777777" w:rsidR="00C4384E" w:rsidRDefault="00557745">
      <w:pPr>
        <w:rPr>
          <w:i/>
        </w:rPr>
      </w:pPr>
      <w:r>
        <w:rPr>
          <w:i/>
        </w:rPr>
        <w:t>Calendario propuesto</w:t>
      </w:r>
    </w:p>
    <w:p w14:paraId="75A5DF6F" w14:textId="25BA61FF" w:rsidR="00C4384E" w:rsidRDefault="00C95DCA">
      <w:r>
        <w:t>Cada uno de los errores y desviaciones constatados durante las pruebas de los procedimientos de control y las pruebas sustantivas pueden ser interpretados paralelamente a estos procedimientos de auditoría (M4-M6 y/o M11-M12).</w:t>
      </w:r>
    </w:p>
    <w:p w14:paraId="777997E3" w14:textId="737500DA" w:rsidR="00C4384E" w:rsidRDefault="00C95DCA">
      <w:r>
        <w:t>La evaluación de errores de las pruebas sustantivas debe estar finalizada a más tardar el M12 para tener en cuenta la reacción del OP.</w:t>
      </w:r>
    </w:p>
    <w:p w14:paraId="0EC4D555" w14:textId="77777777" w:rsidR="00C4384E" w:rsidRDefault="00557745">
      <w:pPr>
        <w:rPr>
          <w:i/>
        </w:rPr>
      </w:pPr>
      <w:r>
        <w:rPr>
          <w:i/>
        </w:rPr>
        <w:t>Tareas principales</w:t>
      </w:r>
    </w:p>
    <w:p w14:paraId="3038C6B7" w14:textId="77777777" w:rsidR="00C4384E" w:rsidRDefault="00C95DCA">
      <w:pPr>
        <w:numPr>
          <w:ilvl w:val="0"/>
          <w:numId w:val="45"/>
        </w:numPr>
      </w:pPr>
      <w:r>
        <w:t>Establecer y documentar claramente el cálculo de los errores y llevar a cabo la evaluación de errores.</w:t>
      </w:r>
    </w:p>
    <w:p w14:paraId="0D2C3419" w14:textId="77777777" w:rsidR="00C4384E" w:rsidRDefault="00557745">
      <w:pPr>
        <w:rPr>
          <w:i/>
        </w:rPr>
      </w:pPr>
      <w:r>
        <w:rPr>
          <w:i/>
        </w:rPr>
        <w:lastRenderedPageBreak/>
        <w:t>Tener en cuenta</w:t>
      </w:r>
    </w:p>
    <w:p w14:paraId="73D75FD9" w14:textId="77777777" w:rsidR="00C4384E" w:rsidRDefault="00C95DCA">
      <w:pPr>
        <w:numPr>
          <w:ilvl w:val="0"/>
          <w:numId w:val="43"/>
        </w:numPr>
      </w:pPr>
      <w:r>
        <w:t>Si se utilizan pruebas de doble propósito, todos los errores financieros detectados deberán tenerse en cuenta para la evaluación de errores de las pruebas sustantivas.</w:t>
      </w:r>
    </w:p>
    <w:p w14:paraId="0E9B60BF" w14:textId="44D1770B" w:rsidR="00C4384E" w:rsidRDefault="000F00BB" w:rsidP="00FD2BA0">
      <w:pPr>
        <w:numPr>
          <w:ilvl w:val="0"/>
          <w:numId w:val="43"/>
        </w:numPr>
      </w:pPr>
      <w:r>
        <w:t>Los errores financieros individuales deben ser objeto de seguimiento (por el OP) y el OC debe elaborar informes al respecto.</w:t>
      </w:r>
    </w:p>
    <w:p w14:paraId="79DB3D46" w14:textId="77777777" w:rsidR="00C4384E" w:rsidRDefault="00E00D40">
      <w:pPr>
        <w:pStyle w:val="Heading3"/>
        <w:numPr>
          <w:ilvl w:val="0"/>
          <w:numId w:val="115"/>
        </w:numPr>
      </w:pPr>
      <w:bookmarkStart w:id="22" w:name="_Toc16667604"/>
      <w:r>
        <w:t>Formulación de la opinión</w:t>
      </w:r>
      <w:bookmarkEnd w:id="22"/>
    </w:p>
    <w:p w14:paraId="6ACAA7FA" w14:textId="77777777" w:rsidR="00C4384E" w:rsidRDefault="00557745">
      <w:pPr>
        <w:rPr>
          <w:i/>
        </w:rPr>
      </w:pPr>
      <w:r>
        <w:rPr>
          <w:i/>
        </w:rPr>
        <w:t>Calendario propuesto</w:t>
      </w:r>
    </w:p>
    <w:p w14:paraId="7B9B2444" w14:textId="62CF06DA" w:rsidR="00C4384E" w:rsidRDefault="00C95DCA">
      <w:r>
        <w:t>La opinión de auditoría debe ser redactada una vez finalizados todos los procedimientos de auditoría pertinentes (M13).</w:t>
      </w:r>
    </w:p>
    <w:p w14:paraId="09CB4E0D" w14:textId="77777777" w:rsidR="00C4384E" w:rsidRDefault="00557745">
      <w:pPr>
        <w:rPr>
          <w:i/>
        </w:rPr>
      </w:pPr>
      <w:r>
        <w:rPr>
          <w:i/>
        </w:rPr>
        <w:t>Tareas principales</w:t>
      </w:r>
    </w:p>
    <w:p w14:paraId="577DFA40" w14:textId="77777777" w:rsidR="00C4384E" w:rsidRDefault="00251FBB">
      <w:pPr>
        <w:numPr>
          <w:ilvl w:val="0"/>
          <w:numId w:val="43"/>
        </w:numPr>
      </w:pPr>
      <w:r>
        <w:t>Agregar los resultados de la valoración del sistema de control interno, de las pruebas sustantivas y de la conciliación.</w:t>
      </w:r>
    </w:p>
    <w:p w14:paraId="16F64591" w14:textId="6D926E38" w:rsidR="00C4384E" w:rsidRDefault="00251FBB">
      <w:pPr>
        <w:numPr>
          <w:ilvl w:val="0"/>
          <w:numId w:val="43"/>
        </w:numPr>
      </w:pPr>
      <w:r>
        <w:t xml:space="preserve">Considerar los resultados de los años anteriores y formular una opinión en lo que atañe al sistema de control interno del OP y las cuentas anuales [en el caso de los planes de acción en curso y de las deficiencias que aún no se hayan solucionado completamente; así como en caso de que se aplique la rotación de las pruebas de controles (véase la sección 5 sobre la rotación de controles)]. </w:t>
      </w:r>
    </w:p>
    <w:p w14:paraId="00D776C4" w14:textId="77777777" w:rsidR="00C4384E" w:rsidRDefault="00557745">
      <w:pPr>
        <w:rPr>
          <w:i/>
        </w:rPr>
      </w:pPr>
      <w:r>
        <w:rPr>
          <w:i/>
        </w:rPr>
        <w:t>Tener en cuenta</w:t>
      </w:r>
    </w:p>
    <w:p w14:paraId="64F3DB53" w14:textId="04B893C2" w:rsidR="00C4384E" w:rsidRDefault="000F00BB">
      <w:pPr>
        <w:numPr>
          <w:ilvl w:val="0"/>
          <w:numId w:val="46"/>
        </w:numPr>
      </w:pPr>
      <w:r>
        <w:t>La opinión sobre el sistema de control interno debe ser formulada teniendo en cuenta la valoración de los procedimientos de control previstos para el objetivo de auditoría n.º 2 (PARTE B).</w:t>
      </w:r>
    </w:p>
    <w:p w14:paraId="7A31D9BD" w14:textId="4B85F846" w:rsidR="00C4384E" w:rsidRDefault="00DA6753">
      <w:pPr>
        <w:numPr>
          <w:ilvl w:val="0"/>
          <w:numId w:val="46"/>
        </w:numPr>
      </w:pPr>
      <w:r>
        <w:t>Para la opinión sobre las cuentas anuales, solo han de tenerse en cuenta los errores relacionados con el pago y la contabilización. No obstante, si el OC identifica errores de legalidad y regularidad en esta muestra, dichos errores deben declararse como errores conocidos en virtud del objetivo de auditoría n.º 2 (PARTE B).</w:t>
      </w:r>
    </w:p>
    <w:p w14:paraId="657B241D" w14:textId="77777777" w:rsidR="00C4384E" w:rsidRDefault="00C4384E"/>
    <w:p w14:paraId="40256180" w14:textId="77777777" w:rsidR="00C4384E" w:rsidRDefault="00A46069">
      <w:pPr>
        <w:pStyle w:val="Heading1"/>
        <w:numPr>
          <w:ilvl w:val="0"/>
          <w:numId w:val="74"/>
        </w:numPr>
      </w:pPr>
      <w:bookmarkStart w:id="23" w:name="_Toc16667605"/>
      <w:r>
        <w:t>Valoración del sistema de control interno</w:t>
      </w:r>
      <w:bookmarkEnd w:id="23"/>
    </w:p>
    <w:p w14:paraId="093F6AAC" w14:textId="55FFCDEF" w:rsidR="00C4384E" w:rsidRDefault="007067F1">
      <w:pPr>
        <w:spacing w:after="120"/>
      </w:pPr>
      <w:r>
        <w:t>Las técnicas utilizadas para las pruebas de controles incluyen valorar el entorno de control, la importancia de los controles, el riesgo de que las pruebas no sean concluyentes y el resultado de otras indagaciones. Las pruebas, que incluyen pruebas de procedimientos y pruebas de controles (pruebas de cumplimiento), cubrirán la eficacia tanto de la concepción como de la ejecución de los controles.</w:t>
      </w:r>
    </w:p>
    <w:p w14:paraId="60EC04F3" w14:textId="6239494D" w:rsidR="00C4384E" w:rsidRDefault="005E07A1">
      <w:pPr>
        <w:spacing w:after="120"/>
      </w:pPr>
      <w:r>
        <w:t>Para que el organismo de certificación identifique y valore el riesgo de incorrección material, debe tener conocimiento de la entidad y de su entorno. Esto incluirá, entre otras cosas, el conocimiento del sistema de control interno de la entidad y sus componentes (véase la NIA 315).</w:t>
      </w:r>
      <w:r w:rsidR="00805BA2">
        <w:t xml:space="preserve"> </w:t>
      </w:r>
      <w:r>
        <w:t>En el caso del organismo pagador, esto se traduce en los criterios de autorización establecidos en el anexo I del Reglamento (UE) n.º 907/2014 (es decir, los componentes del sistema de control interno):</w:t>
      </w:r>
    </w:p>
    <w:p w14:paraId="5986CE85" w14:textId="4EDB0FCE" w:rsidR="00C4384E" w:rsidRDefault="00681589">
      <w:pPr>
        <w:numPr>
          <w:ilvl w:val="0"/>
          <w:numId w:val="43"/>
        </w:numPr>
      </w:pPr>
      <w:r>
        <w:lastRenderedPageBreak/>
        <w:t>Entorno interior (incluida la estructura organizativa, los recursos humanos y la delegación).</w:t>
      </w:r>
    </w:p>
    <w:p w14:paraId="23ADA1E7" w14:textId="4C6D3D64" w:rsidR="00C4384E" w:rsidRDefault="00681589">
      <w:pPr>
        <w:numPr>
          <w:ilvl w:val="0"/>
          <w:numId w:val="43"/>
        </w:numPr>
      </w:pPr>
      <w:r>
        <w:t>Actividades de control.</w:t>
      </w:r>
    </w:p>
    <w:p w14:paraId="5728EFBC" w14:textId="40128E2F" w:rsidR="00C4384E" w:rsidRDefault="00681589">
      <w:pPr>
        <w:numPr>
          <w:ilvl w:val="0"/>
          <w:numId w:val="43"/>
        </w:numPr>
      </w:pPr>
      <w:r>
        <w:t>Información y comunicación (en particular, la seguridad de los sistemas de información).</w:t>
      </w:r>
    </w:p>
    <w:p w14:paraId="5881F0D0" w14:textId="5605B312" w:rsidR="00C4384E" w:rsidRDefault="00681589">
      <w:pPr>
        <w:numPr>
          <w:ilvl w:val="0"/>
          <w:numId w:val="43"/>
        </w:numPr>
      </w:pPr>
      <w:r>
        <w:t>Supervisión.</w:t>
      </w:r>
    </w:p>
    <w:p w14:paraId="0C003C86" w14:textId="33D7D914" w:rsidR="00C4384E" w:rsidRDefault="00224191">
      <w:pPr>
        <w:spacing w:after="120"/>
      </w:pPr>
      <w:r>
        <w:t xml:space="preserve">Sobre la base del conocimiento de los criterios de autorización establecidos por el OP, el OC también debe evaluar el planteamiento y la aplicación de los controles integrados en los procesos con respecto al organismo pagador (es decir, con respecto a la entidad). Un planteamiento inadecuado de los controles de la entidad, que no se ajusten a los criterios de autorización, puede representar una importante deficiencia en el sistema de control interno. </w:t>
      </w:r>
    </w:p>
    <w:p w14:paraId="001E95CF" w14:textId="40F0BAE7" w:rsidR="00C4384E" w:rsidRDefault="00B9764A">
      <w:pPr>
        <w:pStyle w:val="ListNumber3"/>
        <w:numPr>
          <w:ilvl w:val="0"/>
          <w:numId w:val="0"/>
        </w:numPr>
        <w:spacing w:after="120"/>
      </w:pPr>
      <w:r>
        <w:t xml:space="preserve">Tras valorar el sistema de control interno </w:t>
      </w:r>
      <w:r>
        <w:rPr>
          <w:u w:val="single"/>
        </w:rPr>
        <w:t>global</w:t>
      </w:r>
      <w:r>
        <w:t xml:space="preserve"> con respecto a la entidad sobre la base del cumplimiento de los criterios de autorización, el trabajo del organismo de certificación debe incluir un examen de los procesos concretos vigentes (mediante la revisión de los procedimientos). Dado que esta valoración abarca ambos objetivos de auditoría, solo debe hacerse una vez y tenerse en cuenta tanto para la auditoría de las cuentas anuales como para la auditoría sobre la legalidad y la regularidad.</w:t>
      </w:r>
    </w:p>
    <w:p w14:paraId="3065D15C" w14:textId="5F256BB0" w:rsidR="00C4384E" w:rsidRDefault="004F0864">
      <w:r>
        <w:t>La valoración del sistema de control interno abarca los elementos siguientes: debe servir de base para el establecimiento de la garantía del sistema en la fase de planificación de la auditoría y para la valoración del sistema de control interno en el ejercicio financiero auditado que debe emitirse en la opinión de auditoría. En lo que atañe al objetivo de auditoría n.º 1, los principales procedimientos de control siguientes</w:t>
      </w:r>
      <w:r>
        <w:rPr>
          <w:rStyle w:val="FootnoteReference"/>
        </w:rPr>
        <w:footnoteReference w:id="8"/>
      </w:r>
      <w:r>
        <w:t xml:space="preserve"> deben estar sujetos a dicha valoración:</w:t>
      </w:r>
    </w:p>
    <w:p w14:paraId="4D1D81E0" w14:textId="77777777" w:rsidR="00C4384E" w:rsidRDefault="00811F6F">
      <w:pPr>
        <w:rPr>
          <w:b/>
        </w:rPr>
      </w:pPr>
      <w:r>
        <w:rPr>
          <w:b/>
        </w:rPr>
        <w:t>En el caso de las transacciones operativas:</w:t>
      </w:r>
    </w:p>
    <w:p w14:paraId="000C533C" w14:textId="4B85ED71" w:rsidR="00C4384E" w:rsidRDefault="000F676F">
      <w:pPr>
        <w:numPr>
          <w:ilvl w:val="0"/>
          <w:numId w:val="46"/>
        </w:numPr>
      </w:pPr>
      <w:r>
        <w:t>Ejecución de los pagos.</w:t>
      </w:r>
    </w:p>
    <w:p w14:paraId="73E1C4A3" w14:textId="601B7623" w:rsidR="00C4384E" w:rsidRDefault="000F676F">
      <w:pPr>
        <w:numPr>
          <w:ilvl w:val="0"/>
          <w:numId w:val="46"/>
        </w:numPr>
      </w:pPr>
      <w:r>
        <w:t>Contabilidad de los pagos.</w:t>
      </w:r>
    </w:p>
    <w:p w14:paraId="3741A8FD" w14:textId="6711EA53" w:rsidR="00C4384E" w:rsidRDefault="00DE51E9">
      <w:pPr>
        <w:numPr>
          <w:ilvl w:val="0"/>
          <w:numId w:val="46"/>
        </w:numPr>
      </w:pPr>
      <w:r>
        <w:t xml:space="preserve">Notificación de los pagos en las declaraciones mensuales, trimestrales y anuales. </w:t>
      </w:r>
    </w:p>
    <w:p w14:paraId="6CFCB844" w14:textId="727550A6" w:rsidR="00C4384E" w:rsidRDefault="00A44F0C">
      <w:pPr>
        <w:numPr>
          <w:ilvl w:val="0"/>
          <w:numId w:val="46"/>
        </w:numPr>
      </w:pPr>
      <w:r>
        <w:t>Proceso de conciliación.</w:t>
      </w:r>
    </w:p>
    <w:p w14:paraId="3635F80C" w14:textId="77777777" w:rsidR="00C4384E" w:rsidRDefault="00811F6F">
      <w:pPr>
        <w:rPr>
          <w:b/>
        </w:rPr>
      </w:pPr>
      <w:r>
        <w:rPr>
          <w:b/>
        </w:rPr>
        <w:t>En el caso de las transacciones no operativas:</w:t>
      </w:r>
    </w:p>
    <w:p w14:paraId="4F79BB33" w14:textId="3E29A12F" w:rsidR="00C4384E" w:rsidRDefault="000F676F">
      <w:pPr>
        <w:numPr>
          <w:ilvl w:val="0"/>
          <w:numId w:val="46"/>
        </w:numPr>
      </w:pPr>
      <w:r>
        <w:t>Registro, gestión de los análisis y notificación de irregularidades y deudas.</w:t>
      </w:r>
    </w:p>
    <w:p w14:paraId="0C0F8160" w14:textId="7FA08718" w:rsidR="00C4384E" w:rsidRDefault="00BF72BC">
      <w:r>
        <w:lastRenderedPageBreak/>
        <w:t>Estos procedimientos también cubren la gestión de anticipos y garantías (al tratarse estos últimos de transacciones no operativas). El OC también puede decidir someter a prueba las garantías en función del examen del procedimiento de garantías del OP, para examinar por qué algunas garantías fueron rechazadas y otras aceptadas. No se requiere ninguna evaluación por separado de estos procedimientos secundarios, pero deben valorarse en el marco de la revisión de los procedimientos principales.</w:t>
      </w:r>
    </w:p>
    <w:p w14:paraId="49E2FE4A" w14:textId="4C6BB1C8" w:rsidR="00C4384E" w:rsidRDefault="00F040C0">
      <w:r>
        <w:t>La valoración ha de efectuarse con respecto a la población considerada para dicho ejercicio (véase la sección 6) para el Fondo respectivo (FEAGA o Feader).</w:t>
      </w:r>
    </w:p>
    <w:p w14:paraId="2442427D" w14:textId="26AAECDA" w:rsidR="00C4384E" w:rsidRDefault="00905A70">
      <w:pPr>
        <w:pStyle w:val="Heading2"/>
      </w:pPr>
      <w:bookmarkStart w:id="24" w:name="_Toc16667606"/>
      <w:r>
        <w:t>5.1 Valoración del entorno de control para el establecimiento de la garantía del sistema</w:t>
      </w:r>
      <w:bookmarkEnd w:id="24"/>
    </w:p>
    <w:p w14:paraId="1CFD7494" w14:textId="77777777" w:rsidR="00C4384E" w:rsidRDefault="000F676F">
      <w:pPr>
        <w:spacing w:after="120"/>
      </w:pPr>
      <w:r>
        <w:t>El trabajo del OC debe comenzar con una revisión del entorno general de control de los procedimientos de control antes mencionados teniendo en cuenta lo siguiente:</w:t>
      </w:r>
    </w:p>
    <w:p w14:paraId="426E09F6" w14:textId="4320A6DE" w:rsidR="00C4384E" w:rsidRDefault="00994452">
      <w:pPr>
        <w:numPr>
          <w:ilvl w:val="0"/>
          <w:numId w:val="51"/>
        </w:numPr>
        <w:spacing w:after="120"/>
      </w:pPr>
      <w:r>
        <w:t>Los resultados de las auditorías de años anteriores para estos procedimientos de control (por ejemplo, la clasificación que figura en las matrices de autorización).</w:t>
      </w:r>
    </w:p>
    <w:p w14:paraId="1281050D" w14:textId="7C3A0C71" w:rsidR="00C4384E" w:rsidRDefault="00994452">
      <w:pPr>
        <w:numPr>
          <w:ilvl w:val="0"/>
          <w:numId w:val="51"/>
        </w:numPr>
        <w:spacing w:after="120"/>
      </w:pPr>
      <w:r>
        <w:t>Los cambios jurídicos, organizativos, procedimentales, de sistema informático y de recursos humanos introducidos.</w:t>
      </w:r>
    </w:p>
    <w:p w14:paraId="204D8296" w14:textId="06D8D4A6" w:rsidR="00C4384E" w:rsidRDefault="00AB5868">
      <w:pPr>
        <w:spacing w:after="120"/>
      </w:pPr>
      <w:r>
        <w:t>Además, el organismo de certificación debe desempeñar las siguientes tareas:</w:t>
      </w:r>
    </w:p>
    <w:p w14:paraId="589788A3" w14:textId="4762A0FF" w:rsidR="00C4384E" w:rsidRDefault="00AB5868">
      <w:pPr>
        <w:numPr>
          <w:ilvl w:val="0"/>
          <w:numId w:val="52"/>
        </w:numPr>
        <w:spacing w:after="120"/>
      </w:pPr>
      <w:r>
        <w:t>Obtener un conocimiento de los procedimientos y sistemas de control del OP.</w:t>
      </w:r>
    </w:p>
    <w:p w14:paraId="4861AE61" w14:textId="3D9DDCD8" w:rsidR="00C4384E" w:rsidRDefault="00AB5868">
      <w:pPr>
        <w:numPr>
          <w:ilvl w:val="0"/>
          <w:numId w:val="52"/>
        </w:numPr>
        <w:spacing w:after="120"/>
      </w:pPr>
      <w:r>
        <w:t>Revisar el proceso de «traducción» a través del cual se incorporan los requisitos establecidos en los Reglamentos de la UE en el manual, los procedimientos informáticos y las instrucciones escritas del OP.</w:t>
      </w:r>
    </w:p>
    <w:p w14:paraId="666B9EEB" w14:textId="5130FB72" w:rsidR="00C4384E" w:rsidRDefault="00AB5868">
      <w:pPr>
        <w:numPr>
          <w:ilvl w:val="0"/>
          <w:numId w:val="52"/>
        </w:numPr>
        <w:spacing w:after="120"/>
      </w:pPr>
      <w:r>
        <w:t>Efectuar pruebas «de recorrido» de los procesos/procedimientos, incluidos los procesos informáticos para determinar las funcionalidades del sistema de control.</w:t>
      </w:r>
    </w:p>
    <w:p w14:paraId="49BC9BDA" w14:textId="77777777" w:rsidR="00C4384E" w:rsidRDefault="00AB5868">
      <w:pPr>
        <w:numPr>
          <w:ilvl w:val="0"/>
          <w:numId w:val="52"/>
        </w:numPr>
        <w:spacing w:after="120"/>
      </w:pPr>
      <w:r>
        <w:t>Identificar los problemas potenciales o los riesgos en el proceso/procedimiento y en los controles conexos.</w:t>
      </w:r>
    </w:p>
    <w:p w14:paraId="029B48D0" w14:textId="77777777" w:rsidR="00C4384E" w:rsidRDefault="002732A5">
      <w:pPr>
        <w:spacing w:after="120"/>
        <w:rPr>
          <w:b/>
        </w:rPr>
      </w:pPr>
      <w:r>
        <w:t>Sobre la base de lo anterior, si el OC decide confiar en el sistema de control interno, debe efectuar pruebas de cumplimiento (prueba de los controles) de los controles seleccionados (véase la sección 5.3 más adelante).</w:t>
      </w:r>
    </w:p>
    <w:p w14:paraId="1A44F2CF" w14:textId="091FB6BA" w:rsidR="00C4384E" w:rsidRDefault="00994452">
      <w:pPr>
        <w:spacing w:after="120"/>
      </w:pPr>
      <w:r>
        <w:rPr>
          <w:b/>
        </w:rPr>
        <w:t>Resultado:</w:t>
      </w:r>
      <w:r>
        <w:t xml:space="preserve"> definición de la garantía del sistema basada en las siguientes categorías:</w:t>
      </w:r>
    </w:p>
    <w:tbl>
      <w:tblPr>
        <w:tblW w:w="7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3005"/>
        <w:gridCol w:w="2376"/>
      </w:tblGrid>
      <w:tr w:rsidR="00C4384E" w14:paraId="6F91EAAA" w14:textId="77777777" w:rsidTr="004C779D">
        <w:trPr>
          <w:jc w:val="center"/>
        </w:trPr>
        <w:tc>
          <w:tcPr>
            <w:tcW w:w="2180" w:type="dxa"/>
          </w:tcPr>
          <w:p w14:paraId="6223BF39" w14:textId="77777777" w:rsidR="00C4384E" w:rsidRDefault="00931263">
            <w:pPr>
              <w:pStyle w:val="Text1"/>
              <w:spacing w:after="0"/>
              <w:ind w:left="0"/>
              <w:jc w:val="center"/>
              <w:rPr>
                <w:b/>
              </w:rPr>
            </w:pPr>
            <w:r>
              <w:rPr>
                <w:b/>
              </w:rPr>
              <w:t>Evaluación de riesgos combinada (RI x RC)</w:t>
            </w:r>
          </w:p>
        </w:tc>
        <w:tc>
          <w:tcPr>
            <w:tcW w:w="3005" w:type="dxa"/>
            <w:shd w:val="clear" w:color="auto" w:fill="auto"/>
          </w:tcPr>
          <w:p w14:paraId="106BDE41" w14:textId="77777777" w:rsidR="00C4384E" w:rsidRDefault="00931263">
            <w:pPr>
              <w:pStyle w:val="Text1"/>
              <w:spacing w:after="0"/>
              <w:ind w:left="0"/>
              <w:jc w:val="center"/>
              <w:rPr>
                <w:b/>
              </w:rPr>
            </w:pPr>
            <w:r>
              <w:rPr>
                <w:b/>
              </w:rPr>
              <w:t>Valoración de los procedimientos de control</w:t>
            </w:r>
          </w:p>
        </w:tc>
        <w:tc>
          <w:tcPr>
            <w:tcW w:w="2376" w:type="dxa"/>
          </w:tcPr>
          <w:p w14:paraId="153A1059" w14:textId="77777777" w:rsidR="00C4384E" w:rsidRDefault="00931263">
            <w:pPr>
              <w:pStyle w:val="Text1"/>
              <w:spacing w:after="0"/>
              <w:ind w:left="0"/>
              <w:jc w:val="center"/>
              <w:rPr>
                <w:b/>
              </w:rPr>
            </w:pPr>
            <w:r>
              <w:rPr>
                <w:b/>
              </w:rPr>
              <w:t>Garantía del sistema</w:t>
            </w:r>
          </w:p>
        </w:tc>
      </w:tr>
      <w:tr w:rsidR="00C4384E" w14:paraId="300D1D9C" w14:textId="77777777" w:rsidTr="004C779D">
        <w:trPr>
          <w:jc w:val="center"/>
        </w:trPr>
        <w:tc>
          <w:tcPr>
            <w:tcW w:w="2180" w:type="dxa"/>
          </w:tcPr>
          <w:p w14:paraId="4BE46EC6" w14:textId="77777777" w:rsidR="00C4384E" w:rsidRDefault="00931263">
            <w:pPr>
              <w:pStyle w:val="Text1"/>
              <w:spacing w:after="0"/>
              <w:ind w:left="0"/>
              <w:jc w:val="center"/>
            </w:pPr>
            <w:r>
              <w:t>Mínima</w:t>
            </w:r>
          </w:p>
        </w:tc>
        <w:tc>
          <w:tcPr>
            <w:tcW w:w="3005" w:type="dxa"/>
            <w:shd w:val="clear" w:color="auto" w:fill="auto"/>
          </w:tcPr>
          <w:p w14:paraId="157A74E1" w14:textId="77777777" w:rsidR="00C4384E" w:rsidRDefault="00931263">
            <w:pPr>
              <w:pStyle w:val="Text1"/>
              <w:spacing w:after="0"/>
              <w:ind w:left="0"/>
              <w:jc w:val="center"/>
            </w:pPr>
            <w:r>
              <w:t>1. Funciona bien</w:t>
            </w:r>
          </w:p>
        </w:tc>
        <w:tc>
          <w:tcPr>
            <w:tcW w:w="2376" w:type="dxa"/>
          </w:tcPr>
          <w:p w14:paraId="15E29224" w14:textId="4123D6F7" w:rsidR="00C4384E" w:rsidRDefault="00931263">
            <w:pPr>
              <w:pStyle w:val="Text1"/>
              <w:spacing w:after="0"/>
              <w:ind w:left="0"/>
              <w:jc w:val="center"/>
            </w:pPr>
            <w:r>
              <w:t>Alta/Media alta</w:t>
            </w:r>
          </w:p>
        </w:tc>
      </w:tr>
      <w:tr w:rsidR="00C4384E" w14:paraId="573D3747" w14:textId="77777777" w:rsidTr="004C779D">
        <w:trPr>
          <w:jc w:val="center"/>
        </w:trPr>
        <w:tc>
          <w:tcPr>
            <w:tcW w:w="2180" w:type="dxa"/>
          </w:tcPr>
          <w:p w14:paraId="0235BBCC" w14:textId="77777777" w:rsidR="00C4384E" w:rsidRDefault="00931263">
            <w:pPr>
              <w:pStyle w:val="Text1"/>
              <w:spacing w:after="0"/>
              <w:ind w:left="0"/>
              <w:jc w:val="center"/>
            </w:pPr>
            <w:r>
              <w:t>Baja</w:t>
            </w:r>
          </w:p>
        </w:tc>
        <w:tc>
          <w:tcPr>
            <w:tcW w:w="3005" w:type="dxa"/>
            <w:shd w:val="clear" w:color="auto" w:fill="auto"/>
          </w:tcPr>
          <w:p w14:paraId="62723795" w14:textId="77777777" w:rsidR="00C4384E" w:rsidRDefault="00931263">
            <w:pPr>
              <w:pStyle w:val="Text1"/>
              <w:spacing w:after="0"/>
              <w:ind w:left="0"/>
              <w:jc w:val="center"/>
            </w:pPr>
            <w:r>
              <w:t>2. Funciona</w:t>
            </w:r>
          </w:p>
        </w:tc>
        <w:tc>
          <w:tcPr>
            <w:tcW w:w="2376" w:type="dxa"/>
          </w:tcPr>
          <w:p w14:paraId="52CB2AFE" w14:textId="77777777" w:rsidR="00C4384E" w:rsidRDefault="00931263">
            <w:pPr>
              <w:pStyle w:val="Text1"/>
              <w:spacing w:after="0"/>
              <w:ind w:left="0"/>
              <w:jc w:val="center"/>
            </w:pPr>
            <w:r>
              <w:t>Media</w:t>
            </w:r>
          </w:p>
        </w:tc>
      </w:tr>
      <w:tr w:rsidR="00C4384E" w14:paraId="1BC2575B" w14:textId="77777777" w:rsidTr="004C779D">
        <w:trPr>
          <w:jc w:val="center"/>
        </w:trPr>
        <w:tc>
          <w:tcPr>
            <w:tcW w:w="2180" w:type="dxa"/>
          </w:tcPr>
          <w:p w14:paraId="627E72F0" w14:textId="77777777" w:rsidR="00C4384E" w:rsidRDefault="00931263">
            <w:pPr>
              <w:pStyle w:val="Text1"/>
              <w:spacing w:after="0"/>
              <w:ind w:left="0"/>
              <w:jc w:val="center"/>
            </w:pPr>
            <w:r>
              <w:t>Moderada</w:t>
            </w:r>
          </w:p>
        </w:tc>
        <w:tc>
          <w:tcPr>
            <w:tcW w:w="3005" w:type="dxa"/>
            <w:shd w:val="clear" w:color="auto" w:fill="auto"/>
          </w:tcPr>
          <w:p w14:paraId="280C3A5B" w14:textId="77777777" w:rsidR="00C4384E" w:rsidRDefault="00931263">
            <w:pPr>
              <w:pStyle w:val="Text1"/>
              <w:spacing w:after="0"/>
              <w:ind w:left="0"/>
              <w:jc w:val="center"/>
            </w:pPr>
            <w:r>
              <w:t>3. Funciona parcialmente</w:t>
            </w:r>
          </w:p>
        </w:tc>
        <w:tc>
          <w:tcPr>
            <w:tcW w:w="2376" w:type="dxa"/>
          </w:tcPr>
          <w:p w14:paraId="78276E60" w14:textId="2817D73D" w:rsidR="00C4384E" w:rsidRDefault="00931263">
            <w:pPr>
              <w:pStyle w:val="Text1"/>
              <w:spacing w:after="0"/>
              <w:ind w:left="0"/>
              <w:jc w:val="center"/>
            </w:pPr>
            <w:r>
              <w:t>Media baja</w:t>
            </w:r>
          </w:p>
        </w:tc>
      </w:tr>
      <w:tr w:rsidR="00C4384E" w14:paraId="6FE2BA89" w14:textId="77777777" w:rsidTr="004C779D">
        <w:trPr>
          <w:jc w:val="center"/>
        </w:trPr>
        <w:tc>
          <w:tcPr>
            <w:tcW w:w="2180" w:type="dxa"/>
          </w:tcPr>
          <w:p w14:paraId="099E08EA" w14:textId="77777777" w:rsidR="00C4384E" w:rsidRDefault="00931263">
            <w:pPr>
              <w:pStyle w:val="Text1"/>
              <w:spacing w:after="0"/>
              <w:ind w:left="0"/>
              <w:jc w:val="center"/>
            </w:pPr>
            <w:r>
              <w:t>Elevada</w:t>
            </w:r>
          </w:p>
        </w:tc>
        <w:tc>
          <w:tcPr>
            <w:tcW w:w="3005" w:type="dxa"/>
            <w:shd w:val="clear" w:color="auto" w:fill="auto"/>
          </w:tcPr>
          <w:p w14:paraId="0EC8BE18" w14:textId="77777777" w:rsidR="00C4384E" w:rsidRDefault="00931263">
            <w:pPr>
              <w:pStyle w:val="Text1"/>
              <w:spacing w:after="0"/>
              <w:ind w:left="0"/>
              <w:jc w:val="center"/>
            </w:pPr>
            <w:r>
              <w:t>4. No funciona</w:t>
            </w:r>
            <w:r>
              <w:rPr>
                <w:rStyle w:val="FootnoteReference"/>
              </w:rPr>
              <w:footnoteReference w:id="9"/>
            </w:r>
          </w:p>
        </w:tc>
        <w:tc>
          <w:tcPr>
            <w:tcW w:w="2376" w:type="dxa"/>
          </w:tcPr>
          <w:p w14:paraId="46316454" w14:textId="77777777" w:rsidR="00C4384E" w:rsidRDefault="00931263">
            <w:pPr>
              <w:pStyle w:val="Text1"/>
              <w:spacing w:after="0"/>
              <w:ind w:left="0"/>
              <w:jc w:val="center"/>
            </w:pPr>
            <w:r>
              <w:t>Baja</w:t>
            </w:r>
          </w:p>
        </w:tc>
      </w:tr>
    </w:tbl>
    <w:p w14:paraId="681B19AC" w14:textId="77777777" w:rsidR="00C4384E" w:rsidRDefault="00C4384E">
      <w:pPr>
        <w:spacing w:after="120"/>
      </w:pPr>
    </w:p>
    <w:p w14:paraId="72B4B7B8" w14:textId="35A8FDA7" w:rsidR="00C4384E" w:rsidRDefault="00994452">
      <w:pPr>
        <w:spacing w:after="120"/>
      </w:pPr>
      <w:r>
        <w:t>Esto permitirá a los auditores determinar el nivel de garantía que debe obtenerse de las pruebas sustantivas.</w:t>
      </w:r>
    </w:p>
    <w:p w14:paraId="19F8FEB0" w14:textId="77777777" w:rsidR="00C4384E" w:rsidRDefault="00905A70">
      <w:pPr>
        <w:pStyle w:val="Heading2"/>
      </w:pPr>
      <w:bookmarkStart w:id="25" w:name="_Toc16667607"/>
      <w:r>
        <w:t>5.2 Revisión de los procedimientos de control</w:t>
      </w:r>
      <w:bookmarkEnd w:id="25"/>
    </w:p>
    <w:p w14:paraId="004F6EB2" w14:textId="65345E97" w:rsidR="00C4384E" w:rsidRDefault="00994452">
      <w:pPr>
        <w:spacing w:after="120"/>
      </w:pPr>
      <w:r>
        <w:t>En función de la fiabilidad de los procesos/procedimientos de control valorados en la etapa anterior, el OC debe planificar las pruebas de controles. Aunque el OC decida que el sistema de control interno no es fiable, y por tanto no prevea obtener ninguna garantía de esta valoración, debe llevar a cabo una parte del siguiente trabajo de revisión para identificar las deficiencias concretas y las medidas correctoras:</w:t>
      </w:r>
    </w:p>
    <w:p w14:paraId="02566475" w14:textId="4FE4BEEC" w:rsidR="00C4384E" w:rsidRDefault="00133043">
      <w:pPr>
        <w:numPr>
          <w:ilvl w:val="0"/>
          <w:numId w:val="52"/>
        </w:numPr>
        <w:spacing w:after="120"/>
      </w:pPr>
      <w:r>
        <w:t>Obtener un conocimiento de los procedimientos y sistemas de control del OP.</w:t>
      </w:r>
    </w:p>
    <w:p w14:paraId="47587C0D" w14:textId="008AA3C2" w:rsidR="00C4384E" w:rsidRDefault="00E75B2F">
      <w:pPr>
        <w:numPr>
          <w:ilvl w:val="0"/>
          <w:numId w:val="52"/>
        </w:numPr>
        <w:spacing w:after="120"/>
      </w:pPr>
      <w:r>
        <w:t>Revisar el proceso de «traducción» a través del cual se incorporan los requisitos establecidos en los Reglamentos de la UE en el manual, los procedimientos informáticos y las instrucciones escritas del OP.</w:t>
      </w:r>
    </w:p>
    <w:p w14:paraId="289BD2A2" w14:textId="130334D7" w:rsidR="00C4384E" w:rsidRDefault="00E75B2F">
      <w:pPr>
        <w:numPr>
          <w:ilvl w:val="0"/>
          <w:numId w:val="52"/>
        </w:numPr>
        <w:spacing w:after="120"/>
      </w:pPr>
      <w:r>
        <w:t>Efectuar pruebas «de recorrido» de los procesos/procedimientos, incluidos los procesos informáticos para determinar las funcionalidades del sistema de control.</w:t>
      </w:r>
    </w:p>
    <w:p w14:paraId="7CEC552F" w14:textId="3CF65086" w:rsidR="00C4384E" w:rsidRDefault="007C5D03">
      <w:pPr>
        <w:numPr>
          <w:ilvl w:val="0"/>
          <w:numId w:val="52"/>
        </w:numPr>
        <w:spacing w:after="120"/>
      </w:pPr>
      <w:r>
        <w:t>Identificar los problemas potenciales o los riesgos en el proceso/procedimiento y en los controles conexos.</w:t>
      </w:r>
    </w:p>
    <w:p w14:paraId="118CDF18" w14:textId="77777777" w:rsidR="00C4384E" w:rsidRDefault="00C4384E">
      <w:pPr>
        <w:spacing w:after="120"/>
      </w:pPr>
    </w:p>
    <w:p w14:paraId="6457484D" w14:textId="7C153B76" w:rsidR="00C4384E" w:rsidRDefault="00E75B2F">
      <w:pPr>
        <w:spacing w:after="120"/>
      </w:pPr>
      <w:r>
        <w:t>Estos procedimientos deberían permitir a los auditores determinar si:</w:t>
      </w:r>
    </w:p>
    <w:p w14:paraId="037D8EBD" w14:textId="47C158AC" w:rsidR="00C4384E" w:rsidRDefault="00E75B2F">
      <w:pPr>
        <w:pStyle w:val="ListDash4"/>
        <w:numPr>
          <w:ilvl w:val="0"/>
          <w:numId w:val="22"/>
        </w:numPr>
        <w:spacing w:after="120"/>
      </w:pPr>
      <w:r>
        <w:t>las instrucciones escritas de cada una de las siguientes categorías: ejecución y contabilidad de los pagos, registro y cómputo de las deudas son exhaustivas y están actualizadas y disponibles para todo el personal;</w:t>
      </w:r>
    </w:p>
    <w:p w14:paraId="02D99732" w14:textId="5F739D91" w:rsidR="00C4384E" w:rsidRDefault="00E75B2F">
      <w:pPr>
        <w:pStyle w:val="ListDash4"/>
        <w:numPr>
          <w:ilvl w:val="0"/>
          <w:numId w:val="22"/>
        </w:numPr>
        <w:spacing w:after="120"/>
      </w:pPr>
      <w:r>
        <w:t>el sistema informático y los procedimientos correspondientes están bien concebidos y aplicados para satisfacer los requisitos de procedimiento (incluidos en la legislación nacional y de la UE);</w:t>
      </w:r>
    </w:p>
    <w:p w14:paraId="708A04EB" w14:textId="21637F05" w:rsidR="00C4384E" w:rsidRDefault="00E75B2F">
      <w:pPr>
        <w:pStyle w:val="ListDash4"/>
        <w:numPr>
          <w:ilvl w:val="0"/>
          <w:numId w:val="22"/>
        </w:numPr>
        <w:spacing w:after="120"/>
      </w:pPr>
      <w:r>
        <w:t xml:space="preserve">las funciones de pago y </w:t>
      </w:r>
      <w:r w:rsidR="00805BA2">
        <w:t>contabilidad,</w:t>
      </w:r>
      <w:r>
        <w:t xml:space="preserve"> así como las de gestión de las deudas están debidamente separadas, definidas y sometidas a un control de supervisión;</w:t>
      </w:r>
    </w:p>
    <w:p w14:paraId="79EBAE92" w14:textId="77777777" w:rsidR="00C4384E" w:rsidRDefault="00E75B2F">
      <w:pPr>
        <w:pStyle w:val="ListDash4"/>
        <w:numPr>
          <w:ilvl w:val="0"/>
          <w:numId w:val="22"/>
        </w:numPr>
        <w:spacing w:after="120"/>
      </w:pPr>
      <w:r>
        <w:t>la formación y la rotación del personal son adecuadas;</w:t>
      </w:r>
    </w:p>
    <w:p w14:paraId="619509E7" w14:textId="77777777" w:rsidR="00C4384E" w:rsidRDefault="00E75B2F">
      <w:pPr>
        <w:pStyle w:val="ListDash4"/>
        <w:numPr>
          <w:ilvl w:val="0"/>
          <w:numId w:val="22"/>
        </w:numPr>
        <w:spacing w:after="120"/>
      </w:pPr>
      <w:r>
        <w:t>existen procedimientos adecuados para el control y el seguimiento de los órganos de dirección; y</w:t>
      </w:r>
    </w:p>
    <w:p w14:paraId="2DA9CE4B" w14:textId="74E3A32F" w:rsidR="00C4384E" w:rsidRDefault="00E75B2F">
      <w:pPr>
        <w:numPr>
          <w:ilvl w:val="0"/>
          <w:numId w:val="22"/>
        </w:numPr>
        <w:spacing w:after="120"/>
      </w:pPr>
      <w:r>
        <w:t>se han adoptado medidas adecuadas en respuesta a las recomendaciones de mejora aceptadas por los OP como elemento necesario del proceso de autorización.</w:t>
      </w:r>
    </w:p>
    <w:p w14:paraId="665BD1E2" w14:textId="20F61C35" w:rsidR="00C4384E" w:rsidRDefault="003550A8">
      <w:pPr>
        <w:spacing w:after="120"/>
      </w:pPr>
      <w:r>
        <w:t>El OC debe obtener evidencia de auditoría suficiente y adecuada de que los controles seleccionados para la prueba funcionan eficazmente y de la forma prevista a lo largo de todo el período de confianza para prevenir o detectar y corregir incorrecciones materiales con respecto a las afirmaciones. En general, el organismo de certificación debe ser capaz de concluir si el SCI está concebido de conformidad con los criterios de autorización, si funciona según lo previsto y si es eficaz para salvaguardar la financiación de la Unión. Esto debe hacerse como parte de los procedimientos de auditoría tanto si el OC confía en el SCI como si no confía.</w:t>
      </w:r>
    </w:p>
    <w:p w14:paraId="6B8FC59B" w14:textId="03994BAF" w:rsidR="00C4384E" w:rsidRDefault="009521B5">
      <w:pPr>
        <w:spacing w:after="120"/>
      </w:pPr>
      <w:r>
        <w:t xml:space="preserve">Entre las técnicas antes mencionadas, las pruebas de auditoría de los sistemas informáticos desempeñan un papel fundamental ya que hoy en día la mayor parte de los procedimientos del OP se realizan a través de tecnologías de la información. Las </w:t>
      </w:r>
      <w:r>
        <w:lastRenderedPageBreak/>
        <w:t xml:space="preserve">tecnologías de la información permiten procesar los datos y transacciones de un modo coherente y mejoran la capacidad de supervisar el rendimiento de las actividades de control; asimismo posibilitan una separación eficaz de funciones, al implantar mecanismos de control del acceso en las aplicaciones, las bases de datos y los sistemas operativos. Por lo tanto, para poder confiar en los controles automatizados integrados en los sistemas informáticos, el OC puede llevar a cabo procedimientos de auditoría para determinar si se ha aplicado un control automatizado que pueda servir para comprobar la eficacia del funcionamiento de ese control. A tal fin, también se debe tener en cuenta la valoración y la comprobación de los controles informáticos generales, incluida la seguridad informática y los procedimientos de gestión del cambio. La planificación de las pruebas del sistema informático debe reflejarse adecuadamente en los procedimientos de auditoría del organismo de certificación. </w:t>
      </w:r>
    </w:p>
    <w:p w14:paraId="059CCAD7" w14:textId="77777777" w:rsidR="00C4384E" w:rsidRDefault="00C85CE2">
      <w:pPr>
        <w:pStyle w:val="ListParagraph"/>
        <w:spacing w:after="160" w:line="259" w:lineRule="auto"/>
        <w:contextualSpacing/>
      </w:pPr>
      <w:r>
        <w:t xml:space="preserve"> </w:t>
      </w:r>
    </w:p>
    <w:p w14:paraId="6B1E5393" w14:textId="77777777" w:rsidR="00C4384E" w:rsidRDefault="00905A70">
      <w:pPr>
        <w:pStyle w:val="Heading3"/>
        <w:numPr>
          <w:ilvl w:val="0"/>
          <w:numId w:val="0"/>
        </w:numPr>
        <w:ind w:firstLine="720"/>
        <w:rPr>
          <w:rStyle w:val="Heading3Char"/>
        </w:rPr>
      </w:pPr>
      <w:bookmarkStart w:id="26" w:name="_Toc16667608"/>
      <w:r>
        <w:rPr>
          <w:rStyle w:val="Heading3Char"/>
        </w:rPr>
        <w:t>5.2.1 Revisión de los controles informáticos generales</w:t>
      </w:r>
      <w:bookmarkEnd w:id="26"/>
    </w:p>
    <w:p w14:paraId="05791475" w14:textId="7003CA31" w:rsidR="00C4384E" w:rsidRDefault="009D0E38">
      <w:pPr>
        <w:spacing w:after="120"/>
      </w:pPr>
      <w:r>
        <w:t>Si el OP dispone de un certificado ISO 27001:2013, los OC pueden tenerlo en cuenta en sus pruebas del SCI y confiar en la ejecución del Sistema de Gestión de Seguridad de la Información (SGSI). Si el OP dispone de un certificado ISO 27001/BSI ISO 27001, y el ámbito del mismo abarca todas las tareas fundamentales del OP, no es necesario que el OC realice un trabajo de garantía suplementario en cuanto a la seguridad de los sistemas de información. Sin embargo, el OC puede decidir realizar algún trabajo de auditoría en caso de que tenga algunas dudas fundadas sobre el proceso de certificación o su calidad o en caso de que el certificado no abarque todas las tareas fundamentales/todos los organismos delegados.</w:t>
      </w:r>
    </w:p>
    <w:p w14:paraId="2938B9A5" w14:textId="08EA7DCA" w:rsidR="00C4384E" w:rsidRDefault="009D0E38">
      <w:pPr>
        <w:spacing w:after="120"/>
      </w:pPr>
      <w:r>
        <w:t>Si el OP no dispone de un certificado ISO, el OC debe cerciorarse de que los controles de la seguridad de la información en la norma de seguridad de la información elegida se cumplen, capítulo por capítulo. Este trabajo de auditoría puede ser realizado por el propio OC o a través de una empresa externa.</w:t>
      </w:r>
    </w:p>
    <w:p w14:paraId="0036BCDF" w14:textId="69A34C95" w:rsidR="00C4384E" w:rsidRDefault="009D0E38">
      <w:pPr>
        <w:spacing w:after="120"/>
      </w:pPr>
      <w:r>
        <w:t>Los controles informáticos generales se aplican a todos los componentes, procesos y datos de los sistemas informáticos presentes en el entorno de una or</w:t>
      </w:r>
      <w:r w:rsidR="004C779D">
        <w:t>ganización o de los sistemas.</w:t>
      </w:r>
    </w:p>
    <w:p w14:paraId="4EF866E4" w14:textId="77777777" w:rsidR="00C4384E" w:rsidRDefault="00C4384E">
      <w:pPr>
        <w:spacing w:after="120"/>
        <w:rPr>
          <w:b/>
        </w:rPr>
      </w:pPr>
    </w:p>
    <w:p w14:paraId="2A90154B" w14:textId="77777777" w:rsidR="00C4384E" w:rsidRDefault="00905A70">
      <w:pPr>
        <w:pStyle w:val="Heading3"/>
        <w:numPr>
          <w:ilvl w:val="0"/>
          <w:numId w:val="0"/>
        </w:numPr>
        <w:ind w:firstLine="720"/>
        <w:rPr>
          <w:rStyle w:val="Heading3Char"/>
        </w:rPr>
      </w:pPr>
      <w:bookmarkStart w:id="27" w:name="_Toc16667609"/>
      <w:r>
        <w:rPr>
          <w:rStyle w:val="Heading3Char"/>
        </w:rPr>
        <w:t>5.2.2 Revisión de los controles de aplicaciones informáticas</w:t>
      </w:r>
      <w:bookmarkEnd w:id="27"/>
    </w:p>
    <w:p w14:paraId="748DA5A6" w14:textId="4738BBDB" w:rsidR="00C4384E" w:rsidRDefault="00DD763B">
      <w:pPr>
        <w:spacing w:after="120"/>
      </w:pPr>
      <w:r>
        <w:t>Cada organismo pagador posee numerosos sistemas informáticos y aplicaciones informáticas con controles integrados en los mismos. Algunos controles están automatizados (sin interferencia manual) y el OC puede estudiar la posibilidad de verificar los controles de la aplicación automatizada ya que, si funcionan conforme a lo esperado, ofrecen una elevada fiabilidad además de permitir un uso eficiente de los recursos de auditoría. Con el fin de confiar en los controles automatizados al nivel de aplicación, el OC puede llevar a cabo procedimientos de auditoría para determinar si se ha implantado un control automatizado.</w:t>
      </w:r>
      <w:r>
        <w:rPr>
          <w:i/>
        </w:rPr>
        <w:t xml:space="preserve"> </w:t>
      </w:r>
      <w:r>
        <w:t xml:space="preserve">Sin embargo, debido a limitaciones de tiempo, el OC no puede revisar todas las aplicaciones cada año y, por lo tanto, la selección de las aplicaciones que deben probarse tiene que basarse en una evaluación de riesgos. </w:t>
      </w:r>
    </w:p>
    <w:p w14:paraId="7918D57A" w14:textId="470F1E58" w:rsidR="00C4384E" w:rsidRDefault="009D0E38">
      <w:r>
        <w:t xml:space="preserve">Una vez seleccionada la aplicación informática, el OC debe determinar qué controles automatizados de las aplicaciones debe someter a prueba. La norma general consiste en someter a prueba los controles de aplicaciones que cubren la mayor parte de las afirmaciones de auditoría y de los problemas potenciales. Una vez seleccionado un </w:t>
      </w:r>
      <w:r>
        <w:lastRenderedPageBreak/>
        <w:t xml:space="preserve">control automatizado de aplicación para comprobar y determinar que funciona según lo previsto, el OC podrá estudiar la posibilidad de realizar una </w:t>
      </w:r>
      <w:r>
        <w:rPr>
          <w:b/>
        </w:rPr>
        <w:t>prueba única</w:t>
      </w:r>
      <w:r>
        <w:rPr>
          <w:rStyle w:val="FootnoteReference"/>
          <w:b/>
        </w:rPr>
        <w:footnoteReference w:id="10"/>
      </w:r>
      <w:r>
        <w:t xml:space="preserve"> de ese control así como algunas otras pruebas para determinar que el control sigue funcionando eficazmente. Tales pruebas podrían incluir una verificación de que:</w:t>
      </w:r>
    </w:p>
    <w:p w14:paraId="48C2930B" w14:textId="1646ED67" w:rsidR="00C4384E" w:rsidRDefault="009D0E38">
      <w:pPr>
        <w:pStyle w:val="ListParagraph"/>
        <w:numPr>
          <w:ilvl w:val="0"/>
          <w:numId w:val="104"/>
        </w:numPr>
      </w:pPr>
      <w:r>
        <w:t>todos los datos de entrada son exactos, completos, autorizados y correctos;</w:t>
      </w:r>
    </w:p>
    <w:p w14:paraId="6B8FF239" w14:textId="701F02DB" w:rsidR="00C4384E" w:rsidRDefault="009D0E38">
      <w:pPr>
        <w:pStyle w:val="ListParagraph"/>
        <w:numPr>
          <w:ilvl w:val="0"/>
          <w:numId w:val="104"/>
        </w:numPr>
      </w:pPr>
      <w:r>
        <w:t>todos los datos se procesan según lo previsto;</w:t>
      </w:r>
    </w:p>
    <w:p w14:paraId="0C4C5DC3" w14:textId="376C81BB" w:rsidR="00C4384E" w:rsidRDefault="009D0E38">
      <w:pPr>
        <w:pStyle w:val="ListParagraph"/>
        <w:numPr>
          <w:ilvl w:val="0"/>
          <w:numId w:val="104"/>
        </w:numPr>
      </w:pPr>
      <w:r>
        <w:t>todos los datos almacenados son exactos y completos;</w:t>
      </w:r>
    </w:p>
    <w:p w14:paraId="68B5A86D" w14:textId="0C4691F6" w:rsidR="00C4384E" w:rsidRDefault="009D0E38">
      <w:pPr>
        <w:pStyle w:val="ListParagraph"/>
        <w:numPr>
          <w:ilvl w:val="0"/>
          <w:numId w:val="104"/>
        </w:numPr>
      </w:pPr>
      <w:r>
        <w:t>todas las salidas son exactas y completas;</w:t>
      </w:r>
    </w:p>
    <w:p w14:paraId="1C0B4C58" w14:textId="0A5A47F6" w:rsidR="00C4384E" w:rsidRDefault="009D0E38">
      <w:pPr>
        <w:pStyle w:val="ListParagraph"/>
        <w:numPr>
          <w:ilvl w:val="0"/>
          <w:numId w:val="104"/>
        </w:numPr>
      </w:pPr>
      <w:r>
        <w:t>se mantiene un registro para rastrear el proceso de datos desde su entrada hasta su almacenamiento, y hasta su salida final;</w:t>
      </w:r>
    </w:p>
    <w:p w14:paraId="787C9146" w14:textId="19A16AB6" w:rsidR="00C4384E" w:rsidRDefault="009D0E38">
      <w:pPr>
        <w:pStyle w:val="ListParagraph"/>
        <w:numPr>
          <w:ilvl w:val="0"/>
          <w:numId w:val="104"/>
        </w:numPr>
      </w:pPr>
      <w:r>
        <w:t>el acceso a los datos está limitado en función de las necesidades de la empresa;</w:t>
      </w:r>
    </w:p>
    <w:p w14:paraId="5DDE2B4E" w14:textId="19E09FCF" w:rsidR="00C4384E" w:rsidRDefault="009D0E38">
      <w:pPr>
        <w:pStyle w:val="ListParagraph"/>
        <w:numPr>
          <w:ilvl w:val="0"/>
          <w:numId w:val="104"/>
        </w:numPr>
      </w:pPr>
      <w:r>
        <w:t>las funciones incompatibles dentro de una aplicación se impiden sistemáticamente.</w:t>
      </w:r>
      <w:r w:rsidR="00805BA2">
        <w:t xml:space="preserve"> </w:t>
      </w:r>
    </w:p>
    <w:p w14:paraId="2F30395C" w14:textId="6C9675CA" w:rsidR="00C4384E" w:rsidRDefault="009D0E38">
      <w:r>
        <w:t>Los controles de aplicación conciernen a las transacciones y datos correspondientes a cada sistema de aplicación informatizado. Son específicos a cada aplicación informática individual. Es importante destacar que el grado de fiabilidad de los controles de aplicación depende directamente de la concepción y de la eficacia operativa de los controles informáticos generales. En otras palabras, si los controles informáticos generales no están implantados o no funcionan de forma eficaz, el organismo pagador no puede fiarse de sus controles de aplicación para gestionar los riesgos.</w:t>
      </w:r>
      <w:r w:rsidR="00805BA2">
        <w:t xml:space="preserve"> </w:t>
      </w:r>
    </w:p>
    <w:p w14:paraId="68155915" w14:textId="77777777" w:rsidR="00C4384E" w:rsidRDefault="00905A70">
      <w:pPr>
        <w:spacing w:before="100" w:beforeAutospacing="1"/>
        <w:ind w:firstLine="720"/>
        <w:outlineLvl w:val="2"/>
        <w:rPr>
          <w:rFonts w:eastAsiaTheme="majorEastAsia"/>
          <w:b/>
          <w:i/>
        </w:rPr>
      </w:pPr>
      <w:r>
        <w:rPr>
          <w:rStyle w:val="Heading3Char"/>
          <w:b/>
        </w:rPr>
        <w:t>5.2.3 Valoración de los procedimientos de control</w:t>
      </w:r>
    </w:p>
    <w:p w14:paraId="16077298" w14:textId="77777777" w:rsidR="00C4384E" w:rsidRDefault="00DB1EFB">
      <w:pPr>
        <w:spacing w:after="120"/>
      </w:pPr>
      <w:r>
        <w:rPr>
          <w:b/>
        </w:rPr>
        <w:t>Resultado:</w:t>
      </w:r>
      <w:r>
        <w:t xml:space="preserve"> Una valoración de las desviaciones del sistema basada en las siguientes categorías:</w:t>
      </w:r>
    </w:p>
    <w:tbl>
      <w:tblPr>
        <w:tblW w:w="850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4577"/>
      </w:tblGrid>
      <w:tr w:rsidR="00C4384E" w14:paraId="6B0D9374" w14:textId="77777777" w:rsidTr="006D6737">
        <w:tc>
          <w:tcPr>
            <w:tcW w:w="3928" w:type="dxa"/>
            <w:shd w:val="clear" w:color="auto" w:fill="auto"/>
          </w:tcPr>
          <w:p w14:paraId="36C3DD47" w14:textId="77777777" w:rsidR="00C4384E" w:rsidRDefault="00C925CB">
            <w:pPr>
              <w:pStyle w:val="Text1"/>
              <w:spacing w:after="0"/>
              <w:ind w:left="0"/>
              <w:jc w:val="center"/>
              <w:rPr>
                <w:b/>
              </w:rPr>
            </w:pPr>
            <w:r>
              <w:rPr>
                <w:b/>
              </w:rPr>
              <w:t>Valoración de los procedimientos de control</w:t>
            </w:r>
          </w:p>
        </w:tc>
        <w:tc>
          <w:tcPr>
            <w:tcW w:w="4577" w:type="dxa"/>
          </w:tcPr>
          <w:p w14:paraId="130CBF24" w14:textId="77777777" w:rsidR="00C4384E" w:rsidRDefault="004A2880">
            <w:pPr>
              <w:pStyle w:val="Text1"/>
              <w:spacing w:after="0"/>
              <w:ind w:left="0"/>
              <w:jc w:val="center"/>
              <w:rPr>
                <w:b/>
              </w:rPr>
            </w:pPr>
            <w:r>
              <w:rPr>
                <w:b/>
              </w:rPr>
              <w:t>Valoración de las desviaciones</w:t>
            </w:r>
          </w:p>
        </w:tc>
      </w:tr>
      <w:tr w:rsidR="00C4384E" w14:paraId="2643C71F" w14:textId="77777777" w:rsidTr="006D6737">
        <w:tc>
          <w:tcPr>
            <w:tcW w:w="3928" w:type="dxa"/>
            <w:shd w:val="clear" w:color="auto" w:fill="auto"/>
          </w:tcPr>
          <w:p w14:paraId="02DEBF02" w14:textId="77777777" w:rsidR="00C4384E" w:rsidRDefault="00814961">
            <w:pPr>
              <w:pStyle w:val="Text1"/>
              <w:spacing w:after="0"/>
              <w:ind w:left="0"/>
              <w:jc w:val="left"/>
            </w:pPr>
            <w:r>
              <w:t>1. Funciona bien, solo se precisan pequeñas mejoras</w:t>
            </w:r>
          </w:p>
        </w:tc>
        <w:tc>
          <w:tcPr>
            <w:tcW w:w="4577" w:type="dxa"/>
          </w:tcPr>
          <w:p w14:paraId="2C7F2F3B" w14:textId="201D4AA5" w:rsidR="00C4384E" w:rsidRDefault="00814961">
            <w:pPr>
              <w:pStyle w:val="Text1"/>
              <w:spacing w:after="0"/>
              <w:ind w:left="0"/>
            </w:pPr>
            <w:r>
              <w:t>Los controles abordan adecuadamente todos los riesgos, y es probable que actúen con eficacia. No se encontró ninguna excepción. O solo se encontraron desviaciones menores (formales), que no afectaron considerablemente a la eficacia de los controles ni ocasionaron errores financieros.</w:t>
            </w:r>
          </w:p>
        </w:tc>
      </w:tr>
      <w:tr w:rsidR="00C4384E" w14:paraId="7AFE0040" w14:textId="77777777" w:rsidTr="006D6737">
        <w:tc>
          <w:tcPr>
            <w:tcW w:w="3928" w:type="dxa"/>
            <w:shd w:val="clear" w:color="auto" w:fill="auto"/>
          </w:tcPr>
          <w:p w14:paraId="113ABE31" w14:textId="77777777" w:rsidR="00C4384E" w:rsidRDefault="00814961">
            <w:pPr>
              <w:pStyle w:val="Text1"/>
              <w:spacing w:after="0"/>
              <w:ind w:left="0"/>
              <w:jc w:val="left"/>
            </w:pPr>
            <w:r>
              <w:t xml:space="preserve">2. Funciona, pero se precisan algunas mejoras </w:t>
            </w:r>
          </w:p>
        </w:tc>
        <w:tc>
          <w:tcPr>
            <w:tcW w:w="4577" w:type="dxa"/>
          </w:tcPr>
          <w:p w14:paraId="593FADDE" w14:textId="22473068" w:rsidR="00C4384E" w:rsidRDefault="00814961">
            <w:pPr>
              <w:pStyle w:val="Text1"/>
              <w:spacing w:after="0"/>
              <w:ind w:left="0"/>
            </w:pPr>
            <w:r>
              <w:t xml:space="preserve">Los controles abordan adecuadamente todos los riesgos y es probable que funcionen </w:t>
            </w:r>
            <w:r>
              <w:lastRenderedPageBreak/>
              <w:t>eficazmente; presentan algunas deficiencias que tienen un impacto limitado sobre el funcionamiento de los requisitos claves. Solo se encontraron desviaciones menores, que no afectaron considerablemente a la eficacia de los controles. O si estas desviaciones menores afectaron considerablemente a la eficacia de los controles, los controles permanentes del OP las detectaron y el mecanismo de autocorrección del OP funcionó.</w:t>
            </w:r>
          </w:p>
        </w:tc>
      </w:tr>
      <w:tr w:rsidR="00C4384E" w14:paraId="387F2DE0" w14:textId="77777777" w:rsidTr="006D6737">
        <w:tc>
          <w:tcPr>
            <w:tcW w:w="3928" w:type="dxa"/>
            <w:shd w:val="clear" w:color="auto" w:fill="auto"/>
          </w:tcPr>
          <w:p w14:paraId="7D5C98F3" w14:textId="77777777" w:rsidR="00C4384E" w:rsidRDefault="00814961">
            <w:pPr>
              <w:pStyle w:val="Text1"/>
              <w:spacing w:after="0"/>
              <w:ind w:left="0"/>
              <w:jc w:val="left"/>
            </w:pPr>
            <w:r>
              <w:lastRenderedPageBreak/>
              <w:t>3. Funciona parcialmente; se precisan mejoras considerables</w:t>
            </w:r>
          </w:p>
        </w:tc>
        <w:tc>
          <w:tcPr>
            <w:tcW w:w="4577" w:type="dxa"/>
          </w:tcPr>
          <w:p w14:paraId="142A5EAF" w14:textId="289A160B" w:rsidR="00C4384E" w:rsidRDefault="00814961">
            <w:pPr>
              <w:pStyle w:val="Text1"/>
              <w:spacing w:after="0"/>
              <w:ind w:left="0"/>
            </w:pPr>
            <w:r>
              <w:t>Los controles cubren todos los riesgos en cierta medida, aunque quizá no siempre funcionen como se pretende. se encontraron desviaciones moderadas, que afectaron considerablemente a la eficacia de los controles. Y solo una parte de esas desviaciones moderadas fue detectada por los controles permanentes del OP y corregida por el propio OP.</w:t>
            </w:r>
          </w:p>
        </w:tc>
      </w:tr>
      <w:tr w:rsidR="00C4384E" w14:paraId="3D3873F3" w14:textId="77777777" w:rsidTr="006D6737">
        <w:tc>
          <w:tcPr>
            <w:tcW w:w="3928" w:type="dxa"/>
            <w:shd w:val="clear" w:color="auto" w:fill="auto"/>
          </w:tcPr>
          <w:p w14:paraId="020FCB78" w14:textId="77777777" w:rsidR="00C4384E" w:rsidRDefault="00814961">
            <w:pPr>
              <w:pStyle w:val="Text1"/>
              <w:spacing w:after="0"/>
              <w:ind w:left="0"/>
              <w:jc w:val="left"/>
            </w:pPr>
            <w:r>
              <w:t>4. No funciona</w:t>
            </w:r>
          </w:p>
        </w:tc>
        <w:tc>
          <w:tcPr>
            <w:tcW w:w="4577" w:type="dxa"/>
          </w:tcPr>
          <w:p w14:paraId="32FD5F29" w14:textId="3021E406" w:rsidR="00C4384E" w:rsidRDefault="00814961">
            <w:pPr>
              <w:pStyle w:val="Text1"/>
              <w:spacing w:after="0"/>
              <w:ind w:left="0"/>
            </w:pPr>
            <w:r>
              <w:t>Los controles no abordan todos los riesgos y/o es probable que fallen con frecuencia. El SCI funciona de forma deficiente o no funciona en absoluto. Las deficiencias son sistémicas y generalizadas. se encontraron desviaciones importantes que no fueron detectadas por el sistema de control interno del OP.</w:t>
            </w:r>
          </w:p>
        </w:tc>
      </w:tr>
    </w:tbl>
    <w:p w14:paraId="39C509C5" w14:textId="77777777" w:rsidR="00C4384E" w:rsidRDefault="00C4384E">
      <w:pPr>
        <w:pStyle w:val="ZDGName"/>
      </w:pPr>
    </w:p>
    <w:p w14:paraId="571491E6" w14:textId="666DCA9F" w:rsidR="00C4384E" w:rsidRDefault="004A2880">
      <w:pPr>
        <w:spacing w:after="120"/>
      </w:pPr>
      <w:r>
        <w:t>Las desviaciones menores indican excepciones formales en los procedimientos aplicados en comparación con los procedimientos concebidos o en los procedimientos concebidos en comparación con los requisitos legales, las cuales no implicarán consecuencias financieras, a saber, errores en los pagos.</w:t>
      </w:r>
    </w:p>
    <w:p w14:paraId="4B2DFB65" w14:textId="0F02B676" w:rsidR="00C4384E" w:rsidRDefault="00285BE0">
      <w:pPr>
        <w:spacing w:after="120"/>
      </w:pPr>
      <w:r>
        <w:t>Las desviaciones moderadas/importantes han de entenderse como excepciones en los procedimientos aplicados o concebidos que pueden dar lugar a consecuencias financieras, a saber, errores en los pagos. Las desviaciones moderadas pueden dar lugar a errores financieros menores con un impacto financiero estimado total inferior a la materialidad. Las desviaciones importantes ocasionarían errores financieros con un impacto financiero total estimado importante.</w:t>
      </w:r>
    </w:p>
    <w:p w14:paraId="3E123F89" w14:textId="77777777" w:rsidR="00C4384E" w:rsidRDefault="00905A70">
      <w:pPr>
        <w:pStyle w:val="Heading2"/>
      </w:pPr>
      <w:bookmarkStart w:id="28" w:name="_Toc16667610"/>
      <w:r>
        <w:t>5.3 Pruebas de cumplimiento (prueba de los controles)</w:t>
      </w:r>
      <w:bookmarkEnd w:id="28"/>
    </w:p>
    <w:p w14:paraId="5D1C4F8C" w14:textId="3D8CBD02" w:rsidR="00C4384E" w:rsidRDefault="00D342EE">
      <w:pPr>
        <w:spacing w:after="120"/>
      </w:pPr>
      <w:r>
        <w:t>Para emitir una opinión sobre la eficacia del sistema de control interno, el OC debe examinar los controles específicos, generalizados y de seguimiento integrados en el proceso o procesos analizados: sistemas, procedimientos, manuales. Estas pruebas de controles se llevan a cabo para respaldar el nivel de riesgo de control valorado por los organismos de certificación Las pruebas de controles deben comprobar la eficacia de un control utilizado por el OP para prevenir o detectar incorrecciones materiales. Al realizar las pruebas de cumplimiento, el OC debe examinar con respecto a las transacciones específicas seleccionadas si:</w:t>
      </w:r>
    </w:p>
    <w:p w14:paraId="22249377" w14:textId="77777777" w:rsidR="00C4384E" w:rsidRDefault="00FF0997">
      <w:pPr>
        <w:pStyle w:val="ListNumber1"/>
        <w:numPr>
          <w:ilvl w:val="0"/>
          <w:numId w:val="53"/>
        </w:numPr>
        <w:spacing w:after="120"/>
      </w:pPr>
      <w:r>
        <w:lastRenderedPageBreak/>
        <w:t>los controles necesarios están implantados y concebidos de conformidad con el marco jurídico;</w:t>
      </w:r>
    </w:p>
    <w:p w14:paraId="7039FB64" w14:textId="77777777" w:rsidR="00C4384E" w:rsidRDefault="00D777FD">
      <w:pPr>
        <w:pStyle w:val="ListNumber1"/>
        <w:numPr>
          <w:ilvl w:val="0"/>
          <w:numId w:val="53"/>
        </w:numPr>
        <w:spacing w:after="120"/>
      </w:pPr>
      <w:r>
        <w:t>los controles necesarios funcionan según lo previsto y previenen/detectan y corrigen incorrecciones materiales con respecto a la afirmación.</w:t>
      </w:r>
    </w:p>
    <w:p w14:paraId="7B6E303F" w14:textId="77777777" w:rsidR="00C4384E" w:rsidRDefault="00C4384E">
      <w:pPr>
        <w:tabs>
          <w:tab w:val="num" w:pos="1360"/>
        </w:tabs>
        <w:spacing w:after="120"/>
        <w:ind w:left="164" w:hanging="283"/>
      </w:pPr>
    </w:p>
    <w:p w14:paraId="4D3DEA14" w14:textId="77777777" w:rsidR="00C4384E" w:rsidRDefault="0035044C">
      <w:pPr>
        <w:tabs>
          <w:tab w:val="num" w:pos="1360"/>
        </w:tabs>
        <w:spacing w:after="120"/>
        <w:ind w:left="164" w:hanging="283"/>
      </w:pPr>
      <w:r>
        <w:t>Los siguientes aspectos deben ser confirmados a través de las pruebas de cumplimiento:</w:t>
      </w:r>
    </w:p>
    <w:p w14:paraId="5B49F195" w14:textId="77777777" w:rsidR="00C4384E" w:rsidRDefault="00FF0997">
      <w:pPr>
        <w:tabs>
          <w:tab w:val="num" w:pos="1360"/>
        </w:tabs>
        <w:spacing w:after="120"/>
        <w:ind w:left="164" w:hanging="283"/>
      </w:pPr>
      <w:r>
        <w:rPr>
          <w:u w:val="single"/>
        </w:rPr>
        <w:t>Integridad, exactitud y veracidad</w:t>
      </w:r>
      <w:r>
        <w:rPr>
          <w:rStyle w:val="FootnoteReference"/>
          <w:u w:val="single"/>
        </w:rPr>
        <w:footnoteReference w:id="11"/>
      </w:r>
      <w:r>
        <w:rPr>
          <w:u w:val="single"/>
        </w:rPr>
        <w:t xml:space="preserve"> de las cuentas:</w:t>
      </w:r>
    </w:p>
    <w:p w14:paraId="3EC5C5AF" w14:textId="77777777" w:rsidR="00C4384E" w:rsidRDefault="00FF0997">
      <w:pPr>
        <w:numPr>
          <w:ilvl w:val="0"/>
          <w:numId w:val="54"/>
        </w:numPr>
        <w:tabs>
          <w:tab w:val="left" w:pos="2302"/>
        </w:tabs>
        <w:spacing w:after="120"/>
      </w:pPr>
      <w:r>
        <w:rPr>
          <w:b/>
          <w:bCs/>
        </w:rPr>
        <w:t>Realidad:</w:t>
      </w:r>
      <w:r>
        <w:t xml:space="preserve"> las transacciones registradas se produjeron realmente.</w:t>
      </w:r>
    </w:p>
    <w:p w14:paraId="443D9B46" w14:textId="77777777" w:rsidR="00C4384E" w:rsidRDefault="00FF0997">
      <w:pPr>
        <w:numPr>
          <w:ilvl w:val="0"/>
          <w:numId w:val="54"/>
        </w:numPr>
        <w:tabs>
          <w:tab w:val="left" w:pos="2302"/>
        </w:tabs>
        <w:spacing w:after="120"/>
      </w:pPr>
      <w:r>
        <w:rPr>
          <w:b/>
          <w:bCs/>
        </w:rPr>
        <w:t>Integridad:</w:t>
      </w:r>
      <w:r>
        <w:t xml:space="preserve"> todas las transacciones que deberían haber quedado registradas fueron registradas.</w:t>
      </w:r>
    </w:p>
    <w:p w14:paraId="0A7A97F6" w14:textId="77777777" w:rsidR="00C4384E" w:rsidRDefault="00FF0997">
      <w:pPr>
        <w:numPr>
          <w:ilvl w:val="0"/>
          <w:numId w:val="54"/>
        </w:numPr>
        <w:tabs>
          <w:tab w:val="left" w:pos="2302"/>
        </w:tabs>
        <w:spacing w:after="120"/>
      </w:pPr>
      <w:r>
        <w:rPr>
          <w:b/>
          <w:bCs/>
        </w:rPr>
        <w:t>Exactitud:</w:t>
      </w:r>
      <w:r>
        <w:t xml:space="preserve"> las transacciones (operativas y no operativas) se consignan en las cuentas del OP por los importes correctos/adecuados.</w:t>
      </w:r>
    </w:p>
    <w:p w14:paraId="1C246F71" w14:textId="77777777" w:rsidR="00C4384E" w:rsidRDefault="00FF0997">
      <w:pPr>
        <w:numPr>
          <w:ilvl w:val="0"/>
          <w:numId w:val="54"/>
        </w:numPr>
        <w:tabs>
          <w:tab w:val="left" w:pos="2302"/>
        </w:tabs>
        <w:spacing w:after="120"/>
      </w:pPr>
      <w:r>
        <w:rPr>
          <w:b/>
          <w:bCs/>
        </w:rPr>
        <w:t>Separación de períodos:</w:t>
      </w:r>
      <w:r>
        <w:t xml:space="preserve"> las transacciones se registraron en el período contable correcto, es decir, en aquel en el que se produjeron realmente.</w:t>
      </w:r>
    </w:p>
    <w:p w14:paraId="3CD408EF" w14:textId="77777777" w:rsidR="00C4384E" w:rsidRDefault="00C4384E">
      <w:pPr>
        <w:tabs>
          <w:tab w:val="left" w:pos="2302"/>
        </w:tabs>
        <w:spacing w:after="120"/>
        <w:rPr>
          <w:u w:val="single"/>
        </w:rPr>
      </w:pPr>
    </w:p>
    <w:p w14:paraId="2D678C39" w14:textId="77777777" w:rsidR="00C4384E" w:rsidRDefault="00600D9E">
      <w:pPr>
        <w:tabs>
          <w:tab w:val="left" w:pos="2302"/>
        </w:tabs>
        <w:spacing w:after="120"/>
        <w:rPr>
          <w:u w:val="single"/>
        </w:rPr>
      </w:pPr>
      <w:r>
        <w:rPr>
          <w:u w:val="single"/>
        </w:rPr>
        <w:t>Integridad y exactitud del libro mayor de deudores y eficaz y oportuna recuperación de deudas</w:t>
      </w:r>
    </w:p>
    <w:p w14:paraId="787B208C" w14:textId="0B008C73" w:rsidR="00C4384E" w:rsidRDefault="009D2983">
      <w:pPr>
        <w:numPr>
          <w:ilvl w:val="0"/>
          <w:numId w:val="55"/>
        </w:numPr>
        <w:tabs>
          <w:tab w:val="left" w:pos="2302"/>
        </w:tabs>
        <w:spacing w:after="120"/>
      </w:pPr>
      <w:r>
        <w:rPr>
          <w:b/>
        </w:rPr>
        <w:t>Integridad y exactitud:</w:t>
      </w:r>
      <w:r>
        <w:t xml:space="preserve"> el libro mayor de deudores incluye todas las transacciones que deben recuperarse y los importes correctos.</w:t>
      </w:r>
      <w:r w:rsidR="00805BA2">
        <w:t xml:space="preserve"> </w:t>
      </w:r>
    </w:p>
    <w:p w14:paraId="269CA3C1" w14:textId="77777777" w:rsidR="00C4384E" w:rsidRDefault="009D2983">
      <w:pPr>
        <w:numPr>
          <w:ilvl w:val="0"/>
          <w:numId w:val="55"/>
        </w:numPr>
        <w:tabs>
          <w:tab w:val="left" w:pos="2302"/>
        </w:tabs>
        <w:spacing w:after="120"/>
      </w:pPr>
      <w:r>
        <w:rPr>
          <w:b/>
        </w:rPr>
        <w:t>Procedimientos eficaces:</w:t>
      </w:r>
      <w:r>
        <w:t xml:space="preserve"> existen procedimientos que garantizan el registro oportuno y la recuperación de deudas y se aplican correctamente. </w:t>
      </w:r>
    </w:p>
    <w:p w14:paraId="6242F78E" w14:textId="77777777" w:rsidR="00C4384E" w:rsidRDefault="00B27241">
      <w:pPr>
        <w:pStyle w:val="Text3"/>
        <w:numPr>
          <w:ilvl w:val="0"/>
          <w:numId w:val="55"/>
        </w:numPr>
        <w:spacing w:after="120"/>
      </w:pPr>
      <w:r>
        <w:rPr>
          <w:b/>
        </w:rPr>
        <w:t>Rápida recuperación:</w:t>
      </w:r>
      <w:r>
        <w:t xml:space="preserve"> los importes recuperados se abonan correcta y oportunamente a los Fondos. </w:t>
      </w:r>
    </w:p>
    <w:p w14:paraId="3E1FF7A0" w14:textId="66095481" w:rsidR="00C4384E" w:rsidRDefault="00717951">
      <w:pPr>
        <w:tabs>
          <w:tab w:val="left" w:pos="2302"/>
        </w:tabs>
        <w:spacing w:after="120"/>
      </w:pPr>
      <w:r>
        <w:t xml:space="preserve">De hecho, deben identificarse los problemas potenciales que afectan a las afirmaciones </w:t>
      </w:r>
      <w:r w:rsidR="00805BA2">
        <w:t>anteriores,</w:t>
      </w:r>
      <w:r>
        <w:t xml:space="preserve"> así como los controles correspondientes que permiten mitigarlos. </w:t>
      </w:r>
    </w:p>
    <w:p w14:paraId="6B6B8452" w14:textId="77777777" w:rsidR="00C4384E" w:rsidRDefault="00717951">
      <w:pPr>
        <w:tabs>
          <w:tab w:val="left" w:pos="2302"/>
        </w:tabs>
        <w:spacing w:after="120"/>
      </w:pPr>
      <w:r>
        <w:t>Los problemas potenciales siguientes que podrían tener un efecto material en las afirmaciones pertinentes pueden tenerse en cuenta:</w:t>
      </w:r>
    </w:p>
    <w:p w14:paraId="16C03DC5" w14:textId="657B0CE8" w:rsidR="00C4384E" w:rsidRDefault="00717951">
      <w:pPr>
        <w:numPr>
          <w:ilvl w:val="1"/>
          <w:numId w:val="54"/>
        </w:numPr>
        <w:tabs>
          <w:tab w:val="left" w:pos="2302"/>
        </w:tabs>
        <w:spacing w:after="120"/>
      </w:pPr>
      <w:r>
        <w:t>existe una probabilidad de incorrección;</w:t>
      </w:r>
    </w:p>
    <w:p w14:paraId="680E6B55" w14:textId="0819141E" w:rsidR="00C4384E" w:rsidRDefault="00717951">
      <w:pPr>
        <w:numPr>
          <w:ilvl w:val="1"/>
          <w:numId w:val="54"/>
        </w:numPr>
        <w:tabs>
          <w:tab w:val="left" w:pos="2302"/>
        </w:tabs>
        <w:spacing w:after="120"/>
      </w:pPr>
      <w:r>
        <w:t>la incorrección potencial es de tal magnitud que podría dar lugar a una incorrección material.</w:t>
      </w:r>
    </w:p>
    <w:p w14:paraId="0C3881A3" w14:textId="77777777" w:rsidR="00C4384E" w:rsidRDefault="00FE32DD">
      <w:pPr>
        <w:tabs>
          <w:tab w:val="left" w:pos="2302"/>
        </w:tabs>
        <w:spacing w:after="120"/>
      </w:pPr>
      <w:r>
        <w:t>A fin de identificar los controles pertinentes para la auditoría (sobre todo si el OC tiene previsto confiar en los controles), debe tenerse en cuenta lo siguiente:</w:t>
      </w:r>
    </w:p>
    <w:p w14:paraId="6ED1F0F3" w14:textId="4777C6DA" w:rsidR="00C4384E" w:rsidRDefault="00FE32DD">
      <w:pPr>
        <w:numPr>
          <w:ilvl w:val="1"/>
          <w:numId w:val="54"/>
        </w:numPr>
        <w:tabs>
          <w:tab w:val="left" w:pos="2302"/>
        </w:tabs>
        <w:spacing w:after="120"/>
      </w:pPr>
      <w:r>
        <w:t>los controles que mitiguen los riesgos importantes;</w:t>
      </w:r>
    </w:p>
    <w:p w14:paraId="071596F6" w14:textId="7FB65BA3" w:rsidR="00C4384E" w:rsidRDefault="00FE32DD">
      <w:pPr>
        <w:numPr>
          <w:ilvl w:val="1"/>
          <w:numId w:val="54"/>
        </w:numPr>
        <w:tabs>
          <w:tab w:val="left" w:pos="2302"/>
        </w:tabs>
        <w:spacing w:after="120"/>
      </w:pPr>
      <w:r>
        <w:t>los procesos muy automatizados y los controles de aplicación.</w:t>
      </w:r>
    </w:p>
    <w:p w14:paraId="624D186F" w14:textId="77777777" w:rsidR="00C4384E" w:rsidRDefault="00C4384E">
      <w:pPr>
        <w:tabs>
          <w:tab w:val="left" w:pos="2302"/>
        </w:tabs>
        <w:spacing w:after="120"/>
      </w:pPr>
    </w:p>
    <w:p w14:paraId="42AF3596" w14:textId="77777777" w:rsidR="00C4384E" w:rsidRDefault="00B31FE7">
      <w:pPr>
        <w:tabs>
          <w:tab w:val="left" w:pos="2302"/>
        </w:tabs>
        <w:spacing w:after="120"/>
      </w:pPr>
      <w:r>
        <w:t xml:space="preserve">El OC debe tener en cuenta los diferentes tipos de controles en sus comprobaciones. </w:t>
      </w:r>
    </w:p>
    <w:p w14:paraId="56A79E79" w14:textId="77777777" w:rsidR="00C4384E" w:rsidRDefault="00BB4EE7">
      <w:pPr>
        <w:tabs>
          <w:tab w:val="left" w:pos="2302"/>
        </w:tabs>
        <w:spacing w:after="120"/>
      </w:pPr>
      <w:r>
        <w:rPr>
          <w:noProof/>
          <w:lang w:val="en-US"/>
        </w:rPr>
        <w:drawing>
          <wp:inline distT="0" distB="0" distL="0" distR="0" wp14:anchorId="64947F3B" wp14:editId="2FE1F7B7">
            <wp:extent cx="5467350" cy="4352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467350" cy="4352925"/>
                    </a:xfrm>
                    <a:prstGeom prst="rect">
                      <a:avLst/>
                    </a:prstGeom>
                    <a:noFill/>
                    <a:ln>
                      <a:noFill/>
                    </a:ln>
                  </pic:spPr>
                </pic:pic>
              </a:graphicData>
            </a:graphic>
          </wp:inline>
        </w:drawing>
      </w:r>
    </w:p>
    <w:p w14:paraId="77775FC5" w14:textId="63BD4187" w:rsidR="00C4384E" w:rsidRDefault="0035044C">
      <w:pPr>
        <w:tabs>
          <w:tab w:val="left" w:pos="2302"/>
        </w:tabs>
        <w:spacing w:after="120"/>
      </w:pPr>
      <w:r>
        <w:t>En el caso de algunos procedimientos (ejecución de los pagos, contabilidad de los pagos), estas comprobaciones pueden realizarse a través de un control de las aplicaciones informáticas para todas las transacciones. O bien, siempre que los controles informáticos generales sean eficaces, el funcionamiento de un control de aplicación automatizado puede confirmarse mediante una comprobación limitada a una transacción.</w:t>
      </w:r>
    </w:p>
    <w:p w14:paraId="39A20446" w14:textId="77777777" w:rsidR="00C4384E" w:rsidRDefault="006D6737">
      <w:pPr>
        <w:spacing w:after="0"/>
        <w:jc w:val="left"/>
      </w:pPr>
      <w:r>
        <w:br w:type="page"/>
      </w:r>
    </w:p>
    <w:p w14:paraId="178AC713" w14:textId="77777777" w:rsidR="00C4384E" w:rsidRDefault="00C4384E">
      <w:pPr>
        <w:spacing w:after="0"/>
        <w:jc w:val="left"/>
      </w:pPr>
    </w:p>
    <w:p w14:paraId="4203EEFB" w14:textId="77777777" w:rsidR="00C4384E" w:rsidRDefault="00D36396">
      <w:pPr>
        <w:spacing w:after="120"/>
      </w:pPr>
      <w:r>
        <w:t xml:space="preserve"> La prueba del control dependerá del tipo y de la frecuencia del control. </w:t>
      </w:r>
    </w:p>
    <w:tbl>
      <w:tblPr>
        <w:tblStyle w:val="TableGrid"/>
        <w:tblW w:w="0" w:type="auto"/>
        <w:tblLook w:val="04A0" w:firstRow="1" w:lastRow="0" w:firstColumn="1" w:lastColumn="0" w:noHBand="0" w:noVBand="1"/>
      </w:tblPr>
      <w:tblGrid>
        <w:gridCol w:w="4416"/>
        <w:gridCol w:w="4417"/>
      </w:tblGrid>
      <w:tr w:rsidR="00C4384E" w14:paraId="405DE85E" w14:textId="77777777">
        <w:tc>
          <w:tcPr>
            <w:tcW w:w="4416" w:type="dxa"/>
          </w:tcPr>
          <w:p w14:paraId="2BF3ED2D" w14:textId="77777777" w:rsidR="00C4384E" w:rsidRDefault="00D36396">
            <w:pPr>
              <w:spacing w:after="120"/>
              <w:jc w:val="center"/>
              <w:rPr>
                <w:b/>
              </w:rPr>
            </w:pPr>
            <w:r>
              <w:rPr>
                <w:b/>
              </w:rPr>
              <w:t>Naturaleza del control y frecuencia de ejecución</w:t>
            </w:r>
          </w:p>
        </w:tc>
        <w:tc>
          <w:tcPr>
            <w:tcW w:w="4417" w:type="dxa"/>
          </w:tcPr>
          <w:p w14:paraId="47DE9098" w14:textId="33524E7A" w:rsidR="00C4384E" w:rsidRDefault="00D36396">
            <w:pPr>
              <w:spacing w:after="120"/>
              <w:jc w:val="center"/>
              <w:rPr>
                <w:b/>
              </w:rPr>
            </w:pPr>
            <w:r>
              <w:rPr>
                <w:b/>
              </w:rPr>
              <w:t xml:space="preserve">Número </w:t>
            </w:r>
            <w:r>
              <w:rPr>
                <w:b/>
                <w:u w:val="single"/>
              </w:rPr>
              <w:t>mínimo</w:t>
            </w:r>
            <w:r>
              <w:rPr>
                <w:b/>
              </w:rPr>
              <w:t xml:space="preserve"> de elementos objeto de comprobación en caso de que se esperen muy pocas excepciones o ninguna</w:t>
            </w:r>
          </w:p>
        </w:tc>
      </w:tr>
      <w:tr w:rsidR="00C4384E" w14:paraId="611F5172" w14:textId="77777777">
        <w:tc>
          <w:tcPr>
            <w:tcW w:w="4416" w:type="dxa"/>
          </w:tcPr>
          <w:p w14:paraId="6DA82D1F" w14:textId="77777777" w:rsidR="00C4384E" w:rsidRDefault="00D36396">
            <w:pPr>
              <w:spacing w:after="120"/>
            </w:pPr>
            <w:r>
              <w:t>Control manual realizado diariamente o varias veces al día</w:t>
            </w:r>
          </w:p>
        </w:tc>
        <w:tc>
          <w:tcPr>
            <w:tcW w:w="4417" w:type="dxa"/>
          </w:tcPr>
          <w:p w14:paraId="67D7E955" w14:textId="77777777" w:rsidR="00C4384E" w:rsidRDefault="00CE7124">
            <w:pPr>
              <w:spacing w:after="120"/>
              <w:jc w:val="center"/>
            </w:pPr>
            <w:r>
              <w:t>25</w:t>
            </w:r>
            <w:r>
              <w:rPr>
                <w:rStyle w:val="FootnoteReference"/>
              </w:rPr>
              <w:footnoteReference w:id="12"/>
            </w:r>
          </w:p>
        </w:tc>
      </w:tr>
      <w:tr w:rsidR="00C4384E" w14:paraId="378C00FF" w14:textId="77777777">
        <w:tc>
          <w:tcPr>
            <w:tcW w:w="4416" w:type="dxa"/>
          </w:tcPr>
          <w:p w14:paraId="09846E04" w14:textId="77777777" w:rsidR="00C4384E" w:rsidRDefault="00CE7124">
            <w:pPr>
              <w:spacing w:after="120"/>
            </w:pPr>
            <w:r>
              <w:t>Control manual realizado semanalmente</w:t>
            </w:r>
          </w:p>
        </w:tc>
        <w:tc>
          <w:tcPr>
            <w:tcW w:w="4417" w:type="dxa"/>
          </w:tcPr>
          <w:p w14:paraId="387D3CA3" w14:textId="77777777" w:rsidR="00C4384E" w:rsidRDefault="00CE7124">
            <w:pPr>
              <w:spacing w:after="120"/>
              <w:jc w:val="center"/>
            </w:pPr>
            <w:r>
              <w:t>5</w:t>
            </w:r>
          </w:p>
        </w:tc>
      </w:tr>
      <w:tr w:rsidR="00C4384E" w14:paraId="1C7F0A02" w14:textId="77777777">
        <w:tc>
          <w:tcPr>
            <w:tcW w:w="4416" w:type="dxa"/>
          </w:tcPr>
          <w:p w14:paraId="110F10EE" w14:textId="77777777" w:rsidR="00C4384E" w:rsidRDefault="00CE7124">
            <w:pPr>
              <w:spacing w:after="120"/>
            </w:pPr>
            <w:r>
              <w:t>Control manual realizado mensualmente</w:t>
            </w:r>
          </w:p>
        </w:tc>
        <w:tc>
          <w:tcPr>
            <w:tcW w:w="4417" w:type="dxa"/>
          </w:tcPr>
          <w:p w14:paraId="0A092938" w14:textId="77777777" w:rsidR="00C4384E" w:rsidRDefault="00CE7124">
            <w:pPr>
              <w:spacing w:after="120"/>
              <w:jc w:val="center"/>
            </w:pPr>
            <w:r>
              <w:t>2</w:t>
            </w:r>
          </w:p>
        </w:tc>
      </w:tr>
      <w:tr w:rsidR="00C4384E" w14:paraId="17B95F64" w14:textId="77777777">
        <w:tc>
          <w:tcPr>
            <w:tcW w:w="4416" w:type="dxa"/>
          </w:tcPr>
          <w:p w14:paraId="50AFBF33" w14:textId="77777777" w:rsidR="00C4384E" w:rsidRDefault="00CE7124">
            <w:pPr>
              <w:spacing w:after="120"/>
            </w:pPr>
            <w:r>
              <w:t>Control manual realizado trimestralmente</w:t>
            </w:r>
          </w:p>
        </w:tc>
        <w:tc>
          <w:tcPr>
            <w:tcW w:w="4417" w:type="dxa"/>
          </w:tcPr>
          <w:p w14:paraId="0146E484" w14:textId="77777777" w:rsidR="00C4384E" w:rsidRDefault="00CE7124">
            <w:pPr>
              <w:spacing w:after="120"/>
              <w:jc w:val="center"/>
            </w:pPr>
            <w:r>
              <w:t>2</w:t>
            </w:r>
          </w:p>
        </w:tc>
      </w:tr>
      <w:tr w:rsidR="00C4384E" w14:paraId="72BBB00C" w14:textId="77777777">
        <w:tc>
          <w:tcPr>
            <w:tcW w:w="4416" w:type="dxa"/>
          </w:tcPr>
          <w:p w14:paraId="3D8D4517" w14:textId="77777777" w:rsidR="00C4384E" w:rsidRDefault="00CE7124">
            <w:pPr>
              <w:spacing w:after="120"/>
            </w:pPr>
            <w:r>
              <w:t>Control manual realizado anualmente</w:t>
            </w:r>
          </w:p>
        </w:tc>
        <w:tc>
          <w:tcPr>
            <w:tcW w:w="4417" w:type="dxa"/>
          </w:tcPr>
          <w:p w14:paraId="6FA04673" w14:textId="77777777" w:rsidR="00C4384E" w:rsidRDefault="00CE7124">
            <w:pPr>
              <w:spacing w:after="120"/>
              <w:jc w:val="center"/>
            </w:pPr>
            <w:r>
              <w:t>1</w:t>
            </w:r>
          </w:p>
        </w:tc>
      </w:tr>
      <w:tr w:rsidR="00C4384E" w14:paraId="19ACE5CD" w14:textId="77777777">
        <w:tc>
          <w:tcPr>
            <w:tcW w:w="4416" w:type="dxa"/>
          </w:tcPr>
          <w:p w14:paraId="255DA962" w14:textId="53ADE4F9" w:rsidR="00C4384E" w:rsidRDefault="00BB5EE5">
            <w:pPr>
              <w:spacing w:after="120"/>
            </w:pPr>
            <w:r>
              <w:t>Control de aplicación automatizado</w:t>
            </w:r>
          </w:p>
        </w:tc>
        <w:tc>
          <w:tcPr>
            <w:tcW w:w="4417" w:type="dxa"/>
          </w:tcPr>
          <w:p w14:paraId="1537D32B" w14:textId="77777777" w:rsidR="00C4384E" w:rsidRDefault="00CE7124">
            <w:pPr>
              <w:spacing w:after="120"/>
              <w:jc w:val="center"/>
            </w:pPr>
            <w:r>
              <w:t>Comprobación de una transacción para cada control de aplicación si está respaldado por controles informáticos generales eficaces; en caso contrario, si los controles informáticos generales son ineficaces, comprobación de veinticinco transacciones</w:t>
            </w:r>
          </w:p>
        </w:tc>
      </w:tr>
    </w:tbl>
    <w:p w14:paraId="18F8A066" w14:textId="77777777" w:rsidR="00C4384E" w:rsidRDefault="00C4384E">
      <w:pPr>
        <w:spacing w:after="120"/>
        <w:rPr>
          <w:highlight w:val="yellow"/>
        </w:rPr>
      </w:pPr>
    </w:p>
    <w:p w14:paraId="152E2201" w14:textId="0E9559D4" w:rsidR="00C4384E" w:rsidRDefault="00890B5B">
      <w:pPr>
        <w:spacing w:after="120"/>
      </w:pPr>
      <w:r>
        <w:t xml:space="preserve">Como norma general, puede someterse a ensayo una muestra de aproximadamente el 10 por ciento de la población. En el cuadro anterior se sugieren los tamaños mínimos de las muestras en las pruebas de los controles y los requisitos de cumplimiento cuando se esperan muy pocas excepciones o ninguna. Aunque los tamaños mínimos de la muestra sugeridos en el cuadro suelen ofrecer la magnitud adecuada de las pruebas, los organismos de certificación pueden recurrir a su criterio profesional para determinar si tamaños de muestra mayores están justificados con el fin de obtener evidencia de auditoría apropiada suficiente en circunstancias particulares, como riesgo de control elevado en un determinado régimen o medida. </w:t>
      </w:r>
    </w:p>
    <w:p w14:paraId="25DB35A4" w14:textId="77777777" w:rsidR="00C4384E" w:rsidRDefault="00D36396">
      <w:pPr>
        <w:spacing w:after="120"/>
      </w:pPr>
      <w:r>
        <w:t xml:space="preserve">Si, por ejemplo, el OC decide comprobar la conciliación manual semanal entre los pagos ejecutados y las anotaciones contables en el proceso de contabilidad, debe comprobar cinco elementos. La muestra sugerida en el caso de los controles diarios manuales o los controles efectuados muchas veces al día, cuando se esperan muy pocas excepciones o ninguna, es de 25 elementos. Si en el transcurso de las pruebas de cumplimiento se constatan elevados porcentajes de error, el OC puede decidir aumentar el tamaño de la muestra o modificar sus procedimientos de auditoría inicialmente previstos. </w:t>
      </w:r>
    </w:p>
    <w:p w14:paraId="65A58DAC" w14:textId="68ACFF53" w:rsidR="00C4384E" w:rsidRDefault="00515F8E">
      <w:pPr>
        <w:spacing w:after="120"/>
      </w:pPr>
      <w:r>
        <w:t xml:space="preserve">Aunque el objetivo de las pruebas de cumplimiento sea diferente del de las pruebas sustantivas, ambas podrán llevarse a cabo simultáneamente. La NIA 330 lo define como </w:t>
      </w:r>
      <w:r>
        <w:rPr>
          <w:b/>
          <w:bCs/>
        </w:rPr>
        <w:t>«prueba de doble propósito»</w:t>
      </w:r>
      <w:r>
        <w:t xml:space="preserve">. Cuando se utilice, el organismo de certificación debe basar la prueba de doble propósito en la valoración preliminar de la existencia de un </w:t>
      </w:r>
      <w:r>
        <w:lastRenderedPageBreak/>
        <w:t>riesgo aceptablemente bajo de que el índice de desviaciones observado en la población mediante los controles prescritos sea mayor que el índice máximo de desviaciones que el auditor está dispuesto a aceptar sin modificar el nivel de riesgo de control evaluado previsto</w:t>
      </w:r>
      <w:r>
        <w:rPr>
          <w:rStyle w:val="FootnoteReference"/>
        </w:rPr>
        <w:footnoteReference w:id="13"/>
      </w:r>
      <w:r w:rsidR="004C779D">
        <w:t>.</w:t>
      </w:r>
    </w:p>
    <w:p w14:paraId="1B38E910" w14:textId="5B3BD33C" w:rsidR="00C4384E" w:rsidRDefault="00A54D7C">
      <w:pPr>
        <w:spacing w:after="120"/>
      </w:pPr>
      <w:r>
        <w:t>Por ejemplo, el OC puede concebir y evaluar los resultados de una prueba para examinar una solicitud con el fin de determinar si ha sido aprobada y ofrecer evidencia sustantiva de auditoría de una transacción. Una prueba de doble propósito se concibe y evalúa teniendo en cuenta cada propósito de la misma por separado. Si bien se reconoce que esto podría constituir un uso eficiente de los recursos de auditoría, debe prestarse atención para analizar y documentar adecuadamente los resultados con el fin de distinguir claramente entre los diferentes objetivos de ambos tipos de pruebas. Todos los errores financieros encontrados en la prueba de doble propósito deben tenerse en cuenta como errores aleatorios en la extrapolación de los errores a las pruebas sustantivas, salvo si un error conocido se cuantifica a través de un trabajo adicional del OC.</w:t>
      </w:r>
    </w:p>
    <w:p w14:paraId="7151BBAA" w14:textId="77777777" w:rsidR="00C4384E" w:rsidRDefault="00C4384E">
      <w:pPr>
        <w:pStyle w:val="ZDGName"/>
      </w:pPr>
    </w:p>
    <w:p w14:paraId="67995314" w14:textId="77777777" w:rsidR="00C4384E" w:rsidRDefault="00C925CB">
      <w:pPr>
        <w:spacing w:after="120"/>
      </w:pPr>
      <w:r>
        <w:rPr>
          <w:b/>
        </w:rPr>
        <w:t>Resultado:</w:t>
      </w:r>
      <w:r>
        <w:t xml:space="preserve"> Una valoración de los errores detectados basada en las siguientes categorías:</w:t>
      </w: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4435"/>
      </w:tblGrid>
      <w:tr w:rsidR="00C4384E" w14:paraId="6C296716" w14:textId="77777777">
        <w:tc>
          <w:tcPr>
            <w:tcW w:w="3928" w:type="dxa"/>
            <w:shd w:val="clear" w:color="auto" w:fill="auto"/>
          </w:tcPr>
          <w:p w14:paraId="00151CE2" w14:textId="77777777" w:rsidR="00C4384E" w:rsidRDefault="00C925CB">
            <w:pPr>
              <w:pStyle w:val="Text1"/>
              <w:spacing w:after="0"/>
              <w:ind w:left="0"/>
              <w:jc w:val="center"/>
              <w:rPr>
                <w:b/>
              </w:rPr>
            </w:pPr>
            <w:r>
              <w:rPr>
                <w:b/>
              </w:rPr>
              <w:t>Valoración de los procedimientos de control</w:t>
            </w:r>
          </w:p>
        </w:tc>
        <w:tc>
          <w:tcPr>
            <w:tcW w:w="4435" w:type="dxa"/>
          </w:tcPr>
          <w:p w14:paraId="4501ABD2" w14:textId="77777777" w:rsidR="00C4384E" w:rsidRDefault="00C925CB">
            <w:pPr>
              <w:pStyle w:val="Text1"/>
              <w:spacing w:after="0"/>
              <w:ind w:left="0"/>
              <w:jc w:val="center"/>
              <w:rPr>
                <w:b/>
              </w:rPr>
            </w:pPr>
            <w:r>
              <w:rPr>
                <w:b/>
              </w:rPr>
              <w:t>Valoración de errores</w:t>
            </w:r>
          </w:p>
        </w:tc>
      </w:tr>
      <w:tr w:rsidR="00C4384E" w14:paraId="0BA6A4A9" w14:textId="77777777">
        <w:tc>
          <w:tcPr>
            <w:tcW w:w="3928" w:type="dxa"/>
            <w:shd w:val="clear" w:color="auto" w:fill="auto"/>
          </w:tcPr>
          <w:p w14:paraId="0B64AFA1" w14:textId="77777777" w:rsidR="00C4384E" w:rsidRDefault="00C925CB">
            <w:pPr>
              <w:pStyle w:val="Text1"/>
              <w:spacing w:after="0"/>
              <w:ind w:left="0"/>
              <w:jc w:val="left"/>
            </w:pPr>
            <w:r>
              <w:t>1. Funciona bien, solo se precisan pequeñas mejoras</w:t>
            </w:r>
          </w:p>
        </w:tc>
        <w:tc>
          <w:tcPr>
            <w:tcW w:w="4435" w:type="dxa"/>
          </w:tcPr>
          <w:p w14:paraId="30B2780D" w14:textId="77777777" w:rsidR="00C4384E" w:rsidRDefault="00C925CB">
            <w:pPr>
              <w:pStyle w:val="Text1"/>
              <w:spacing w:after="0"/>
              <w:ind w:left="0"/>
            </w:pPr>
            <w:r>
              <w:t xml:space="preserve">No se encontraron excepciones/errores. </w:t>
            </w:r>
          </w:p>
          <w:p w14:paraId="49B445EA" w14:textId="77777777" w:rsidR="00C4384E" w:rsidRDefault="00C925CB">
            <w:pPr>
              <w:pStyle w:val="Text1"/>
              <w:spacing w:after="0"/>
              <w:ind w:left="0"/>
            </w:pPr>
            <w:r>
              <w:t xml:space="preserve">O </w:t>
            </w:r>
          </w:p>
          <w:p w14:paraId="23EB0EE1" w14:textId="1BD41869" w:rsidR="00C4384E" w:rsidRDefault="00C925CB">
            <w:pPr>
              <w:pStyle w:val="Text1"/>
              <w:spacing w:after="0"/>
              <w:ind w:left="0"/>
            </w:pPr>
            <w:r>
              <w:t xml:space="preserve">solo se encontraron excepciones/errores menores (formales o puntuales), que no afectaron considerablemente a la eficacia de los controles ni ocasionaron errores financieros. </w:t>
            </w:r>
          </w:p>
        </w:tc>
      </w:tr>
      <w:tr w:rsidR="00C4384E" w14:paraId="7CB997AA" w14:textId="77777777">
        <w:tc>
          <w:tcPr>
            <w:tcW w:w="3928" w:type="dxa"/>
            <w:shd w:val="clear" w:color="auto" w:fill="auto"/>
          </w:tcPr>
          <w:p w14:paraId="13078F7C" w14:textId="77777777" w:rsidR="00C4384E" w:rsidRDefault="00C925CB">
            <w:pPr>
              <w:pStyle w:val="Text1"/>
              <w:spacing w:after="0"/>
              <w:ind w:left="0"/>
              <w:jc w:val="left"/>
            </w:pPr>
            <w:r>
              <w:t xml:space="preserve">2. Funciona, pero se precisan algunas mejoras </w:t>
            </w:r>
          </w:p>
        </w:tc>
        <w:tc>
          <w:tcPr>
            <w:tcW w:w="4435" w:type="dxa"/>
          </w:tcPr>
          <w:p w14:paraId="4ACEDB23" w14:textId="7AADD942" w:rsidR="00C4384E" w:rsidRDefault="00C925CB">
            <w:pPr>
              <w:pStyle w:val="Text1"/>
              <w:spacing w:after="0"/>
              <w:ind w:left="0"/>
            </w:pPr>
            <w:r>
              <w:t>Solo se encontraron excepciones/errores menores, que no afectaron considerablemente a la eficacia de los controles. O si estas excepciones/errores menores afectaron considerablemente a la eficacia de los controles, los controles permanentes del OP las detectaron y el mecanismo de autocorrección del OP funcionó.</w:t>
            </w:r>
          </w:p>
        </w:tc>
      </w:tr>
      <w:tr w:rsidR="00C4384E" w14:paraId="1CFBFD99" w14:textId="77777777">
        <w:tc>
          <w:tcPr>
            <w:tcW w:w="3928" w:type="dxa"/>
            <w:shd w:val="clear" w:color="auto" w:fill="auto"/>
          </w:tcPr>
          <w:p w14:paraId="76FC5FAC" w14:textId="77777777" w:rsidR="00C4384E" w:rsidRDefault="00C925CB">
            <w:pPr>
              <w:pStyle w:val="Text1"/>
              <w:spacing w:after="0"/>
              <w:ind w:left="0"/>
              <w:jc w:val="left"/>
            </w:pPr>
            <w:r>
              <w:t>3. Funciona parcialmente; se precisan mejoras considerables</w:t>
            </w:r>
          </w:p>
        </w:tc>
        <w:tc>
          <w:tcPr>
            <w:tcW w:w="4435" w:type="dxa"/>
          </w:tcPr>
          <w:p w14:paraId="0E6D950E" w14:textId="2FBCDBFE" w:rsidR="00C4384E" w:rsidRDefault="00C925CB">
            <w:pPr>
              <w:pStyle w:val="Text1"/>
              <w:spacing w:after="0"/>
              <w:ind w:left="0"/>
            </w:pPr>
            <w:r>
              <w:t>Se encontraron excepciones/errores moderados, que afectaron considerablemente a la eficacia de los controles. Y solo una parte de esos errores moderados fue detectada por los controles permanentes del OP y corregida por el propio OP.</w:t>
            </w:r>
          </w:p>
        </w:tc>
      </w:tr>
      <w:tr w:rsidR="00C4384E" w14:paraId="082C6ACF" w14:textId="77777777">
        <w:tc>
          <w:tcPr>
            <w:tcW w:w="3928" w:type="dxa"/>
            <w:shd w:val="clear" w:color="auto" w:fill="auto"/>
          </w:tcPr>
          <w:p w14:paraId="0A3CA350" w14:textId="77777777" w:rsidR="00C4384E" w:rsidRDefault="00C925CB">
            <w:pPr>
              <w:pStyle w:val="Text1"/>
              <w:spacing w:after="0"/>
              <w:ind w:left="0"/>
              <w:jc w:val="left"/>
            </w:pPr>
            <w:r>
              <w:lastRenderedPageBreak/>
              <w:t>4. No funciona</w:t>
            </w:r>
          </w:p>
        </w:tc>
        <w:tc>
          <w:tcPr>
            <w:tcW w:w="4435" w:type="dxa"/>
          </w:tcPr>
          <w:p w14:paraId="5351E78A" w14:textId="77777777" w:rsidR="00C4384E" w:rsidRDefault="00826AFD">
            <w:pPr>
              <w:pStyle w:val="Text1"/>
              <w:spacing w:after="0"/>
              <w:ind w:left="0"/>
            </w:pPr>
            <w:r>
              <w:t>Se encontraron porcentajes elevados de excepciones/errores que no fueron detectados por el sistema de control interno del OP.</w:t>
            </w:r>
          </w:p>
        </w:tc>
      </w:tr>
    </w:tbl>
    <w:p w14:paraId="2B0A3A3A" w14:textId="77777777" w:rsidR="00C4384E" w:rsidRDefault="00C4384E">
      <w:pPr>
        <w:spacing w:after="120"/>
      </w:pPr>
    </w:p>
    <w:p w14:paraId="4268914C" w14:textId="77777777" w:rsidR="00C4384E" w:rsidRDefault="0003369E">
      <w:pPr>
        <w:spacing w:after="120"/>
      </w:pPr>
      <w:r>
        <w:t>La definición de errores leves, moderados e importantes se corresponde con la definición de porcentaje de desviaciones leve, moderado e importante.</w:t>
      </w:r>
    </w:p>
    <w:p w14:paraId="409ADC5D" w14:textId="77777777" w:rsidR="00C4384E" w:rsidRDefault="00905A70">
      <w:pPr>
        <w:pStyle w:val="Heading2"/>
      </w:pPr>
      <w:bookmarkStart w:id="29" w:name="_Toc16667611"/>
      <w:r>
        <w:t>5.4 Resultados de la valoración del sistema de control interno</w:t>
      </w:r>
      <w:bookmarkEnd w:id="29"/>
    </w:p>
    <w:p w14:paraId="1004A7C4" w14:textId="5847A466" w:rsidR="00C4384E" w:rsidRDefault="008F6AEA">
      <w:pPr>
        <w:spacing w:after="120"/>
      </w:pPr>
      <w:r>
        <w:t>Tras las tres etapas antes mencionadas, el OC tendrá que llegar a una conclusión sobre la valoración de los procedimientos de control interno. El cuadro que figura a continuación representa un posible ejemplo para este ejercicio:</w:t>
      </w:r>
    </w:p>
    <w:p w14:paraId="1DA4C4B9" w14:textId="77777777" w:rsidR="00C4384E" w:rsidRDefault="00C4384E">
      <w:pPr>
        <w:pStyle w:val="ZDGName"/>
      </w:pPr>
    </w:p>
    <w:tbl>
      <w:tblPr>
        <w:tblStyle w:val="TableGrid"/>
        <w:tblW w:w="9089" w:type="dxa"/>
        <w:tblLook w:val="00A0" w:firstRow="1" w:lastRow="0" w:firstColumn="1" w:lastColumn="0" w:noHBand="0" w:noVBand="0"/>
      </w:tblPr>
      <w:tblGrid>
        <w:gridCol w:w="1803"/>
        <w:gridCol w:w="1456"/>
        <w:gridCol w:w="2742"/>
        <w:gridCol w:w="1631"/>
        <w:gridCol w:w="1457"/>
      </w:tblGrid>
      <w:tr w:rsidR="00C4384E" w14:paraId="500B7CC2" w14:textId="77777777" w:rsidTr="006D6737">
        <w:tc>
          <w:tcPr>
            <w:tcW w:w="1692" w:type="dxa"/>
          </w:tcPr>
          <w:p w14:paraId="551BC1BA" w14:textId="77777777" w:rsidR="00C4384E" w:rsidRDefault="002D3E6C">
            <w:pPr>
              <w:spacing w:after="120"/>
              <w:rPr>
                <w:b/>
              </w:rPr>
            </w:pPr>
            <w:r>
              <w:rPr>
                <w:b/>
              </w:rPr>
              <w:t>Procedimiento de control</w:t>
            </w:r>
            <w:r>
              <w:rPr>
                <w:rStyle w:val="FootnoteReference"/>
                <w:b/>
              </w:rPr>
              <w:footnoteReference w:id="14"/>
            </w:r>
          </w:p>
        </w:tc>
        <w:tc>
          <w:tcPr>
            <w:tcW w:w="1610" w:type="dxa"/>
          </w:tcPr>
          <w:p w14:paraId="24E3D237" w14:textId="77777777" w:rsidR="00C4384E" w:rsidRDefault="002D3E6C">
            <w:pPr>
              <w:spacing w:after="120"/>
              <w:rPr>
                <w:b/>
              </w:rPr>
            </w:pPr>
            <w:r>
              <w:rPr>
                <w:b/>
              </w:rPr>
              <w:t>Valoración inicial (3.1)</w:t>
            </w:r>
          </w:p>
        </w:tc>
        <w:tc>
          <w:tcPr>
            <w:tcW w:w="2296" w:type="dxa"/>
          </w:tcPr>
          <w:p w14:paraId="5304530F" w14:textId="77777777" w:rsidR="00C4384E" w:rsidRDefault="00BE4C77">
            <w:pPr>
              <w:spacing w:after="120"/>
              <w:rPr>
                <w:b/>
              </w:rPr>
            </w:pPr>
            <w:r>
              <w:rPr>
                <w:b/>
              </w:rPr>
              <w:t>Resultado de la revisión de los procedimientos (3.2)</w:t>
            </w:r>
          </w:p>
        </w:tc>
        <w:tc>
          <w:tcPr>
            <w:tcW w:w="1881" w:type="dxa"/>
          </w:tcPr>
          <w:p w14:paraId="67F34070" w14:textId="77777777" w:rsidR="00C4384E" w:rsidRDefault="0003369E">
            <w:pPr>
              <w:spacing w:after="120"/>
              <w:rPr>
                <w:b/>
              </w:rPr>
            </w:pPr>
            <w:r>
              <w:rPr>
                <w:b/>
              </w:rPr>
              <w:t>Resultados de las pruebas de cumplimiento (3.3)</w:t>
            </w:r>
          </w:p>
        </w:tc>
        <w:tc>
          <w:tcPr>
            <w:tcW w:w="1610" w:type="dxa"/>
          </w:tcPr>
          <w:p w14:paraId="79FBE84B" w14:textId="77777777" w:rsidR="00C4384E" w:rsidRDefault="002D3E6C">
            <w:pPr>
              <w:spacing w:after="120"/>
              <w:rPr>
                <w:b/>
              </w:rPr>
            </w:pPr>
            <w:r>
              <w:rPr>
                <w:b/>
              </w:rPr>
              <w:t>Valoración final</w:t>
            </w:r>
          </w:p>
        </w:tc>
      </w:tr>
      <w:tr w:rsidR="00C4384E" w14:paraId="551EB177" w14:textId="77777777" w:rsidTr="006D6737">
        <w:tc>
          <w:tcPr>
            <w:tcW w:w="1692" w:type="dxa"/>
          </w:tcPr>
          <w:p w14:paraId="63BDED86" w14:textId="77777777" w:rsidR="00C4384E" w:rsidRDefault="002D3E6C">
            <w:pPr>
              <w:spacing w:after="120"/>
              <w:rPr>
                <w:b/>
              </w:rPr>
            </w:pPr>
            <w:r>
              <w:rPr>
                <w:b/>
              </w:rPr>
              <w:t>Ejecución del pago</w:t>
            </w:r>
          </w:p>
        </w:tc>
        <w:tc>
          <w:tcPr>
            <w:tcW w:w="1610" w:type="dxa"/>
          </w:tcPr>
          <w:p w14:paraId="084E1FB9" w14:textId="77777777" w:rsidR="00C4384E" w:rsidRDefault="00BE4C77">
            <w:pPr>
              <w:spacing w:after="120"/>
            </w:pPr>
            <w:r>
              <w:t>Funciona bien</w:t>
            </w:r>
          </w:p>
        </w:tc>
        <w:tc>
          <w:tcPr>
            <w:tcW w:w="2296" w:type="dxa"/>
          </w:tcPr>
          <w:p w14:paraId="3823C137" w14:textId="21239903" w:rsidR="00C4384E" w:rsidRDefault="00BE4C77">
            <w:pPr>
              <w:spacing w:after="120"/>
            </w:pPr>
            <w:r>
              <w:t>No se encontraron excepciones/desviaciones.</w:t>
            </w:r>
          </w:p>
        </w:tc>
        <w:tc>
          <w:tcPr>
            <w:tcW w:w="1881" w:type="dxa"/>
          </w:tcPr>
          <w:p w14:paraId="4EB83FFC" w14:textId="77777777" w:rsidR="00C4384E" w:rsidRDefault="00BE4C77">
            <w:pPr>
              <w:spacing w:after="120"/>
            </w:pPr>
            <w:r>
              <w:t>No se encontró ningún error.</w:t>
            </w:r>
          </w:p>
        </w:tc>
        <w:tc>
          <w:tcPr>
            <w:tcW w:w="1610" w:type="dxa"/>
          </w:tcPr>
          <w:p w14:paraId="0D7B7AB2" w14:textId="77777777" w:rsidR="00C4384E" w:rsidRDefault="00BE4C77">
            <w:pPr>
              <w:spacing w:after="120"/>
            </w:pPr>
            <w:r>
              <w:t>Funciona bien</w:t>
            </w:r>
          </w:p>
        </w:tc>
      </w:tr>
      <w:tr w:rsidR="00C4384E" w14:paraId="00E3B1ED" w14:textId="77777777" w:rsidTr="006D6737">
        <w:tc>
          <w:tcPr>
            <w:tcW w:w="1692" w:type="dxa"/>
          </w:tcPr>
          <w:p w14:paraId="158B01EB" w14:textId="77777777" w:rsidR="00C4384E" w:rsidRDefault="00BE4C77">
            <w:pPr>
              <w:spacing w:after="120"/>
              <w:rPr>
                <w:b/>
              </w:rPr>
            </w:pPr>
            <w:r>
              <w:rPr>
                <w:b/>
              </w:rPr>
              <w:t>Contabilidad del pago</w:t>
            </w:r>
          </w:p>
        </w:tc>
        <w:tc>
          <w:tcPr>
            <w:tcW w:w="1610" w:type="dxa"/>
          </w:tcPr>
          <w:p w14:paraId="10D54620" w14:textId="77777777" w:rsidR="00C4384E" w:rsidRDefault="00C925CB">
            <w:pPr>
              <w:spacing w:after="120"/>
            </w:pPr>
            <w:r>
              <w:t>Funciona bien</w:t>
            </w:r>
          </w:p>
          <w:p w14:paraId="60F0047A" w14:textId="77777777" w:rsidR="00C4384E" w:rsidRDefault="00C4384E">
            <w:pPr>
              <w:spacing w:after="120"/>
            </w:pPr>
          </w:p>
        </w:tc>
        <w:tc>
          <w:tcPr>
            <w:tcW w:w="2296" w:type="dxa"/>
          </w:tcPr>
          <w:p w14:paraId="72E8A7C4" w14:textId="5C9B69FB" w:rsidR="00C4384E" w:rsidRDefault="005F1316">
            <w:pPr>
              <w:spacing w:after="120"/>
            </w:pPr>
            <w:r>
              <w:t>Se encontraron excepciones/desviaciones menores, el procedimiento de control del OP las detectó</w:t>
            </w:r>
          </w:p>
        </w:tc>
        <w:tc>
          <w:tcPr>
            <w:tcW w:w="1881" w:type="dxa"/>
          </w:tcPr>
          <w:p w14:paraId="6278F62C" w14:textId="77777777" w:rsidR="00C4384E" w:rsidRDefault="00C925CB">
            <w:pPr>
              <w:spacing w:after="120"/>
            </w:pPr>
            <w:r>
              <w:t>No se encontró ningún error.</w:t>
            </w:r>
          </w:p>
        </w:tc>
        <w:tc>
          <w:tcPr>
            <w:tcW w:w="1610" w:type="dxa"/>
          </w:tcPr>
          <w:p w14:paraId="5588EC72" w14:textId="77777777" w:rsidR="00C4384E" w:rsidRDefault="00BE4C77">
            <w:pPr>
              <w:spacing w:after="120"/>
            </w:pPr>
            <w:r>
              <w:t>Funciona</w:t>
            </w:r>
          </w:p>
        </w:tc>
      </w:tr>
      <w:tr w:rsidR="00C4384E" w14:paraId="21582226" w14:textId="77777777" w:rsidTr="006D6737">
        <w:tc>
          <w:tcPr>
            <w:tcW w:w="1692" w:type="dxa"/>
          </w:tcPr>
          <w:p w14:paraId="3A2D82C7" w14:textId="77777777" w:rsidR="00C4384E" w:rsidRDefault="00C925CB">
            <w:pPr>
              <w:spacing w:after="120"/>
              <w:rPr>
                <w:b/>
              </w:rPr>
            </w:pPr>
            <w:r>
              <w:rPr>
                <w:b/>
              </w:rPr>
              <w:t>Gestión de irregularidades y deudas</w:t>
            </w:r>
          </w:p>
        </w:tc>
        <w:tc>
          <w:tcPr>
            <w:tcW w:w="1610" w:type="dxa"/>
          </w:tcPr>
          <w:p w14:paraId="7EFED02D" w14:textId="77777777" w:rsidR="00C4384E" w:rsidRDefault="00C925CB">
            <w:pPr>
              <w:spacing w:after="120"/>
            </w:pPr>
            <w:r>
              <w:t>Funciona parcialmente</w:t>
            </w:r>
          </w:p>
        </w:tc>
        <w:tc>
          <w:tcPr>
            <w:tcW w:w="2296" w:type="dxa"/>
          </w:tcPr>
          <w:p w14:paraId="10854962" w14:textId="2952955A" w:rsidR="00C4384E" w:rsidRDefault="00C925CB">
            <w:pPr>
              <w:spacing w:after="120"/>
            </w:pPr>
            <w:r>
              <w:t>Se encontraron excepciones/desviaciones moderadas, el procedimiento de control del OP las detectó</w:t>
            </w:r>
          </w:p>
        </w:tc>
        <w:tc>
          <w:tcPr>
            <w:tcW w:w="1881" w:type="dxa"/>
          </w:tcPr>
          <w:p w14:paraId="645CF1F7" w14:textId="3FA23198" w:rsidR="00C4384E" w:rsidRDefault="00C925CB">
            <w:pPr>
              <w:spacing w:after="120"/>
            </w:pPr>
            <w:r>
              <w:t>Se encontraron errores moderados, solo algunos de ellos fueron detectados por los controles del OP</w:t>
            </w:r>
          </w:p>
        </w:tc>
        <w:tc>
          <w:tcPr>
            <w:tcW w:w="1610" w:type="dxa"/>
          </w:tcPr>
          <w:p w14:paraId="5CBB87DD" w14:textId="77777777" w:rsidR="00C4384E" w:rsidRDefault="00C925CB">
            <w:pPr>
              <w:spacing w:after="120"/>
            </w:pPr>
            <w:r>
              <w:t>Funciona parcialmente</w:t>
            </w:r>
          </w:p>
        </w:tc>
      </w:tr>
    </w:tbl>
    <w:p w14:paraId="4D22BEC1" w14:textId="77777777" w:rsidR="00C4384E" w:rsidRDefault="00C4384E">
      <w:pPr>
        <w:spacing w:after="120"/>
      </w:pPr>
    </w:p>
    <w:p w14:paraId="48FCDFBC" w14:textId="413734AE" w:rsidR="00C4384E" w:rsidRDefault="0003369E">
      <w:pPr>
        <w:spacing w:after="120"/>
      </w:pPr>
      <w:r>
        <w:lastRenderedPageBreak/>
        <w:t>La valoración final debe ajustarse siempre a la peor valoración del resultado de la revisión de los procedimientos de control (</w:t>
      </w:r>
      <w:r w:rsidR="00805BA2">
        <w:t>sección 5.2</w:t>
      </w:r>
      <w:r>
        <w:t>) y del resultado de las pruebas de cumplimiento (sección 5.3).</w:t>
      </w:r>
    </w:p>
    <w:p w14:paraId="281FFF2C" w14:textId="41DB4DB0" w:rsidR="00C4384E" w:rsidRDefault="0003369E">
      <w:r>
        <w:t>En esta fase, el OC debe decidir si los parámetros de las pruebas sustantivas deben ajustarse debido a las desviaciones y errores importantes encontrados en la prueba de los procedimientos de control interno.</w:t>
      </w:r>
    </w:p>
    <w:p w14:paraId="6E8D0696" w14:textId="77777777" w:rsidR="00C4384E" w:rsidRDefault="00FF0997">
      <w:pPr>
        <w:pStyle w:val="Heading1"/>
        <w:numPr>
          <w:ilvl w:val="0"/>
          <w:numId w:val="74"/>
        </w:numPr>
      </w:pPr>
      <w:bookmarkStart w:id="30" w:name="_Toc16667612"/>
      <w:r>
        <w:t>Pruebas sustantivas</w:t>
      </w:r>
      <w:bookmarkEnd w:id="30"/>
    </w:p>
    <w:p w14:paraId="33428CE6" w14:textId="77777777" w:rsidR="00C4384E" w:rsidRDefault="00905A70">
      <w:pPr>
        <w:pStyle w:val="Heading2"/>
      </w:pPr>
      <w:bookmarkStart w:id="31" w:name="_Toc16667613"/>
      <w:r>
        <w:t>6.1 Objetivo de las pruebas sustantivas</w:t>
      </w:r>
      <w:bookmarkEnd w:id="31"/>
    </w:p>
    <w:p w14:paraId="1B241652" w14:textId="6DB1D75D" w:rsidR="00C4384E" w:rsidRDefault="00FF0997">
      <w:pPr>
        <w:spacing w:after="120"/>
      </w:pPr>
      <w:r>
        <w:t xml:space="preserve">Los procedimientos de auditoría para la validación de la integridad, exactitud y veracidad de las cuentas deben incluir </w:t>
      </w:r>
      <w:r>
        <w:rPr>
          <w:b/>
          <w:bCs/>
        </w:rPr>
        <w:t>procedimientos sustantivos de auditoría</w:t>
      </w:r>
      <w:r>
        <w:t>: una prueba de detalles y procedimientos analíticos. Los procedimientos analíticos se explican en la sección 7 - Conciliación.</w:t>
      </w:r>
    </w:p>
    <w:p w14:paraId="5278F532" w14:textId="5A9FEB5E" w:rsidR="00C4384E" w:rsidRDefault="00FF0997">
      <w:pPr>
        <w:spacing w:after="120"/>
        <w:rPr>
          <w:b/>
        </w:rPr>
      </w:pPr>
      <w:r>
        <w:rPr>
          <w:b/>
        </w:rPr>
        <w:t>Las pruebas de detalle correspondientes a las cuentas anuales deben centrarse en los elementos (transacciones operativas y no operativas) que estén incluidos en los estados financieros (cuentas anuales): declaración de gastos, anexo II y III (también el libro mayor de deudores), etc.</w:t>
      </w:r>
    </w:p>
    <w:p w14:paraId="05635BDB" w14:textId="4415543C" w:rsidR="00C4384E" w:rsidRDefault="003B6794">
      <w:pPr>
        <w:spacing w:after="120"/>
      </w:pPr>
      <w:r>
        <w:t xml:space="preserve">Las pruebas sustantivas de </w:t>
      </w:r>
      <w:r>
        <w:rPr>
          <w:b/>
          <w:bCs/>
        </w:rPr>
        <w:t>las transacciones operativas</w:t>
      </w:r>
      <w:r>
        <w:t xml:space="preserve"> deben abarcar el procedimiento para la ejecución de los pagos y la contabilidad de los pagos hasta las declaraciones. Deben incluir la verificación de que (lista no exhaustiva): </w:t>
      </w:r>
    </w:p>
    <w:p w14:paraId="4FC7881F" w14:textId="52820391" w:rsidR="00C4384E" w:rsidRDefault="003B6794">
      <w:pPr>
        <w:numPr>
          <w:ilvl w:val="0"/>
          <w:numId w:val="58"/>
        </w:numPr>
        <w:spacing w:after="120"/>
      </w:pPr>
      <w:r>
        <w:t>se han llevado a cabo los controles de pago ex ante</w:t>
      </w:r>
      <w:r>
        <w:rPr>
          <w:rStyle w:val="FootnoteReference"/>
        </w:rPr>
        <w:footnoteReference w:id="15"/>
      </w:r>
      <w:r>
        <w:t>,</w:t>
      </w:r>
    </w:p>
    <w:p w14:paraId="34BDE381" w14:textId="373C9046" w:rsidR="00C4384E" w:rsidRDefault="003B6794">
      <w:pPr>
        <w:numPr>
          <w:ilvl w:val="0"/>
          <w:numId w:val="58"/>
        </w:numPr>
        <w:spacing w:after="120"/>
      </w:pPr>
      <w:r>
        <w:t>los datos han sido correctamente registrados y procesados para los pagos,</w:t>
      </w:r>
    </w:p>
    <w:p w14:paraId="73CDA852" w14:textId="6B61F5E1" w:rsidR="00C4384E" w:rsidRDefault="003B6794">
      <w:pPr>
        <w:numPr>
          <w:ilvl w:val="0"/>
          <w:numId w:val="58"/>
        </w:numPr>
        <w:spacing w:after="120"/>
      </w:pPr>
      <w:r>
        <w:t>el importe pagadero calculado tiene debidamente en cuenta cualquier reducción relacionada con la gestión de irregularidades/deudas,</w:t>
      </w:r>
    </w:p>
    <w:p w14:paraId="33BF578A" w14:textId="535DB27E" w:rsidR="00C4384E" w:rsidRDefault="003B6794">
      <w:pPr>
        <w:numPr>
          <w:ilvl w:val="0"/>
          <w:numId w:val="58"/>
        </w:numPr>
        <w:spacing w:after="120"/>
      </w:pPr>
      <w:r>
        <w:t>se ha ejecutado el pago del importe correcto, se ha consignado en las cuentas y se ha declarado a los Fondos</w:t>
      </w:r>
      <w:r>
        <w:rPr>
          <w:rStyle w:val="FootnoteReference"/>
        </w:rPr>
        <w:footnoteReference w:id="16"/>
      </w:r>
      <w:r>
        <w:t>.</w:t>
      </w:r>
    </w:p>
    <w:p w14:paraId="4E8E0573" w14:textId="77777777" w:rsidR="00C4384E" w:rsidRDefault="00CA2C90">
      <w:pPr>
        <w:tabs>
          <w:tab w:val="left" w:pos="2160"/>
        </w:tabs>
        <w:spacing w:after="120"/>
      </w:pPr>
      <w:r>
        <w:t>Las pruebas antes mencionadas deben aplicarse también a los pagos anticipados. Cuando proceda, estas pruebas podrán consistir en una evaluación y pruebas de controles integrados en los sistemas de información asociados al proceso.</w:t>
      </w:r>
    </w:p>
    <w:p w14:paraId="3973EF16" w14:textId="77777777" w:rsidR="00C4384E" w:rsidRDefault="00C4384E">
      <w:pPr>
        <w:tabs>
          <w:tab w:val="left" w:pos="2160"/>
        </w:tabs>
        <w:spacing w:after="120"/>
      </w:pPr>
    </w:p>
    <w:p w14:paraId="2FA7DE75" w14:textId="77777777" w:rsidR="00C4384E" w:rsidRDefault="00FF0997">
      <w:pPr>
        <w:tabs>
          <w:tab w:val="left" w:pos="2160"/>
        </w:tabs>
        <w:spacing w:after="120"/>
      </w:pPr>
      <w:r>
        <w:t xml:space="preserve">Procedimientos de auditoría sustantivos para </w:t>
      </w:r>
      <w:r>
        <w:rPr>
          <w:b/>
          <w:bCs/>
        </w:rPr>
        <w:t>las transacciones no operativas</w:t>
      </w:r>
      <w:r>
        <w:t xml:space="preserve">: </w:t>
      </w:r>
    </w:p>
    <w:p w14:paraId="560E0293" w14:textId="77777777" w:rsidR="00C4384E" w:rsidRDefault="00CA2C90">
      <w:pPr>
        <w:tabs>
          <w:tab w:val="num" w:pos="2268"/>
        </w:tabs>
        <w:spacing w:after="120"/>
      </w:pPr>
      <w:r>
        <w:t xml:space="preserve">Con respecto a las </w:t>
      </w:r>
      <w:r>
        <w:rPr>
          <w:b/>
          <w:bCs/>
        </w:rPr>
        <w:t>garantías</w:t>
      </w:r>
      <w:r>
        <w:t>, el OC debe confirmar lo siguiente (lista no exhaustiva):</w:t>
      </w:r>
    </w:p>
    <w:p w14:paraId="72859399" w14:textId="1AAFE67A" w:rsidR="00C4384E" w:rsidRDefault="009A79B6">
      <w:pPr>
        <w:numPr>
          <w:ilvl w:val="0"/>
          <w:numId w:val="58"/>
        </w:numPr>
        <w:spacing w:after="120"/>
      </w:pPr>
      <w:r>
        <w:lastRenderedPageBreak/>
        <w:t>que la cuenta, la cuantía y el período de dichos anticipos y garantías son completos y correctos, principalmente mediante la comprobación de los justificantes correspondientes;</w:t>
      </w:r>
    </w:p>
    <w:p w14:paraId="097C3864" w14:textId="7B55B4BB" w:rsidR="00C4384E" w:rsidRDefault="009A79B6">
      <w:pPr>
        <w:numPr>
          <w:ilvl w:val="0"/>
          <w:numId w:val="58"/>
        </w:numPr>
        <w:spacing w:after="120"/>
      </w:pPr>
      <w:r>
        <w:t>que las garantías existen y están depositadas en un lugar seguro;</w:t>
      </w:r>
    </w:p>
    <w:p w14:paraId="7D8C05B4" w14:textId="79FCDC03" w:rsidR="00C4384E" w:rsidRDefault="009A79B6">
      <w:pPr>
        <w:numPr>
          <w:ilvl w:val="0"/>
          <w:numId w:val="58"/>
        </w:numPr>
        <w:spacing w:after="120"/>
      </w:pPr>
      <w:r>
        <w:t>que solo se aceptan garantías bancarias estándar y que dichas garantías permanecen en vigor.</w:t>
      </w:r>
    </w:p>
    <w:p w14:paraId="7FC3BF20" w14:textId="77777777" w:rsidR="00C4384E" w:rsidRDefault="007426EF">
      <w:pPr>
        <w:tabs>
          <w:tab w:val="num" w:pos="2268"/>
        </w:tabs>
        <w:spacing w:after="120"/>
      </w:pPr>
      <w:r>
        <w:t xml:space="preserve">Por lo que respecta a la gestión de </w:t>
      </w:r>
      <w:r>
        <w:rPr>
          <w:b/>
          <w:bCs/>
        </w:rPr>
        <w:t>irregularidades y deudas</w:t>
      </w:r>
      <w:r>
        <w:t>, el OC debe verificar, entre otras cosas, lo siguiente:</w:t>
      </w:r>
    </w:p>
    <w:p w14:paraId="13882ED5" w14:textId="3F8EA799" w:rsidR="00C4384E" w:rsidRDefault="00FF0997">
      <w:pPr>
        <w:numPr>
          <w:ilvl w:val="0"/>
          <w:numId w:val="59"/>
        </w:numPr>
        <w:spacing w:after="120"/>
      </w:pPr>
      <w:r>
        <w:t>Integridad: las deudas vinculadas a importes pagados indebidamente como consecuencia de una irregularidad, todas las penalizaciones que debían haber quedado registradas han sido realmente registradas;</w:t>
      </w:r>
    </w:p>
    <w:p w14:paraId="6A794CC3" w14:textId="3711B9CD" w:rsidR="00C4384E" w:rsidRDefault="00FF0997">
      <w:pPr>
        <w:numPr>
          <w:ilvl w:val="0"/>
          <w:numId w:val="59"/>
        </w:numPr>
        <w:spacing w:after="120"/>
      </w:pPr>
      <w:r>
        <w:t>Exactitud: las deudas aparecen en las cuentas del OP por los importes adecuados, una vez tenidos en cuenta todos los reembolsos, intereses, compensaciones y cancelaciones. En lo que respecta a este último hecho, el OC puede verificar la validez de las razones para corregir y cancelar una deuda (incluida la decisión de no proceder a la recuperación de una deuda).</w:t>
      </w:r>
    </w:p>
    <w:p w14:paraId="4A82B533" w14:textId="78C74073" w:rsidR="00C4384E" w:rsidRDefault="00981CF3">
      <w:pPr>
        <w:numPr>
          <w:ilvl w:val="0"/>
          <w:numId w:val="59"/>
        </w:numPr>
        <w:spacing w:after="120"/>
      </w:pPr>
      <w:r>
        <w:t>Cumplimiento de los plazos: las deudas se han identificado y recuperado oportunamente.</w:t>
      </w:r>
    </w:p>
    <w:p w14:paraId="136E2FA2" w14:textId="77777777" w:rsidR="00C4384E" w:rsidRDefault="00C4384E">
      <w:pPr>
        <w:pStyle w:val="ZDGName"/>
      </w:pPr>
    </w:p>
    <w:p w14:paraId="052625FC" w14:textId="77777777" w:rsidR="00C4384E" w:rsidRDefault="00905A70">
      <w:pPr>
        <w:pStyle w:val="Heading2"/>
      </w:pPr>
      <w:bookmarkStart w:id="32" w:name="_Toc16667614"/>
      <w:r>
        <w:t>6.2 Conceptos generales</w:t>
      </w:r>
      <w:bookmarkEnd w:id="32"/>
    </w:p>
    <w:p w14:paraId="238BD6A4" w14:textId="77777777" w:rsidR="00C4384E" w:rsidRDefault="00291880">
      <w:pPr>
        <w:rPr>
          <w:b/>
        </w:rPr>
      </w:pPr>
      <w:r>
        <w:rPr>
          <w:b/>
        </w:rPr>
        <w:t>Población/Estratificación</w:t>
      </w:r>
    </w:p>
    <w:p w14:paraId="46B61DDB" w14:textId="014D4889" w:rsidR="00C4384E" w:rsidRDefault="00C759C6">
      <w:r>
        <w:t xml:space="preserve">A efectos del muestreo, la población debe incluir todos los pagos efectuados en el ejercicio financiero (es decir, 16 de octubre de 201x – 15 de octubre de 201x + 1) declarados a la Comisión. En el caso del objetivo de auditoría n.º 1, el OC debe emitir una opinión para cada Fondo. </w:t>
      </w:r>
    </w:p>
    <w:p w14:paraId="53A430F3" w14:textId="6AAC3AF3" w:rsidR="00C4384E" w:rsidRDefault="000C2631">
      <w:pPr>
        <w:spacing w:after="120"/>
      </w:pPr>
      <w:r>
        <w:t xml:space="preserve">De acuerdo con el preámbulo del Reglamento (UE) n.º 908/2014, el OP debe mantener una contabilidad separada que se refiera exclusivamente al gasto objeto de financiación por parte del FEAGA y el Feader, respectivamente, y a los ingresos asociados a ambos Fondos. En consecuencia, ambos Fondos deben ser objeto de un tratamiento independiente. </w:t>
      </w:r>
    </w:p>
    <w:p w14:paraId="5CF6C4AD" w14:textId="77777777" w:rsidR="00C4384E" w:rsidRDefault="000C2631">
      <w:pPr>
        <w:spacing w:after="120"/>
      </w:pPr>
      <w:r>
        <w:t xml:space="preserve">De lo anterior se infiere que el OC debe emitir los dictámenes a los que se refiere el artículo 9 del Reglamento (UE) n.º 1306/2013 para ambos Fondos por separado. </w:t>
      </w:r>
    </w:p>
    <w:p w14:paraId="01E3F7FE" w14:textId="68A985B4" w:rsidR="00C4384E" w:rsidRDefault="001E4AFA">
      <w:r>
        <w:t xml:space="preserve">De ese modo, en el caso de las </w:t>
      </w:r>
      <w:r>
        <w:rPr>
          <w:b/>
          <w:bCs/>
        </w:rPr>
        <w:t>transacciones operativas</w:t>
      </w:r>
      <w:r>
        <w:t xml:space="preserve">, la población de muestreo puede establecerse con respecto al Fondo: </w:t>
      </w:r>
    </w:p>
    <w:p w14:paraId="21AD8844" w14:textId="0494D95E" w:rsidR="00C4384E" w:rsidRDefault="001E4AFA">
      <w:pPr>
        <w:numPr>
          <w:ilvl w:val="0"/>
          <w:numId w:val="60"/>
        </w:numPr>
      </w:pPr>
      <w:r>
        <w:t xml:space="preserve">todos los pagos efectuados en el ejercicio financiero declarados en virtud del FEAGA, </w:t>
      </w:r>
    </w:p>
    <w:p w14:paraId="19516D01" w14:textId="505F0217" w:rsidR="00C4384E" w:rsidRDefault="001E4AFA">
      <w:pPr>
        <w:numPr>
          <w:ilvl w:val="0"/>
          <w:numId w:val="60"/>
        </w:numPr>
      </w:pPr>
      <w:r>
        <w:t>todos los pagos efectuados en el ejercicio financiero declarados en virtud del Feader.</w:t>
      </w:r>
    </w:p>
    <w:p w14:paraId="63CF70BD" w14:textId="0E6B57FC" w:rsidR="00C4384E" w:rsidRDefault="00884E41">
      <w:r>
        <w:t xml:space="preserve">A los efectos de las </w:t>
      </w:r>
      <w:r>
        <w:rPr>
          <w:b/>
          <w:bCs/>
        </w:rPr>
        <w:t>pruebas sustantivas de las cuentas anuales</w:t>
      </w:r>
      <w:r>
        <w:t>, el OC debe establecer una muestra estadística con respecto al Fondo (FEAGA y Feader).</w:t>
      </w:r>
    </w:p>
    <w:p w14:paraId="2824F766" w14:textId="77777777" w:rsidR="00C4384E" w:rsidRDefault="003C1059">
      <w:r>
        <w:t xml:space="preserve">En general, la estratificación no se considera necesaria para la comprobación de los pagos. No obstante, si el auditor espera un nivel diferente de incorrecciones (por ejemplo, más elevado) en una parte de la población (esto significa diferente nivel de variabilidad), </w:t>
      </w:r>
      <w:r>
        <w:lastRenderedPageBreak/>
        <w:t xml:space="preserve">(por ejemplo, pagos efectuados para una medida específica y debido al diferente procedimiento utilizado para la tramitación de esos pagos), puede utilizarse la estratificación. En este caso, la población se divide en subpoblaciones/estratos, y cada estrato es objeto de comprobación por separado. Para cada estrato puede utilizarse una técnica de muestreo diferente: por ejemplo, el estrato con más riesgo puede comprobarse al 100 % mientras que en los otros estratos puede utilizarse el método de muestreo estadístico seleccionado. Alternativamente, el OC puede optar por comprobar el 100 % de los elementos fundamentales (por ejemplo, las transacciones cuyo valor sea superior al umbral de materialidad de la población o cuyo valor sea superior al intervalo de muestreo previsto). El OC puede entonces establecer la muestra sobre la base de la población restante. </w:t>
      </w:r>
    </w:p>
    <w:p w14:paraId="2D33DDBF" w14:textId="4DB4E984" w:rsidR="00C4384E" w:rsidRDefault="00811F6F">
      <w:pPr>
        <w:pStyle w:val="Text1"/>
        <w:spacing w:after="120"/>
        <w:ind w:left="0"/>
      </w:pPr>
      <w:r>
        <w:t xml:space="preserve">En el caso de las </w:t>
      </w:r>
      <w:r>
        <w:rPr>
          <w:b/>
          <w:bCs/>
        </w:rPr>
        <w:t>transacciones no operativas</w:t>
      </w:r>
      <w:r>
        <w:t xml:space="preserve"> se pueden definir las poblaciones siguientes: </w:t>
      </w:r>
    </w:p>
    <w:p w14:paraId="39CEAC1F" w14:textId="77777777" w:rsidR="00C4384E" w:rsidRDefault="00811F6F">
      <w:pPr>
        <w:numPr>
          <w:ilvl w:val="0"/>
          <w:numId w:val="60"/>
        </w:numPr>
      </w:pPr>
      <w:r>
        <w:t>Gestión de irregularidades y deudas</w:t>
      </w:r>
    </w:p>
    <w:p w14:paraId="48AE02E5" w14:textId="1B5CDB2E" w:rsidR="00C4384E" w:rsidRDefault="00811F6F">
      <w:pPr>
        <w:numPr>
          <w:ilvl w:val="0"/>
          <w:numId w:val="24"/>
        </w:numPr>
        <w:spacing w:after="120"/>
        <w:ind w:left="1342"/>
      </w:pPr>
      <w:r>
        <w:t>Población 1: Transacciones en el marco del FEAGA</w:t>
      </w:r>
    </w:p>
    <w:p w14:paraId="56B1D8AB" w14:textId="497E60EB" w:rsidR="00C4384E" w:rsidRDefault="00811F6F">
      <w:pPr>
        <w:numPr>
          <w:ilvl w:val="0"/>
          <w:numId w:val="24"/>
        </w:numPr>
        <w:spacing w:after="120"/>
        <w:ind w:left="1342"/>
      </w:pPr>
      <w:r>
        <w:t>Población 2: Transacciones en el marco del Feader</w:t>
      </w:r>
    </w:p>
    <w:p w14:paraId="7FD1EAEA" w14:textId="471B1AF0" w:rsidR="00C4384E" w:rsidRDefault="00811F6F">
      <w:pPr>
        <w:spacing w:after="120"/>
      </w:pPr>
      <w:r>
        <w:t xml:space="preserve">No obstante, si se puede demostrar que los movimientos de las irregularidades y las deudas, tanto para el FEAGA como para el Feader, se gestionan utilizando un sistema de control interno común, siguiendo estos mismos principios, tanto las pruebas de cumplimiento como las sustantivas se podrán realizar con base en </w:t>
      </w:r>
      <w:r>
        <w:rPr>
          <w:u w:val="single"/>
        </w:rPr>
        <w:t>una única población que abarque ambos Fondos</w:t>
      </w:r>
      <w:r>
        <w:t>. En este caso, deben cumplirse algunas condiciones particulares (véase el anexo 2).</w:t>
      </w:r>
    </w:p>
    <w:p w14:paraId="332E0832" w14:textId="77777777" w:rsidR="00C4384E" w:rsidRDefault="00723C74">
      <w:r>
        <w:t>El proceso de anticipos y garantías también debe someterse a comprobación.</w:t>
      </w:r>
    </w:p>
    <w:p w14:paraId="07FD434E" w14:textId="77777777" w:rsidR="00C4384E" w:rsidRDefault="00291880">
      <w:pPr>
        <w:rPr>
          <w:b/>
        </w:rPr>
      </w:pPr>
      <w:r>
        <w:rPr>
          <w:b/>
        </w:rPr>
        <w:t>Unidad de muestreo</w:t>
      </w:r>
    </w:p>
    <w:p w14:paraId="1A0BB259" w14:textId="79995A92" w:rsidR="00C4384E" w:rsidRDefault="007956DF">
      <w:r>
        <w:t xml:space="preserve">En el caso de las </w:t>
      </w:r>
      <w:r>
        <w:rPr>
          <w:b/>
          <w:bCs/>
        </w:rPr>
        <w:t>transacciones operativas</w:t>
      </w:r>
      <w:r>
        <w:t xml:space="preserve">, la unidad de muestreo es el pago individual efectuado por el OP en el curso del ejercicio financiero. En el caso de las </w:t>
      </w:r>
      <w:r>
        <w:rPr>
          <w:b/>
          <w:bCs/>
        </w:rPr>
        <w:t>transacciones no operativas</w:t>
      </w:r>
      <w:r>
        <w:t>, la unidad de muestreo puede variar en función de la decisión del OC. Sin embargo, tanto para la gestión de irregularidades/deudas como para las garantías, se recomienda utilizar como unidad de muestreo un caso específico incluido en la población.</w:t>
      </w:r>
    </w:p>
    <w:p w14:paraId="4DC5BDD9" w14:textId="77777777" w:rsidR="00C4384E" w:rsidRDefault="00291880">
      <w:pPr>
        <w:rPr>
          <w:b/>
        </w:rPr>
      </w:pPr>
      <w:r>
        <w:rPr>
          <w:b/>
        </w:rPr>
        <w:t>Método de muestreo</w:t>
      </w:r>
    </w:p>
    <w:p w14:paraId="36110C8B" w14:textId="66266740" w:rsidR="00C4384E" w:rsidRDefault="000C2631">
      <w:pPr>
        <w:spacing w:after="120"/>
      </w:pPr>
      <w:r>
        <w:t xml:space="preserve">Para las </w:t>
      </w:r>
      <w:r>
        <w:rPr>
          <w:b/>
          <w:bCs/>
        </w:rPr>
        <w:t>transacciones operativas</w:t>
      </w:r>
      <w:r>
        <w:t xml:space="preserve"> debe utilizarse el método de muestreo estadístico. Se recomienda utilizar el muestreo de la unidad monetaria (MUM). El muestreo integrado puede utilizarse cuando sea posible para utilizar eficientemente los recursos de auditoría y para mejorar la eficiencia, pero sin comprometer la elaboración de informes por separado en virtud de los objetivos de auditoría. Por tanto, si el OC lo considera oportuno, una transacción puede utilizarse para los procedimientos de auditoría en virtud del objetivo de auditoría n.º 1 y del objetivo de auditoría n.º 2. Además, la misma transacción puede utilizarse para las pruebas de cumplimiento y las pruebas sustantivas (prueba de doble propósito), tal como se explicó en la sección 5 anterior. </w:t>
      </w:r>
    </w:p>
    <w:p w14:paraId="471AFAC0" w14:textId="2D174406" w:rsidR="00C4384E" w:rsidRDefault="00844C64">
      <w:r>
        <w:t>En el caso de pruebas de integración o de doble propósito entre el objetivo n.º 1 y el objetivo n.º 2, se aconseja al OC que alinee los métodos de muestreo, de modo que el enfoque estándar del MUM y el muestreo aleatorio simple puedan también ser utilizados para el objetivo n.º 1 en este caso.</w:t>
      </w:r>
    </w:p>
    <w:p w14:paraId="711271D0" w14:textId="7345214B" w:rsidR="00C4384E" w:rsidRDefault="00E979D8">
      <w:r>
        <w:lastRenderedPageBreak/>
        <w:t>Una explicación detallada de estos métodos figura en el anexo 2. Algunos conceptos generales explicados a continuación se refieren únicamente al muestreo estadístico.</w:t>
      </w:r>
    </w:p>
    <w:p w14:paraId="6BA51F23" w14:textId="3E1B3B46" w:rsidR="00C4384E" w:rsidRDefault="007956DF">
      <w:r>
        <w:t>En el caso de las transacciones no operativas, se recomienda utilizar el muestreo aleatorio no estadístico (véase el anexo 2).</w:t>
      </w:r>
    </w:p>
    <w:p w14:paraId="38A8752E" w14:textId="77777777" w:rsidR="00C4384E" w:rsidRDefault="00291880">
      <w:pPr>
        <w:rPr>
          <w:b/>
        </w:rPr>
      </w:pPr>
      <w:r>
        <w:rPr>
          <w:b/>
        </w:rPr>
        <w:t>Materialidad – Error/incorrección tolerable (IT)</w:t>
      </w:r>
    </w:p>
    <w:p w14:paraId="31A43C1B" w14:textId="77777777" w:rsidR="00C4384E" w:rsidRDefault="004A1405">
      <w:pPr>
        <w:pStyle w:val="Text1"/>
        <w:spacing w:after="120"/>
        <w:ind w:left="0"/>
      </w:pPr>
      <w:r>
        <w:t>La materialidad global se fija en el 2 % del gasto con respecto al Fondo, a la población y al estrato.</w:t>
      </w:r>
    </w:p>
    <w:p w14:paraId="04A29BD9" w14:textId="77777777" w:rsidR="00C4384E" w:rsidRDefault="004A1405">
      <w:pPr>
        <w:spacing w:after="120"/>
      </w:pPr>
      <w:r>
        <w:t>Si está debidamente justificado, el OC puede fijar umbrales de materialidad del resultado diferentes con respecto al estrato, a condición de que, con respecto al Fondo, se respete la materialidad global del 2 %. La justificación del enfoque adoptado debe estar debidamente motivada y documentada en la estrategia de auditoría.</w:t>
      </w:r>
    </w:p>
    <w:p w14:paraId="6D41849C" w14:textId="77777777" w:rsidR="00C4384E" w:rsidRDefault="004A1405">
      <w:pPr>
        <w:spacing w:beforeLines="1" w:before="2" w:afterLines="1" w:after="2"/>
        <w:rPr>
          <w:sz w:val="20"/>
          <w:szCs w:val="20"/>
        </w:rPr>
      </w:pPr>
      <w:r>
        <w:t xml:space="preserve">El error tolerable es el porcentaje de error máximo aceptable que se puede encontrar en la población en un año determinado. Con un nivel de materialidad del 2 %, este error tolerable máximo es pues el 2 % del gasto certificado a la Comisión para ese año de referencia. </w:t>
      </w:r>
    </w:p>
    <w:p w14:paraId="05893808" w14:textId="77777777" w:rsidR="00C4384E" w:rsidRDefault="00C4384E">
      <w:pPr>
        <w:rPr>
          <w:b/>
        </w:rPr>
      </w:pPr>
    </w:p>
    <w:p w14:paraId="7C3738FC" w14:textId="77777777" w:rsidR="00C4384E" w:rsidRDefault="00E26039">
      <w:pPr>
        <w:rPr>
          <w:b/>
        </w:rPr>
      </w:pPr>
      <w:r>
        <w:rPr>
          <w:b/>
        </w:rPr>
        <w:t>Nivel de confianza</w:t>
      </w:r>
    </w:p>
    <w:p w14:paraId="6D921095" w14:textId="655CD92D" w:rsidR="00C4384E" w:rsidRDefault="004A52B8">
      <w:pPr>
        <w:pStyle w:val="NormalWeb"/>
        <w:spacing w:before="2" w:after="2"/>
        <w:jc w:val="both"/>
        <w:rPr>
          <w:rFonts w:ascii="Times New Roman" w:hAnsi="Times New Roman"/>
        </w:rPr>
      </w:pPr>
      <w:r>
        <w:rPr>
          <w:rFonts w:ascii="Times New Roman" w:hAnsi="Times New Roman"/>
        </w:rPr>
        <w:t xml:space="preserve">Tal como se explicó en la sección 4.2, la garantía del sistema determinará la garantía que puede obtenerse de las pruebas sustantivas o, en otros términos, el nivel de confianza de las pruebas sustantivas. Ofrece una interpretación de los resultados del muestreo, expresa la probabilidad de que un intervalo de confianza producido por los datos de la muestra contenga el error real de la población. Por ejemplo, un nivel de confianza del 95 % significa que el OC puede asumir, con una fiabilidad del 95 %, que el error de la población se situará dentro del intervalo de confianza producido por los datos de la muestra. (Si el error extrapolado es de 100 y la precisión es de 10, el error en la población real se situará entre </w:t>
      </w:r>
      <w:r>
        <w:rPr>
          <w:rFonts w:ascii="Times New Roman" w:hAnsi="Times New Roman"/>
        </w:rPr>
        <w:sym w:font="Symbol" w:char="F05B"/>
      </w:r>
      <w:r>
        <w:rPr>
          <w:rFonts w:ascii="Times New Roman" w:hAnsi="Times New Roman"/>
        </w:rPr>
        <w:t>90, 110</w:t>
      </w:r>
      <w:r>
        <w:rPr>
          <w:rFonts w:ascii="Times New Roman" w:hAnsi="Times New Roman"/>
        </w:rPr>
        <w:sym w:font="Symbol" w:char="F05D"/>
      </w:r>
      <w:r>
        <w:rPr>
          <w:rFonts w:ascii="Times New Roman" w:hAnsi="Times New Roman"/>
        </w:rPr>
        <w:t xml:space="preserve"> con una fiabilidad del 95 %).</w:t>
      </w:r>
    </w:p>
    <w:p w14:paraId="179319D8" w14:textId="77777777" w:rsidR="00C4384E" w:rsidRDefault="00291880">
      <w:pPr>
        <w:rPr>
          <w:b/>
        </w:rPr>
      </w:pPr>
      <w:r>
        <w:rPr>
          <w:b/>
        </w:rPr>
        <w:t>Error anticipado</w:t>
      </w:r>
    </w:p>
    <w:p w14:paraId="015334BC" w14:textId="706F63C0" w:rsidR="00C4384E" w:rsidRDefault="001066F0">
      <w:r>
        <w:t>Representa la incorrección esperada en la población o estrato comprobado. Se calcula sobre la base de la desviación típica del error (o errores) o de los resultados de auditorías anteriores.</w:t>
      </w:r>
    </w:p>
    <w:p w14:paraId="701ACBCA" w14:textId="77777777" w:rsidR="00C4384E" w:rsidRDefault="00C4384E">
      <w:pPr>
        <w:pStyle w:val="ZDGName"/>
        <w:rPr>
          <w:b/>
        </w:rPr>
      </w:pPr>
    </w:p>
    <w:p w14:paraId="4F08E6C4" w14:textId="77777777" w:rsidR="00C4384E" w:rsidRDefault="00291880">
      <w:pPr>
        <w:rPr>
          <w:b/>
        </w:rPr>
      </w:pPr>
      <w:r>
        <w:rPr>
          <w:b/>
        </w:rPr>
        <w:t>Precisión</w:t>
      </w:r>
    </w:p>
    <w:p w14:paraId="2389BF40" w14:textId="6A53F3B1" w:rsidR="00C4384E" w:rsidRDefault="001066F0">
      <w:pPr>
        <w:pStyle w:val="ListBullet1"/>
        <w:tabs>
          <w:tab w:val="num" w:pos="1286"/>
        </w:tabs>
        <w:spacing w:after="0"/>
      </w:pPr>
      <w:r>
        <w:t>La precisión mide la incertidumbre que surge al no auditar el OC a toda la población y mide la incertidumbre debida al muestreo, es decir, el riesgo de muestreo. El riesgo de muestreo mide el riesgo de que las conclusiones que alcance el OC tras comprobar una muestra difieran de aquellas que deberían haberse alcanzado si la comprobación se hubiera realizado sobre el conjunto de la población.</w:t>
      </w:r>
    </w:p>
    <w:p w14:paraId="767AD01D" w14:textId="77777777" w:rsidR="00C4384E" w:rsidRDefault="001066F0">
      <w:pPr>
        <w:spacing w:after="0"/>
      </w:pPr>
      <w:r>
        <w:t xml:space="preserve">La </w:t>
      </w:r>
      <w:r>
        <w:rPr>
          <w:b/>
          <w:u w:val="single"/>
        </w:rPr>
        <w:t>precisión planeada/deseada</w:t>
      </w:r>
      <w:r>
        <w:t xml:space="preserve"> es el error de muestreo máximo aceptado para la extrapolación de errores en un año determinado.</w:t>
      </w:r>
      <w:r>
        <w:rPr>
          <w:sz w:val="23"/>
          <w:szCs w:val="23"/>
        </w:rPr>
        <w:t xml:space="preserve"> </w:t>
      </w:r>
      <w:r>
        <w:t xml:space="preserve">La precisión planeada siempre debe ser menor que el error/la incorrección tolerable. </w:t>
      </w:r>
    </w:p>
    <w:p w14:paraId="608EEEE1" w14:textId="77777777" w:rsidR="00C4384E" w:rsidRDefault="001066F0">
      <w:pPr>
        <w:spacing w:after="0"/>
        <w:rPr>
          <w:color w:val="000000"/>
        </w:rPr>
      </w:pPr>
      <w:r>
        <w:t>La diferencia entre el error anticipado y el error tolerable se puede utilizar como una medida de precisión.</w:t>
      </w:r>
    </w:p>
    <w:p w14:paraId="666F21CD" w14:textId="7C34B7C4" w:rsidR="00C4384E" w:rsidRDefault="001066F0">
      <w:pPr>
        <w:spacing w:after="0"/>
      </w:pPr>
      <w:r>
        <w:lastRenderedPageBreak/>
        <w:t xml:space="preserve">La </w:t>
      </w:r>
      <w:r>
        <w:rPr>
          <w:b/>
          <w:u w:val="single"/>
        </w:rPr>
        <w:t>precisión de muestreo obtenida</w:t>
      </w:r>
      <w:r>
        <w:t xml:space="preserve"> permite al OC determinar el </w:t>
      </w:r>
      <w:r>
        <w:rPr>
          <w:b/>
        </w:rPr>
        <w:t>intervalo de confianza</w:t>
      </w:r>
      <w:r>
        <w:t>, es decir, el rango en el que la estimación de la característica de la población se situará en el nivel de confianza estipulado.</w:t>
      </w:r>
    </w:p>
    <w:p w14:paraId="50709D2C" w14:textId="77777777" w:rsidR="00C4384E" w:rsidRDefault="00C4384E">
      <w:pPr>
        <w:rPr>
          <w:b/>
        </w:rPr>
      </w:pPr>
    </w:p>
    <w:p w14:paraId="0B4A89D0" w14:textId="77777777" w:rsidR="00C4384E" w:rsidRDefault="00291880">
      <w:pPr>
        <w:rPr>
          <w:b/>
        </w:rPr>
      </w:pPr>
      <w:r>
        <w:rPr>
          <w:b/>
        </w:rPr>
        <w:t>Variabilidad</w:t>
      </w:r>
    </w:p>
    <w:p w14:paraId="4595A876" w14:textId="03E63DFC" w:rsidR="00C4384E" w:rsidRDefault="00E979D8">
      <w:pPr>
        <w:pStyle w:val="NormalWeb"/>
        <w:spacing w:before="2" w:after="2"/>
        <w:jc w:val="both"/>
        <w:rPr>
          <w:rFonts w:ascii="Times New Roman" w:hAnsi="Times New Roman"/>
        </w:rPr>
      </w:pPr>
      <w:r>
        <w:rPr>
          <w:rFonts w:ascii="Times New Roman" w:hAnsi="Times New Roman"/>
        </w:rPr>
        <w:t xml:space="preserve">La variabilidad de la población es un parámetro muy influyente en el tamaño de la muestra. La variabilidad se mide habitualmente por un parámetro conocido como desviación estándar y se representa por </w:t>
      </w:r>
      <w:r>
        <w:rPr>
          <w:rFonts w:ascii="Times New Roman" w:hAnsi="Times New Roman"/>
        </w:rPr>
        <w:sym w:font="Symbol" w:char="F073"/>
      </w:r>
      <w:r>
        <w:rPr>
          <w:rFonts w:ascii="Times New Roman" w:hAnsi="Times New Roman"/>
        </w:rPr>
        <w:t>. Cuanto mayor es la desviación estándar, más heterogénea es la población (o la muestra</w:t>
      </w:r>
      <w:r w:rsidR="00805BA2">
        <w:rPr>
          <w:rFonts w:ascii="Times New Roman" w:hAnsi="Times New Roman"/>
        </w:rPr>
        <w:t>). El</w:t>
      </w:r>
      <w:r>
        <w:rPr>
          <w:rFonts w:ascii="Times New Roman" w:hAnsi="Times New Roman"/>
        </w:rPr>
        <w:t xml:space="preserve"> tamaño de la muestra necesario para auditar una población con una variabilidad baja suele ser más pequeño que para una población con una variabilidad elevada. </w:t>
      </w:r>
    </w:p>
    <w:p w14:paraId="196C7DAD" w14:textId="77777777" w:rsidR="00C4384E" w:rsidRDefault="00C759C6">
      <w:pPr>
        <w:rPr>
          <w:b/>
        </w:rPr>
      </w:pPr>
      <w:r>
        <w:rPr>
          <w:b/>
        </w:rPr>
        <w:t>Tamaño de la muestra</w:t>
      </w:r>
    </w:p>
    <w:p w14:paraId="721E2246" w14:textId="161E88AA" w:rsidR="00C4384E" w:rsidRDefault="00AF232E">
      <w:r>
        <w:t xml:space="preserve">El tamaño de la muestra para la auditoría de las cuentas anuales con respecto al Fondo para las </w:t>
      </w:r>
      <w:r>
        <w:rPr>
          <w:b/>
          <w:bCs/>
        </w:rPr>
        <w:t>transacciones operativas</w:t>
      </w:r>
      <w:r>
        <w:t xml:space="preserve"> debe determinarse mediante los parámetros antes mencionados: población, nivel de confianza, precisión, error tolerable y error anticipado.</w:t>
      </w:r>
    </w:p>
    <w:p w14:paraId="0915BBC3" w14:textId="72627160" w:rsidR="00C4384E" w:rsidRDefault="00723C74">
      <w:r>
        <w:t xml:space="preserve">En general, la utilización de diferentes métodos de muestreo, incluida una estimación de la desviación estándar (sobre una muestra piloto) puede ocasionar un nivel muy diferente de tamaños de la muestra. </w:t>
      </w:r>
    </w:p>
    <w:p w14:paraId="21D0E3B6" w14:textId="7006DBCB" w:rsidR="00C4384E" w:rsidRDefault="00AF042D">
      <w:r>
        <w:t xml:space="preserve">Para el </w:t>
      </w:r>
      <w:r>
        <w:rPr>
          <w:u w:val="single"/>
        </w:rPr>
        <w:t>enfoque conservador del MUM</w:t>
      </w:r>
      <w:r>
        <w:t xml:space="preserve">, deben respetarse los siguientes tamaños mínimos de la muestra </w:t>
      </w:r>
      <w:r>
        <w:rPr>
          <w:b/>
          <w:bCs/>
        </w:rPr>
        <w:t>por Fondo</w:t>
      </w:r>
      <w:r>
        <w:t xml:space="preserve"> para la auditoría de las cuentas:</w:t>
      </w:r>
    </w:p>
    <w:tbl>
      <w:tblPr>
        <w:tblW w:w="6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1701"/>
        <w:gridCol w:w="993"/>
        <w:gridCol w:w="1275"/>
        <w:gridCol w:w="1134"/>
      </w:tblGrid>
      <w:tr w:rsidR="00C4384E" w14:paraId="0C1BD171" w14:textId="77777777" w:rsidTr="006D6737">
        <w:trPr>
          <w:trHeight w:val="841"/>
          <w:jc w:val="center"/>
        </w:trPr>
        <w:tc>
          <w:tcPr>
            <w:tcW w:w="1885" w:type="dxa"/>
            <w:shd w:val="clear" w:color="auto" w:fill="auto"/>
          </w:tcPr>
          <w:p w14:paraId="09F8E03B" w14:textId="6FAB34AB" w:rsidR="00C4384E" w:rsidRDefault="00AF042D" w:rsidP="004C779D">
            <w:pPr>
              <w:pStyle w:val="Text1"/>
              <w:spacing w:before="2" w:after="2"/>
              <w:ind w:left="0"/>
              <w:jc w:val="center"/>
              <w:rPr>
                <w:b/>
                <w:sz w:val="22"/>
                <w:szCs w:val="22"/>
              </w:rPr>
            </w:pPr>
            <w:r>
              <w:rPr>
                <w:b/>
                <w:sz w:val="22"/>
                <w:szCs w:val="22"/>
              </w:rPr>
              <w:t>Garantía</w:t>
            </w:r>
            <w:r w:rsidR="004C779D">
              <w:rPr>
                <w:b/>
                <w:sz w:val="22"/>
                <w:szCs w:val="22"/>
              </w:rPr>
              <w:t xml:space="preserve"> </w:t>
            </w:r>
            <w:r>
              <w:rPr>
                <w:b/>
                <w:sz w:val="22"/>
                <w:szCs w:val="22"/>
              </w:rPr>
              <w:t xml:space="preserve">del sistema </w:t>
            </w:r>
          </w:p>
        </w:tc>
        <w:tc>
          <w:tcPr>
            <w:tcW w:w="1701" w:type="dxa"/>
            <w:shd w:val="clear" w:color="auto" w:fill="FBD4B4"/>
          </w:tcPr>
          <w:p w14:paraId="2BBEE2E5" w14:textId="6D53E273" w:rsidR="00C4384E" w:rsidRDefault="00AF042D">
            <w:pPr>
              <w:pStyle w:val="Text1"/>
              <w:spacing w:before="2" w:after="2"/>
              <w:ind w:left="0"/>
              <w:jc w:val="center"/>
              <w:rPr>
                <w:sz w:val="22"/>
                <w:szCs w:val="22"/>
              </w:rPr>
            </w:pPr>
            <w:r>
              <w:rPr>
                <w:sz w:val="22"/>
                <w:szCs w:val="22"/>
              </w:rPr>
              <w:t>Elevada</w:t>
            </w:r>
            <w:r w:rsidR="004C779D">
              <w:rPr>
                <w:sz w:val="22"/>
                <w:szCs w:val="22"/>
              </w:rPr>
              <w:t xml:space="preserve"> </w:t>
            </w:r>
            <w:r>
              <w:rPr>
                <w:sz w:val="22"/>
                <w:szCs w:val="22"/>
              </w:rPr>
              <w:t>/</w:t>
            </w:r>
            <w:r w:rsidR="004C779D">
              <w:rPr>
                <w:sz w:val="22"/>
                <w:szCs w:val="22"/>
              </w:rPr>
              <w:t xml:space="preserve"> </w:t>
            </w:r>
            <w:r>
              <w:rPr>
                <w:sz w:val="22"/>
                <w:szCs w:val="22"/>
              </w:rPr>
              <w:t>Moderada</w:t>
            </w:r>
          </w:p>
        </w:tc>
        <w:tc>
          <w:tcPr>
            <w:tcW w:w="993" w:type="dxa"/>
            <w:shd w:val="clear" w:color="auto" w:fill="FBD4B4"/>
          </w:tcPr>
          <w:p w14:paraId="55132C27" w14:textId="77777777" w:rsidR="00C4384E" w:rsidRDefault="00AF042D">
            <w:pPr>
              <w:pStyle w:val="Text1"/>
              <w:spacing w:before="2" w:after="2"/>
              <w:ind w:left="0"/>
              <w:jc w:val="center"/>
              <w:rPr>
                <w:sz w:val="22"/>
                <w:szCs w:val="22"/>
              </w:rPr>
            </w:pPr>
            <w:r>
              <w:rPr>
                <w:sz w:val="22"/>
                <w:szCs w:val="22"/>
              </w:rPr>
              <w:t>Media</w:t>
            </w:r>
          </w:p>
        </w:tc>
        <w:tc>
          <w:tcPr>
            <w:tcW w:w="1275" w:type="dxa"/>
            <w:shd w:val="clear" w:color="auto" w:fill="FBD4B4"/>
          </w:tcPr>
          <w:p w14:paraId="5B91C083" w14:textId="77777777" w:rsidR="00C4384E" w:rsidRDefault="00AF042D">
            <w:pPr>
              <w:pStyle w:val="Text1"/>
              <w:spacing w:before="2" w:after="2"/>
              <w:ind w:left="0"/>
              <w:jc w:val="center"/>
              <w:rPr>
                <w:sz w:val="22"/>
                <w:szCs w:val="22"/>
              </w:rPr>
            </w:pPr>
            <w:r>
              <w:rPr>
                <w:sz w:val="22"/>
                <w:szCs w:val="22"/>
              </w:rPr>
              <w:t>Media baja</w:t>
            </w:r>
          </w:p>
        </w:tc>
        <w:tc>
          <w:tcPr>
            <w:tcW w:w="1134" w:type="dxa"/>
            <w:shd w:val="clear" w:color="auto" w:fill="FBD4B4"/>
          </w:tcPr>
          <w:p w14:paraId="01935476" w14:textId="77777777" w:rsidR="00C4384E" w:rsidRDefault="00AF042D">
            <w:pPr>
              <w:pStyle w:val="Text1"/>
              <w:spacing w:before="2" w:after="2"/>
              <w:ind w:left="0"/>
              <w:jc w:val="center"/>
              <w:rPr>
                <w:sz w:val="22"/>
                <w:szCs w:val="22"/>
              </w:rPr>
            </w:pPr>
            <w:r>
              <w:rPr>
                <w:sz w:val="22"/>
                <w:szCs w:val="22"/>
              </w:rPr>
              <w:t>Baja</w:t>
            </w:r>
          </w:p>
        </w:tc>
      </w:tr>
      <w:tr w:rsidR="00C4384E" w14:paraId="5E62F3D5" w14:textId="77777777" w:rsidTr="00592F9F">
        <w:trPr>
          <w:jc w:val="center"/>
        </w:trPr>
        <w:tc>
          <w:tcPr>
            <w:tcW w:w="1885" w:type="dxa"/>
            <w:shd w:val="clear" w:color="auto" w:fill="auto"/>
          </w:tcPr>
          <w:p w14:paraId="223E93BA" w14:textId="2C6D9AEE" w:rsidR="00C4384E" w:rsidRDefault="00AF042D">
            <w:pPr>
              <w:pStyle w:val="Text1"/>
              <w:spacing w:before="2" w:after="2"/>
              <w:ind w:left="0"/>
              <w:jc w:val="center"/>
              <w:rPr>
                <w:b/>
                <w:sz w:val="22"/>
                <w:szCs w:val="22"/>
              </w:rPr>
            </w:pPr>
            <w:r>
              <w:rPr>
                <w:b/>
                <w:sz w:val="22"/>
                <w:szCs w:val="22"/>
              </w:rPr>
              <w:t>Riesgo de auditoría</w:t>
            </w:r>
          </w:p>
        </w:tc>
        <w:tc>
          <w:tcPr>
            <w:tcW w:w="1701" w:type="dxa"/>
          </w:tcPr>
          <w:p w14:paraId="55B603F9" w14:textId="77777777" w:rsidR="00C4384E" w:rsidRDefault="00AF042D">
            <w:pPr>
              <w:pStyle w:val="Text1"/>
              <w:spacing w:before="2" w:after="2"/>
              <w:ind w:left="0"/>
              <w:jc w:val="center"/>
              <w:rPr>
                <w:sz w:val="22"/>
                <w:szCs w:val="22"/>
              </w:rPr>
            </w:pPr>
            <w:r>
              <w:rPr>
                <w:sz w:val="22"/>
                <w:szCs w:val="22"/>
              </w:rPr>
              <w:t>5 %</w:t>
            </w:r>
          </w:p>
        </w:tc>
        <w:tc>
          <w:tcPr>
            <w:tcW w:w="993" w:type="dxa"/>
            <w:shd w:val="clear" w:color="auto" w:fill="auto"/>
          </w:tcPr>
          <w:p w14:paraId="42C34EE5" w14:textId="77777777" w:rsidR="00C4384E" w:rsidRDefault="00AF042D">
            <w:pPr>
              <w:pStyle w:val="Text1"/>
              <w:spacing w:before="2" w:after="2"/>
              <w:ind w:left="0"/>
              <w:jc w:val="center"/>
              <w:rPr>
                <w:sz w:val="22"/>
                <w:szCs w:val="22"/>
              </w:rPr>
            </w:pPr>
            <w:r>
              <w:rPr>
                <w:sz w:val="22"/>
                <w:szCs w:val="22"/>
              </w:rPr>
              <w:t>5 %</w:t>
            </w:r>
          </w:p>
        </w:tc>
        <w:tc>
          <w:tcPr>
            <w:tcW w:w="1275" w:type="dxa"/>
            <w:shd w:val="clear" w:color="auto" w:fill="auto"/>
          </w:tcPr>
          <w:p w14:paraId="59B68AD8" w14:textId="77777777" w:rsidR="00C4384E" w:rsidRDefault="00AF042D">
            <w:pPr>
              <w:pStyle w:val="Text1"/>
              <w:spacing w:before="2" w:after="2"/>
              <w:ind w:left="0"/>
              <w:jc w:val="center"/>
              <w:rPr>
                <w:sz w:val="22"/>
                <w:szCs w:val="22"/>
              </w:rPr>
            </w:pPr>
            <w:r>
              <w:rPr>
                <w:sz w:val="22"/>
                <w:szCs w:val="22"/>
              </w:rPr>
              <w:t>5 %</w:t>
            </w:r>
          </w:p>
        </w:tc>
        <w:tc>
          <w:tcPr>
            <w:tcW w:w="1134" w:type="dxa"/>
            <w:shd w:val="clear" w:color="auto" w:fill="auto"/>
          </w:tcPr>
          <w:p w14:paraId="4AF970A3" w14:textId="77777777" w:rsidR="00C4384E" w:rsidRDefault="00AF042D">
            <w:pPr>
              <w:pStyle w:val="Text1"/>
              <w:spacing w:before="2" w:after="2"/>
              <w:ind w:left="0"/>
              <w:jc w:val="center"/>
              <w:rPr>
                <w:sz w:val="22"/>
                <w:szCs w:val="22"/>
              </w:rPr>
            </w:pPr>
            <w:r>
              <w:rPr>
                <w:sz w:val="22"/>
                <w:szCs w:val="22"/>
              </w:rPr>
              <w:t>5 %</w:t>
            </w:r>
          </w:p>
        </w:tc>
      </w:tr>
      <w:tr w:rsidR="00C4384E" w14:paraId="48FF5AEC" w14:textId="77777777" w:rsidTr="00592F9F">
        <w:trPr>
          <w:jc w:val="center"/>
        </w:trPr>
        <w:tc>
          <w:tcPr>
            <w:tcW w:w="1885" w:type="dxa"/>
            <w:shd w:val="clear" w:color="auto" w:fill="auto"/>
          </w:tcPr>
          <w:p w14:paraId="15310B52" w14:textId="77777777" w:rsidR="00C4384E" w:rsidRDefault="00AF042D">
            <w:pPr>
              <w:pStyle w:val="Text1"/>
              <w:spacing w:before="2" w:after="2"/>
              <w:ind w:left="0"/>
              <w:jc w:val="center"/>
              <w:rPr>
                <w:b/>
                <w:sz w:val="20"/>
              </w:rPr>
            </w:pPr>
            <w:r>
              <w:rPr>
                <w:b/>
                <w:sz w:val="20"/>
              </w:rPr>
              <w:t>Nivel de confianza de las pruebas sustantivas</w:t>
            </w:r>
          </w:p>
        </w:tc>
        <w:tc>
          <w:tcPr>
            <w:tcW w:w="1701" w:type="dxa"/>
          </w:tcPr>
          <w:p w14:paraId="158C1392" w14:textId="77777777" w:rsidR="00C4384E" w:rsidRDefault="00AF042D">
            <w:pPr>
              <w:pStyle w:val="Text1"/>
              <w:spacing w:before="2" w:after="2"/>
              <w:ind w:left="0"/>
              <w:jc w:val="center"/>
              <w:rPr>
                <w:b/>
                <w:sz w:val="22"/>
                <w:szCs w:val="22"/>
              </w:rPr>
            </w:pPr>
            <w:r>
              <w:rPr>
                <w:b/>
                <w:sz w:val="22"/>
                <w:szCs w:val="22"/>
              </w:rPr>
              <w:t>Al menos el 60 %</w:t>
            </w:r>
          </w:p>
        </w:tc>
        <w:tc>
          <w:tcPr>
            <w:tcW w:w="993" w:type="dxa"/>
            <w:shd w:val="clear" w:color="auto" w:fill="auto"/>
          </w:tcPr>
          <w:p w14:paraId="39D78628" w14:textId="77777777" w:rsidR="00C4384E" w:rsidRDefault="00AF042D">
            <w:pPr>
              <w:pStyle w:val="Text1"/>
              <w:spacing w:before="2" w:after="2"/>
              <w:ind w:left="0"/>
              <w:jc w:val="center"/>
              <w:rPr>
                <w:b/>
                <w:sz w:val="22"/>
                <w:szCs w:val="22"/>
              </w:rPr>
            </w:pPr>
            <w:r>
              <w:rPr>
                <w:b/>
                <w:sz w:val="22"/>
                <w:szCs w:val="22"/>
              </w:rPr>
              <w:t>70 %</w:t>
            </w:r>
          </w:p>
          <w:p w14:paraId="1C427643" w14:textId="77777777" w:rsidR="00C4384E" w:rsidRDefault="00AF042D">
            <w:pPr>
              <w:pStyle w:val="Text1"/>
              <w:spacing w:before="2" w:after="2"/>
              <w:ind w:left="0"/>
              <w:jc w:val="center"/>
              <w:rPr>
                <w:b/>
                <w:sz w:val="22"/>
                <w:szCs w:val="22"/>
              </w:rPr>
            </w:pPr>
            <w:r>
              <w:rPr>
                <w:b/>
                <w:sz w:val="22"/>
                <w:szCs w:val="22"/>
              </w:rPr>
              <w:t>(Media)</w:t>
            </w:r>
          </w:p>
        </w:tc>
        <w:tc>
          <w:tcPr>
            <w:tcW w:w="1275" w:type="dxa"/>
            <w:shd w:val="clear" w:color="auto" w:fill="auto"/>
          </w:tcPr>
          <w:p w14:paraId="3CBFB7FD" w14:textId="77777777" w:rsidR="00C4384E" w:rsidRDefault="00AF042D">
            <w:pPr>
              <w:pStyle w:val="Text1"/>
              <w:spacing w:before="2" w:after="2"/>
              <w:ind w:left="0"/>
              <w:jc w:val="center"/>
              <w:rPr>
                <w:b/>
                <w:sz w:val="22"/>
                <w:szCs w:val="22"/>
              </w:rPr>
            </w:pPr>
            <w:r>
              <w:rPr>
                <w:b/>
                <w:sz w:val="22"/>
                <w:szCs w:val="22"/>
              </w:rPr>
              <w:t>80 %</w:t>
            </w:r>
          </w:p>
          <w:p w14:paraId="220241F9" w14:textId="03DD66A5" w:rsidR="00C4384E" w:rsidRDefault="00AF042D">
            <w:pPr>
              <w:pStyle w:val="Text1"/>
              <w:spacing w:before="2" w:after="2"/>
              <w:ind w:left="0"/>
              <w:jc w:val="center"/>
              <w:rPr>
                <w:b/>
                <w:sz w:val="22"/>
                <w:szCs w:val="22"/>
              </w:rPr>
            </w:pPr>
            <w:r>
              <w:rPr>
                <w:b/>
                <w:sz w:val="22"/>
                <w:szCs w:val="22"/>
              </w:rPr>
              <w:t>(Media alta)</w:t>
            </w:r>
          </w:p>
        </w:tc>
        <w:tc>
          <w:tcPr>
            <w:tcW w:w="1134" w:type="dxa"/>
            <w:shd w:val="clear" w:color="auto" w:fill="auto"/>
          </w:tcPr>
          <w:p w14:paraId="4BA9B7DC" w14:textId="77777777" w:rsidR="00C4384E" w:rsidRDefault="00AF042D">
            <w:pPr>
              <w:pStyle w:val="Text1"/>
              <w:spacing w:before="2" w:after="2"/>
              <w:ind w:left="0"/>
              <w:jc w:val="center"/>
              <w:rPr>
                <w:b/>
                <w:sz w:val="22"/>
                <w:szCs w:val="22"/>
              </w:rPr>
            </w:pPr>
            <w:r>
              <w:rPr>
                <w:b/>
                <w:sz w:val="22"/>
                <w:szCs w:val="22"/>
              </w:rPr>
              <w:t>Superior o igual al 90 %</w:t>
            </w:r>
          </w:p>
        </w:tc>
      </w:tr>
      <w:tr w:rsidR="00C4384E" w14:paraId="5EC0D47B" w14:textId="77777777" w:rsidTr="00592F9F">
        <w:trPr>
          <w:jc w:val="center"/>
        </w:trPr>
        <w:tc>
          <w:tcPr>
            <w:tcW w:w="1885" w:type="dxa"/>
            <w:shd w:val="clear" w:color="auto" w:fill="auto"/>
          </w:tcPr>
          <w:p w14:paraId="074FEE13" w14:textId="77777777" w:rsidR="00C4384E" w:rsidRDefault="00AF042D">
            <w:pPr>
              <w:pStyle w:val="Text1"/>
              <w:spacing w:before="2" w:after="2"/>
              <w:ind w:left="0"/>
              <w:jc w:val="center"/>
              <w:rPr>
                <w:b/>
                <w:sz w:val="20"/>
              </w:rPr>
            </w:pPr>
            <w:r>
              <w:rPr>
                <w:b/>
                <w:sz w:val="20"/>
              </w:rPr>
              <w:t>Tamaño mínimo de la muestra</w:t>
            </w:r>
          </w:p>
        </w:tc>
        <w:tc>
          <w:tcPr>
            <w:tcW w:w="1701" w:type="dxa"/>
          </w:tcPr>
          <w:p w14:paraId="206CF651" w14:textId="77777777" w:rsidR="00C4384E" w:rsidRDefault="00AF042D">
            <w:pPr>
              <w:pStyle w:val="Text1"/>
              <w:spacing w:before="2" w:after="2"/>
              <w:ind w:left="0"/>
              <w:jc w:val="center"/>
              <w:rPr>
                <w:b/>
                <w:sz w:val="22"/>
                <w:szCs w:val="22"/>
              </w:rPr>
            </w:pPr>
            <w:r>
              <w:rPr>
                <w:b/>
                <w:sz w:val="22"/>
                <w:szCs w:val="22"/>
              </w:rPr>
              <w:t>46</w:t>
            </w:r>
          </w:p>
        </w:tc>
        <w:tc>
          <w:tcPr>
            <w:tcW w:w="993" w:type="dxa"/>
            <w:shd w:val="clear" w:color="auto" w:fill="auto"/>
          </w:tcPr>
          <w:p w14:paraId="0F3249BC" w14:textId="77777777" w:rsidR="00C4384E" w:rsidRDefault="00AF042D">
            <w:pPr>
              <w:pStyle w:val="Text1"/>
              <w:spacing w:before="2" w:after="2"/>
              <w:ind w:left="0"/>
              <w:jc w:val="center"/>
              <w:rPr>
                <w:b/>
                <w:sz w:val="22"/>
                <w:szCs w:val="22"/>
              </w:rPr>
            </w:pPr>
            <w:r>
              <w:rPr>
                <w:b/>
                <w:sz w:val="22"/>
                <w:szCs w:val="22"/>
              </w:rPr>
              <w:t>60-78</w:t>
            </w:r>
          </w:p>
        </w:tc>
        <w:tc>
          <w:tcPr>
            <w:tcW w:w="1275" w:type="dxa"/>
            <w:shd w:val="clear" w:color="auto" w:fill="auto"/>
          </w:tcPr>
          <w:p w14:paraId="17436FA4" w14:textId="77777777" w:rsidR="00C4384E" w:rsidRDefault="00BF677C">
            <w:pPr>
              <w:pStyle w:val="Text1"/>
              <w:spacing w:before="2" w:after="2"/>
              <w:ind w:left="0"/>
              <w:jc w:val="center"/>
              <w:rPr>
                <w:b/>
                <w:sz w:val="22"/>
                <w:szCs w:val="22"/>
              </w:rPr>
            </w:pPr>
            <w:r>
              <w:rPr>
                <w:b/>
                <w:sz w:val="22"/>
                <w:szCs w:val="22"/>
              </w:rPr>
              <w:t>80-110</w:t>
            </w:r>
          </w:p>
        </w:tc>
        <w:tc>
          <w:tcPr>
            <w:tcW w:w="1134" w:type="dxa"/>
            <w:shd w:val="clear" w:color="auto" w:fill="auto"/>
          </w:tcPr>
          <w:p w14:paraId="111E9EDA" w14:textId="77777777" w:rsidR="00C4384E" w:rsidRDefault="00BF677C">
            <w:pPr>
              <w:pStyle w:val="Text1"/>
              <w:spacing w:before="2" w:after="2"/>
              <w:ind w:left="0"/>
              <w:jc w:val="center"/>
              <w:rPr>
                <w:b/>
                <w:sz w:val="22"/>
                <w:szCs w:val="22"/>
              </w:rPr>
            </w:pPr>
            <w:r>
              <w:rPr>
                <w:b/>
                <w:sz w:val="22"/>
                <w:szCs w:val="22"/>
              </w:rPr>
              <w:t>115</w:t>
            </w:r>
          </w:p>
        </w:tc>
      </w:tr>
    </w:tbl>
    <w:p w14:paraId="26A450DF" w14:textId="77777777" w:rsidR="00C4384E" w:rsidRDefault="00C4384E"/>
    <w:p w14:paraId="08BF3ADB" w14:textId="7CC2CCBE" w:rsidR="00C4384E" w:rsidRDefault="00AF232E">
      <w:r>
        <w:t xml:space="preserve">En lo que atañe al objetivo de auditoría n.º 1, se considera que el personal del OP es experimentado y que el OP dispone de sistemas y procedimientos que funcionan, razón por la cual en los ejemplos anteriores se utiliza un riesgo inherente bajo. Sin embargo, el OC debe valorar esta circunstancia cuidadosamente en la fase de planificación de la auditoría. </w:t>
      </w:r>
    </w:p>
    <w:p w14:paraId="2B418DBF" w14:textId="77777777" w:rsidR="00C4384E" w:rsidRDefault="00A37890">
      <w:pPr>
        <w:pStyle w:val="Text1"/>
        <w:spacing w:after="120"/>
        <w:ind w:left="0"/>
      </w:pPr>
      <w:r>
        <w:t>Una vez que se haya determinado el tamaño de la muestra se podrá calcular el intervalo de muestreo, dividiendo el tamaño de la población por el tamaño de la muestra.</w:t>
      </w:r>
    </w:p>
    <w:p w14:paraId="0CE795FB" w14:textId="404FB247" w:rsidR="00C4384E" w:rsidRDefault="00A37890">
      <w:pPr>
        <w:pStyle w:val="Text1"/>
        <w:spacing w:after="120"/>
        <w:ind w:left="0"/>
      </w:pPr>
      <w:r>
        <w:t>Considerando que las pruebas sustantivas son susceptibles de ser llevadas a cabo en varias fases, se recomienda definir el tamaño de la muestra para dichas pruebas del siguiente modo:</w:t>
      </w:r>
    </w:p>
    <w:p w14:paraId="2B717D80" w14:textId="77777777" w:rsidR="00C4384E" w:rsidRDefault="00A37890">
      <w:pPr>
        <w:pStyle w:val="Text1"/>
        <w:numPr>
          <w:ilvl w:val="0"/>
          <w:numId w:val="62"/>
        </w:numPr>
        <w:spacing w:after="120"/>
      </w:pPr>
      <w:r>
        <w:t xml:space="preserve">Si no se aplica la estratificación, determinar el tamaño de la muestra global que se ha de comprobar con respecto al Fondo (FEAGA/Feader), sobre la base de la </w:t>
      </w:r>
      <w:r>
        <w:lastRenderedPageBreak/>
        <w:t>valoración</w:t>
      </w:r>
      <w:r>
        <w:rPr>
          <w:rStyle w:val="FootnoteReference"/>
        </w:rPr>
        <w:footnoteReference w:id="17"/>
      </w:r>
      <w:r>
        <w:t xml:space="preserve"> del sistema de control interno del año en curso y teniendo en cuenta el gasto anual estimado (basado en previsiones), siguiendo lo expuesto en la sección 4.2.</w:t>
      </w:r>
    </w:p>
    <w:p w14:paraId="3BE85DA2" w14:textId="135A9677" w:rsidR="00C4384E" w:rsidRDefault="00A37890">
      <w:pPr>
        <w:pStyle w:val="Text1"/>
        <w:numPr>
          <w:ilvl w:val="0"/>
          <w:numId w:val="62"/>
        </w:numPr>
        <w:spacing w:after="120"/>
      </w:pPr>
      <w:r>
        <w:t>En caso de estratificación:</w:t>
      </w:r>
    </w:p>
    <w:p w14:paraId="5C5CEA4A" w14:textId="4FCDF553" w:rsidR="00C4384E" w:rsidRDefault="002952F4">
      <w:pPr>
        <w:pStyle w:val="Text1"/>
        <w:numPr>
          <w:ilvl w:val="1"/>
          <w:numId w:val="62"/>
        </w:numPr>
        <w:spacing w:after="120"/>
      </w:pPr>
      <w:r>
        <w:t>determinar los estratos,</w:t>
      </w:r>
    </w:p>
    <w:p w14:paraId="7394FBEF" w14:textId="679631EB" w:rsidR="00C4384E" w:rsidRDefault="002952F4">
      <w:pPr>
        <w:pStyle w:val="Text1"/>
        <w:numPr>
          <w:ilvl w:val="1"/>
          <w:numId w:val="62"/>
        </w:numPr>
        <w:spacing w:after="120"/>
      </w:pPr>
      <w:r>
        <w:t>determinar el tamaño de la muestra por estrato, de conformidad con la sección 4.2, en función del método de muestreo seleccionado.</w:t>
      </w:r>
    </w:p>
    <w:p w14:paraId="359204F9" w14:textId="4B01324A" w:rsidR="00C4384E" w:rsidRDefault="002952F4">
      <w:pPr>
        <w:pStyle w:val="Text1"/>
        <w:numPr>
          <w:ilvl w:val="0"/>
          <w:numId w:val="62"/>
        </w:numPr>
        <w:spacing w:after="120"/>
      </w:pPr>
      <w:r>
        <w:t>En ambos casos puede ser necesario realizar un ajuste final en función del gasto final: el tamaño final de la muestra debe ajustarse en función del gasto anual real declarado a los Fondos. En caso de que el gasto real parezca significativamente mayor que el previsto, el OC puede considerar necesario aumentar el tamaño de la muestra inicialmente determinado.</w:t>
      </w:r>
    </w:p>
    <w:p w14:paraId="3DD595C1" w14:textId="07F31D7F" w:rsidR="00C4384E" w:rsidRDefault="00B5073B">
      <w:r>
        <w:t xml:space="preserve">el tamaño de la muestra en el caso de las </w:t>
      </w:r>
      <w:r>
        <w:rPr>
          <w:b/>
          <w:bCs/>
        </w:rPr>
        <w:t>transacciones no operativas</w:t>
      </w:r>
      <w:r>
        <w:t xml:space="preserve"> puede variar entre 4 y 50 en función de la garantía valorada del sistema (véase el anexo 2, sección 4.2).</w:t>
      </w:r>
    </w:p>
    <w:p w14:paraId="45DEEA06" w14:textId="77777777" w:rsidR="00C4384E" w:rsidRDefault="00C4384E">
      <w:pPr>
        <w:pStyle w:val="ZDGName"/>
      </w:pPr>
    </w:p>
    <w:p w14:paraId="13C4CB03" w14:textId="77777777" w:rsidR="00C4384E" w:rsidRDefault="00521B4A">
      <w:pPr>
        <w:rPr>
          <w:b/>
        </w:rPr>
      </w:pPr>
      <w:r>
        <w:rPr>
          <w:b/>
        </w:rPr>
        <w:t>Evaluación de los resultados de la muestra</w:t>
      </w:r>
    </w:p>
    <w:p w14:paraId="7FACFBF7" w14:textId="77777777" w:rsidR="00C4384E" w:rsidRDefault="00090776">
      <w:pPr>
        <w:rPr>
          <w:b/>
        </w:rPr>
      </w:pPr>
      <w:r>
        <w:rPr>
          <w:b/>
        </w:rPr>
        <w:t>Error total extrapolado - Límite superior de error/Error total – Trabajo adicional</w:t>
      </w:r>
    </w:p>
    <w:p w14:paraId="2A4B36AE" w14:textId="77777777" w:rsidR="00C4384E" w:rsidRDefault="00A30DD5">
      <w:pPr>
        <w:autoSpaceDE w:val="0"/>
        <w:autoSpaceDN w:val="0"/>
        <w:adjustRightInd w:val="0"/>
        <w:spacing w:after="0"/>
        <w:jc w:val="left"/>
      </w:pPr>
      <w:r>
        <w:t>De conformidad con la NIA 530, el OC debe evaluar:</w:t>
      </w:r>
    </w:p>
    <w:p w14:paraId="227D861B" w14:textId="1063BA1B" w:rsidR="00C4384E" w:rsidRDefault="00A30DD5">
      <w:pPr>
        <w:pStyle w:val="ListNumberLevel2"/>
        <w:numPr>
          <w:ilvl w:val="1"/>
          <w:numId w:val="106"/>
        </w:numPr>
        <w:spacing w:after="0"/>
      </w:pPr>
      <w:r>
        <w:t xml:space="preserve">los resultados de la muestra: para la evaluación de los resultados de las pruebas sustantivas en el caso de las </w:t>
      </w:r>
      <w:r>
        <w:rPr>
          <w:b/>
          <w:bCs/>
        </w:rPr>
        <w:t>transacciones operativas</w:t>
      </w:r>
      <w:r>
        <w:t xml:space="preserve"> realizadas según el método de muestreo estadístico, el OC tendrá que establecer el error total extrapolado y el límite superior de error, y </w:t>
      </w:r>
    </w:p>
    <w:p w14:paraId="448E8BEE" w14:textId="317F4B2F" w:rsidR="00C4384E" w:rsidRDefault="00A30DD5">
      <w:pPr>
        <w:pStyle w:val="ListNumberLevel2"/>
        <w:numPr>
          <w:ilvl w:val="1"/>
          <w:numId w:val="106"/>
        </w:numPr>
        <w:spacing w:after="0"/>
      </w:pPr>
      <w:r>
        <w:t>si la utilización del muestreo de auditoría ha proporcionado una base razonable para</w:t>
      </w:r>
    </w:p>
    <w:p w14:paraId="2B9B064C" w14:textId="77777777" w:rsidR="00C4384E" w:rsidRDefault="00A30DD5">
      <w:r>
        <w:t xml:space="preserve">las conclusiones sobre la población que ha sido comprobada. </w:t>
      </w:r>
    </w:p>
    <w:p w14:paraId="754D6D78" w14:textId="5EEE999E" w:rsidR="00C4384E" w:rsidRDefault="00540900">
      <w:r>
        <w:t>El error total extrapolado (ETE) se obtiene mediante extrapolación, extendiendo los errores aleatorios identificados en la muestra al conjunto de la población/estrato. Corresponde al error más probable (EMP) en la terminología del MUM. En el caso del objetivo de auditoría n.º 1, corresponde a la tasa de error (TE).</w:t>
      </w:r>
    </w:p>
    <w:p w14:paraId="366D88F5" w14:textId="77777777" w:rsidR="00C4384E" w:rsidRDefault="00DD496E">
      <w:r>
        <w:t>El límite superior de error (LSE) es la suma del error extrapolado y de la precisión (riesgo de muestreo).</w:t>
      </w:r>
    </w:p>
    <w:p w14:paraId="232BFC4B" w14:textId="77777777" w:rsidR="00C4384E" w:rsidRDefault="00090776">
      <w:r>
        <w:t>El OC debe valorar la correlación del ETE y del LSE con la materialidad (IT). Pueden darse los siguientes supuestos:</w:t>
      </w:r>
    </w:p>
    <w:p w14:paraId="697A8230" w14:textId="51A45514" w:rsidR="00C4384E" w:rsidRDefault="00090776">
      <w:pPr>
        <w:pStyle w:val="Text1"/>
        <w:numPr>
          <w:ilvl w:val="0"/>
          <w:numId w:val="62"/>
        </w:numPr>
        <w:spacing w:after="120"/>
      </w:pPr>
      <w:r>
        <w:lastRenderedPageBreak/>
        <w:t>el ETE o el EMP superan la materialidad. Se puede concluir que existe una incorrección material en las cuentas. Tras la confirmación del cálculo, el OP puede decidir sobre una autocorrección de las cuentas antes de la presentación.</w:t>
      </w:r>
    </w:p>
    <w:p w14:paraId="1BE16D71" w14:textId="2860C42F" w:rsidR="00C4384E" w:rsidRDefault="00AD4B2B">
      <w:pPr>
        <w:pStyle w:val="Text1"/>
        <w:numPr>
          <w:ilvl w:val="0"/>
          <w:numId w:val="62"/>
        </w:numPr>
        <w:spacing w:after="120"/>
      </w:pPr>
      <w:r>
        <w:t>Tanto el ETE/EMP como el LSE están por debajo de la materialidad. Se puede afirmar que en el riesgo de muestreo especificado no hay ningún error material en las cuentas.</w:t>
      </w:r>
    </w:p>
    <w:p w14:paraId="32304126" w14:textId="23530E0D" w:rsidR="00C4384E" w:rsidRDefault="00AD4B2B">
      <w:pPr>
        <w:pStyle w:val="Text1"/>
        <w:numPr>
          <w:ilvl w:val="0"/>
          <w:numId w:val="62"/>
        </w:numPr>
        <w:spacing w:after="120"/>
      </w:pPr>
      <w:r>
        <w:t xml:space="preserve">El ETE o el EMP son inferiores a la materialidad y el LSE supera la materialidad. Los resultados del muestreo no confirman el supuesto inicial de la auditoría del OC. </w:t>
      </w:r>
    </w:p>
    <w:p w14:paraId="00401205" w14:textId="14E81AC6" w:rsidR="00C4384E" w:rsidRDefault="007931B2">
      <w:pPr>
        <w:autoSpaceDE w:val="0"/>
        <w:autoSpaceDN w:val="0"/>
        <w:adjustRightInd w:val="0"/>
        <w:spacing w:after="0"/>
        <w:jc w:val="left"/>
      </w:pPr>
      <w:r>
        <w:t>Si el OC concluye que el muestreo de auditoría no ha proporcionado una base razonable para alcanzar conclusiones sobre la población que ha sido comprobada:</w:t>
      </w:r>
    </w:p>
    <w:p w14:paraId="34FFFAAC" w14:textId="55FFC0B3" w:rsidR="00C4384E" w:rsidRDefault="007931B2">
      <w:pPr>
        <w:pStyle w:val="ListNumberLevel2"/>
        <w:numPr>
          <w:ilvl w:val="1"/>
          <w:numId w:val="106"/>
        </w:numPr>
        <w:spacing w:after="0"/>
      </w:pPr>
      <w:r>
        <w:t>puede solicitar a la dirección que investigue las incorrecciones identificadas y la posibilidad de que existan incorrecciones adicionales, y que realice cualquier ajuste que resulte necesario o</w:t>
      </w:r>
    </w:p>
    <w:p w14:paraId="5B405C72" w14:textId="750EB6E6" w:rsidR="00C4384E" w:rsidRDefault="007931B2">
      <w:pPr>
        <w:pStyle w:val="ListNumberLevel2"/>
        <w:numPr>
          <w:ilvl w:val="1"/>
          <w:numId w:val="106"/>
        </w:numPr>
        <w:spacing w:after="0"/>
      </w:pPr>
      <w:r>
        <w:t>adaptar la naturaleza, calendario y alcance de los procedimientos de auditoría adicionales</w:t>
      </w:r>
    </w:p>
    <w:p w14:paraId="4F275FF9" w14:textId="77777777" w:rsidR="00C4384E" w:rsidRDefault="007931B2">
      <w:pPr>
        <w:pStyle w:val="ListNumberLevel2"/>
        <w:numPr>
          <w:ilvl w:val="0"/>
          <w:numId w:val="0"/>
        </w:numPr>
        <w:spacing w:after="0"/>
        <w:ind w:left="1080"/>
      </w:pPr>
      <w:r>
        <w:t>para alcanzar de la mejor manera la garantía requerida.</w:t>
      </w:r>
    </w:p>
    <w:p w14:paraId="3499B623" w14:textId="77777777" w:rsidR="00C4384E" w:rsidRDefault="00C4384E" w:rsidP="004C779D">
      <w:pPr>
        <w:pStyle w:val="Text1"/>
        <w:spacing w:after="120"/>
        <w:ind w:left="283"/>
      </w:pPr>
    </w:p>
    <w:p w14:paraId="07ED3F06" w14:textId="11595936" w:rsidR="00C4384E" w:rsidRDefault="00AD4B2B">
      <w:pPr>
        <w:pStyle w:val="Text1"/>
        <w:spacing w:after="120"/>
        <w:ind w:left="0"/>
      </w:pPr>
      <w:r>
        <w:t xml:space="preserve">A </w:t>
      </w:r>
      <w:r w:rsidR="00805BA2">
        <w:t>continuación,</w:t>
      </w:r>
      <w:r>
        <w:t xml:space="preserve"> se puede proceder de cuatro formas distintas:</w:t>
      </w:r>
    </w:p>
    <w:p w14:paraId="339788A5" w14:textId="043D1C17" w:rsidR="00C4384E" w:rsidRDefault="00AD4B2B">
      <w:pPr>
        <w:pStyle w:val="Text1"/>
        <w:numPr>
          <w:ilvl w:val="1"/>
          <w:numId w:val="62"/>
        </w:numPr>
        <w:spacing w:after="120"/>
      </w:pPr>
      <w:r>
        <w:t>Comprobar si con un nivel de confianza diferente los resultados del muestreo corroborarían el supuesto inicial de la auditoría y, por lo tanto, el OC podría obtener aún resultados concluyentes sobre la base del trabajo efectuado.</w:t>
      </w:r>
    </w:p>
    <w:p w14:paraId="5761F603" w14:textId="376B6204" w:rsidR="00C4384E" w:rsidRDefault="00AD4B2B">
      <w:pPr>
        <w:pStyle w:val="Text1"/>
        <w:numPr>
          <w:ilvl w:val="1"/>
          <w:numId w:val="62"/>
        </w:numPr>
        <w:spacing w:after="120"/>
      </w:pPr>
      <w:r>
        <w:t>Verificar si algunos de los errores aleatorios no pueden ser considerados errores del sistema, y por lo tanto sobre la base de algún trabajo adicional podría establecerse un error conocido.</w:t>
      </w:r>
    </w:p>
    <w:p w14:paraId="6427A349" w14:textId="255027EB" w:rsidR="00C4384E" w:rsidRDefault="00BF2047">
      <w:pPr>
        <w:pStyle w:val="Text1"/>
        <w:numPr>
          <w:ilvl w:val="1"/>
          <w:numId w:val="62"/>
        </w:numPr>
        <w:spacing w:after="120"/>
      </w:pPr>
      <w:r>
        <w:t>Ver si con pruebas suplementarias (aumentando el nivel de confianza o el error anticipado) y reduciendo el riesgo de muestreo puede alcanzarse un resultado concluyente.</w:t>
      </w:r>
    </w:p>
    <w:p w14:paraId="5FB00B53" w14:textId="40A8470D" w:rsidR="00C4384E" w:rsidRDefault="00BF2047">
      <w:pPr>
        <w:pStyle w:val="Text1"/>
        <w:numPr>
          <w:ilvl w:val="1"/>
          <w:numId w:val="62"/>
        </w:numPr>
        <w:spacing w:after="120"/>
      </w:pPr>
      <w:r>
        <w:t>Aplicar procedimientos de auditoría alternativos para obtener una garantía suplementaria.</w:t>
      </w:r>
    </w:p>
    <w:p w14:paraId="7FAF46E4" w14:textId="2B86666F" w:rsidR="00C4384E" w:rsidRDefault="007F54D7">
      <w:r>
        <w:t>En lo que atañe al muestreo adicional y al nuevo cálculo del nivel de confianza, véase el anexo 2.</w:t>
      </w:r>
    </w:p>
    <w:p w14:paraId="023F8D92" w14:textId="735D8ED3" w:rsidR="00C4384E" w:rsidRDefault="007F54D7">
      <w:r>
        <w:t>El error total es la suma del LSE y de los errores conocidos. Al elaborar la conclusión definitiva para la opinión de auditoría, el nivel del error total es determinante. No obstante, si se ha establecido correctamente el error conocido y el OP ya ha adoptado medidas antes del plazo de notificación (por ejemplo, lanza el procedimiento de recuperación, recupera el importe, lo deduce de las cuentas, rectifica su procedimiento y el sistema, etc.) estas medidas correctoras pueden ser tenidas en cuenta en la opinión del OC.</w:t>
      </w:r>
    </w:p>
    <w:p w14:paraId="5B26CD83" w14:textId="5A9A9D2F" w:rsidR="00C4384E" w:rsidRDefault="007F54D7">
      <w:pPr>
        <w:pStyle w:val="Text1"/>
        <w:spacing w:after="120"/>
        <w:ind w:left="0"/>
      </w:pPr>
      <w:r>
        <w:t xml:space="preserve">En el caso de las </w:t>
      </w:r>
      <w:r>
        <w:rPr>
          <w:b/>
          <w:bCs/>
        </w:rPr>
        <w:t>transacciones no operativas</w:t>
      </w:r>
      <w:r>
        <w:t>, habida cuenta de que se utiliza el método de muestreo no estadístico, solo puede calcularse un error extrapolado. En este caso, el error extrapolado se determina mediante la suma de las diferencias identificadas entre los valores consignados y auditados y la división del error total por el valor total de los elementos controlados. Este error extrapolado debe compararse con la materialidad para la conclusión del OC en lo que atañe al alcance del error en la población.</w:t>
      </w:r>
    </w:p>
    <w:p w14:paraId="7AA712A0" w14:textId="77777777" w:rsidR="00C4384E" w:rsidRDefault="00C4384E">
      <w:pPr>
        <w:spacing w:after="120"/>
      </w:pPr>
    </w:p>
    <w:p w14:paraId="76827484" w14:textId="77777777" w:rsidR="00C4384E" w:rsidRDefault="007F6CBD">
      <w:pPr>
        <w:pStyle w:val="Heading1"/>
        <w:numPr>
          <w:ilvl w:val="0"/>
          <w:numId w:val="74"/>
        </w:numPr>
      </w:pPr>
      <w:bookmarkStart w:id="33" w:name="_Toc16667615"/>
      <w:r>
        <w:lastRenderedPageBreak/>
        <w:t>Conciliaciones – procedimientos analíticos</w:t>
      </w:r>
      <w:bookmarkEnd w:id="33"/>
    </w:p>
    <w:p w14:paraId="05BCD77B" w14:textId="77777777" w:rsidR="00C4384E" w:rsidRDefault="00905A70">
      <w:pPr>
        <w:pStyle w:val="Heading2"/>
      </w:pPr>
      <w:bookmarkStart w:id="34" w:name="_Toc16667616"/>
      <w:r>
        <w:t>7.1 Procedimientos analíticos generales</w:t>
      </w:r>
      <w:bookmarkEnd w:id="34"/>
    </w:p>
    <w:p w14:paraId="38A32FF9" w14:textId="31D1748F" w:rsidR="00C4384E" w:rsidRDefault="00294518">
      <w:pPr>
        <w:spacing w:after="120"/>
      </w:pPr>
      <w:r>
        <w:t>Para que el OC pueda llegar a una conclusión sobre la integridad, exactitud y veracidad de las cuentas anuales (objetivo de auditoría n.º 1), deberá conciliar:</w:t>
      </w:r>
    </w:p>
    <w:p w14:paraId="67743653" w14:textId="77777777" w:rsidR="00C4384E" w:rsidRDefault="00294518">
      <w:pPr>
        <w:pStyle w:val="Text1"/>
        <w:numPr>
          <w:ilvl w:val="0"/>
          <w:numId w:val="62"/>
        </w:numPr>
        <w:spacing w:after="120"/>
      </w:pPr>
      <w:r>
        <w:t>las cuentas anuales (tanto del FEAGA como del Feader) con las declaraciones provisionales (cuadros de gasto mensuales y trimestrales);</w:t>
      </w:r>
    </w:p>
    <w:p w14:paraId="70550A4E" w14:textId="77777777" w:rsidR="00C4384E" w:rsidRDefault="00294518">
      <w:pPr>
        <w:pStyle w:val="Text1"/>
        <w:numPr>
          <w:ilvl w:val="0"/>
          <w:numId w:val="62"/>
        </w:numPr>
        <w:spacing w:after="120"/>
      </w:pPr>
      <w:r>
        <w:t>las cuentas anuales con los datos del cuadro de las X;</w:t>
      </w:r>
    </w:p>
    <w:p w14:paraId="097951B8" w14:textId="77777777" w:rsidR="00C4384E" w:rsidRDefault="00A25777">
      <w:pPr>
        <w:pStyle w:val="Text1"/>
        <w:numPr>
          <w:ilvl w:val="0"/>
          <w:numId w:val="62"/>
        </w:numPr>
        <w:spacing w:after="120"/>
      </w:pPr>
      <w:r>
        <w:t>las declaraciones anuales de pagos indebidos y otros importes que deban reintegrarse a los Fondos (tanto al FEAGA como al Feader) con el libro mayor de deudores y las cuentas anuales;</w:t>
      </w:r>
    </w:p>
    <w:p w14:paraId="0E40AB3B" w14:textId="5957F505" w:rsidR="00C4384E" w:rsidRDefault="00294518">
      <w:pPr>
        <w:pStyle w:val="Text1"/>
        <w:numPr>
          <w:ilvl w:val="0"/>
          <w:numId w:val="62"/>
        </w:numPr>
        <w:spacing w:after="120"/>
      </w:pPr>
      <w:r>
        <w:t>cualquier otra conciliación que se estime necesaria y esté definida en la directriz n.º 3 relativa a los requisitos en materia de elaboración de informes.</w:t>
      </w:r>
    </w:p>
    <w:p w14:paraId="61F5B06D" w14:textId="5D924F90" w:rsidR="00C4384E" w:rsidRDefault="00051491">
      <w:pPr>
        <w:pStyle w:val="Text1"/>
        <w:spacing w:after="120"/>
        <w:ind w:left="0"/>
      </w:pPr>
      <w:r>
        <w:t>En lo que respecta a las pruebas de los procedimientos de control y las pruebas sustantivas, para la conciliación, las pruebas adecuadas de los sistemas informáticos desempeñan un papel crucial y deben ser consideradas por el OC.</w:t>
      </w:r>
    </w:p>
    <w:p w14:paraId="297E3611" w14:textId="77777777" w:rsidR="00C4384E" w:rsidRDefault="00B83DD2">
      <w:pPr>
        <w:pStyle w:val="Text1"/>
        <w:spacing w:after="120"/>
        <w:ind w:left="0"/>
      </w:pPr>
      <w:r>
        <w:t>Puede resultar necesario abordar algunas cuestiones específicas durante los procedimientos analíticos.</w:t>
      </w:r>
    </w:p>
    <w:p w14:paraId="69ECF64D" w14:textId="77777777" w:rsidR="00C4384E" w:rsidRDefault="00905A70">
      <w:pPr>
        <w:pStyle w:val="Heading2"/>
      </w:pPr>
      <w:bookmarkStart w:id="35" w:name="_Toc16667617"/>
      <w:r>
        <w:t>7.2 Retrasos en los pagos</w:t>
      </w:r>
      <w:bookmarkEnd w:id="35"/>
    </w:p>
    <w:p w14:paraId="42B1D6CB" w14:textId="3A9321D4" w:rsidR="00C4384E" w:rsidRDefault="00B83DD2">
      <w:pPr>
        <w:pStyle w:val="Text1"/>
        <w:spacing w:after="120"/>
        <w:ind w:left="0"/>
      </w:pPr>
      <w:r>
        <w:t xml:space="preserve">Cuando así lo exijan los Reglamentos vigentes, el OC deberá verificar si el OP ha tramitado las reclamaciones de pago en los plazos estipulados a tal efecto, en particular si el tiempo transcurrido entre la recepción de los justificantes necesarios para efectuar el pago y la emisión de la orden de pago no supera los plazos legalmente establecidos. </w:t>
      </w:r>
    </w:p>
    <w:p w14:paraId="3B89F606" w14:textId="0102FF39" w:rsidR="00C4384E" w:rsidRDefault="00905A70">
      <w:pPr>
        <w:pStyle w:val="Heading2"/>
      </w:pPr>
      <w:bookmarkStart w:id="36" w:name="_Toc16667618"/>
      <w:r>
        <w:t>7.3 Cumplimiento de los límites financieros</w:t>
      </w:r>
      <w:bookmarkEnd w:id="36"/>
      <w:r>
        <w:t xml:space="preserve"> </w:t>
      </w:r>
    </w:p>
    <w:p w14:paraId="36B01A93" w14:textId="77777777" w:rsidR="00C4384E" w:rsidRDefault="00B83DD2">
      <w:pPr>
        <w:pStyle w:val="Text1"/>
        <w:spacing w:after="120"/>
        <w:ind w:left="0"/>
      </w:pPr>
      <w:r>
        <w:t xml:space="preserve">Cuando las medidas estén sujetas a límites cuantitativos, sea en términos de importes totales abonados, de superficies productivas o subvencionables, se espera que el OC compruebe la existencia de procedimientos para garantizar que los pagos totales (realizados por todos los OP) respeten dichos límites cuantitativos. Esto incluye un examen de la base de la aplicación de los umbrales, tal como se establece en los reglamentos específicos de cada medida y régimen. </w:t>
      </w:r>
    </w:p>
    <w:p w14:paraId="1CF83D71" w14:textId="64168442" w:rsidR="00C4384E" w:rsidRDefault="00905A70">
      <w:pPr>
        <w:pStyle w:val="Heading2"/>
      </w:pPr>
      <w:bookmarkStart w:id="37" w:name="_Toc16667619"/>
      <w:r>
        <w:t>7.4 Cumplimiento de los porcentajes de intensidad de las ayudas</w:t>
      </w:r>
      <w:bookmarkEnd w:id="37"/>
    </w:p>
    <w:p w14:paraId="7A59C8D3" w14:textId="73AF4DD3" w:rsidR="00C4384E" w:rsidRDefault="00B65DC8">
      <w:pPr>
        <w:pStyle w:val="Text1"/>
        <w:spacing w:after="120"/>
        <w:ind w:left="0"/>
      </w:pPr>
      <w:r>
        <w:t>El OC debe verificar que se han cumplido las intensidades de las ayudas y que se han aplicado correctamente los porcentajes nacionales y de la UE para la asignación de los fondos del FEAGA y del Feader.</w:t>
      </w:r>
    </w:p>
    <w:p w14:paraId="617A505E" w14:textId="77777777" w:rsidR="00C4384E" w:rsidRDefault="00905A70">
      <w:pPr>
        <w:pStyle w:val="Heading2"/>
      </w:pPr>
      <w:bookmarkStart w:id="38" w:name="_Toc16667620"/>
      <w:r>
        <w:t>7.5 Gasto adicional declarado únicamente en la declaración anual</w:t>
      </w:r>
      <w:bookmarkEnd w:id="38"/>
    </w:p>
    <w:p w14:paraId="2C6A20F5" w14:textId="77777777" w:rsidR="00C4384E" w:rsidRDefault="00DE6EE9">
      <w:r>
        <w:t xml:space="preserve">El OC debe verificar la exactitud y veracidad del gasto adicional declarado únicamente en la declaración anual. A tal fin, deben examinarse los documentos justificativos para confirmar el carácter razonable de dicho gasto. </w:t>
      </w:r>
    </w:p>
    <w:p w14:paraId="7E7F25AD" w14:textId="77777777" w:rsidR="00C4384E" w:rsidRDefault="00C4384E">
      <w:pPr>
        <w:pStyle w:val="Text1"/>
        <w:spacing w:after="120"/>
        <w:ind w:left="0"/>
      </w:pPr>
    </w:p>
    <w:p w14:paraId="6ED55368" w14:textId="77777777" w:rsidR="00C4384E" w:rsidRDefault="00AE2C47">
      <w:pPr>
        <w:pStyle w:val="Heading1"/>
        <w:numPr>
          <w:ilvl w:val="0"/>
          <w:numId w:val="74"/>
        </w:numPr>
      </w:pPr>
      <w:bookmarkStart w:id="39" w:name="_Toc16667621"/>
      <w:r>
        <w:lastRenderedPageBreak/>
        <w:t>Categorización y consolidación de errores</w:t>
      </w:r>
      <w:bookmarkEnd w:id="39"/>
      <w:r>
        <w:t xml:space="preserve"> </w:t>
      </w:r>
    </w:p>
    <w:p w14:paraId="08EDBCD6" w14:textId="77777777" w:rsidR="00C4384E" w:rsidRDefault="00905A70">
      <w:pPr>
        <w:pStyle w:val="Heading2"/>
      </w:pPr>
      <w:bookmarkStart w:id="40" w:name="_Toc16667622"/>
      <w:r>
        <w:t>8.1 Categorización de errores</w:t>
      </w:r>
      <w:bookmarkEnd w:id="40"/>
    </w:p>
    <w:p w14:paraId="2372218E" w14:textId="37519BA9" w:rsidR="00C4384E" w:rsidRDefault="00051491">
      <w:pPr>
        <w:pStyle w:val="Text1"/>
        <w:spacing w:after="120"/>
        <w:ind w:left="0"/>
      </w:pPr>
      <w:r>
        <w:t>Con respecto a la auditoría de la integridad, exactitud y veracidad de las cuentas (objetivo de auditoría n.º 1) debe utilizarse la siguiente categorización de los errores:</w:t>
      </w:r>
    </w:p>
    <w:p w14:paraId="6C7E06D2" w14:textId="77777777" w:rsidR="00C4384E" w:rsidRDefault="00051491">
      <w:pPr>
        <w:pStyle w:val="Text1"/>
        <w:numPr>
          <w:ilvl w:val="0"/>
          <w:numId w:val="62"/>
        </w:numPr>
        <w:spacing w:after="120"/>
      </w:pPr>
      <w:r>
        <w:t>En función del impacto financiero desencadenado por el error o la incorrección</w:t>
      </w:r>
    </w:p>
    <w:p w14:paraId="39D89602" w14:textId="77777777" w:rsidR="00C4384E" w:rsidRDefault="0043253C">
      <w:pPr>
        <w:pStyle w:val="ListDash2"/>
        <w:numPr>
          <w:ilvl w:val="1"/>
          <w:numId w:val="62"/>
        </w:numPr>
        <w:spacing w:after="120"/>
      </w:pPr>
      <w:r>
        <w:rPr>
          <w:u w:val="single"/>
        </w:rPr>
        <w:t>Errores</w:t>
      </w:r>
      <w:r>
        <w:t xml:space="preserve"> identificados con posterioridad a la fase de pago y </w:t>
      </w:r>
      <w:r>
        <w:rPr>
          <w:u w:val="single"/>
        </w:rPr>
        <w:t>que provoquen un impacto financiero</w:t>
      </w:r>
      <w:r>
        <w:t>.</w:t>
      </w:r>
    </w:p>
    <w:p w14:paraId="44FF9DF9" w14:textId="50CD8440" w:rsidR="00C4384E" w:rsidRDefault="0043253C">
      <w:pPr>
        <w:pStyle w:val="ListDash2"/>
        <w:numPr>
          <w:ilvl w:val="1"/>
          <w:numId w:val="62"/>
        </w:numPr>
        <w:spacing w:after="120"/>
      </w:pPr>
      <w:r>
        <w:t xml:space="preserve">Errores identificados con posterioridad a la fase de pago y que, por su naturaleza, constituyan </w:t>
      </w:r>
      <w:r>
        <w:rPr>
          <w:u w:val="single"/>
        </w:rPr>
        <w:t>errores formales</w:t>
      </w:r>
      <w:r>
        <w:t xml:space="preserve"> (el pago realmente es correcto en términos de cuantía, pero representa una transacción en la que uno o más controles fallaron: por ejemplo, el pago no se efectuó en el nivel correcto).</w:t>
      </w:r>
    </w:p>
    <w:p w14:paraId="1D5C2BBB" w14:textId="77777777" w:rsidR="00C4384E" w:rsidRDefault="00AE2C47">
      <w:pPr>
        <w:pStyle w:val="Text1"/>
        <w:numPr>
          <w:ilvl w:val="0"/>
          <w:numId w:val="62"/>
        </w:numPr>
        <w:spacing w:after="120"/>
      </w:pPr>
      <w:r>
        <w:t>En función de la naturaleza del error:</w:t>
      </w:r>
    </w:p>
    <w:p w14:paraId="74066957" w14:textId="4FCCE43D" w:rsidR="00C4384E" w:rsidRDefault="00076888">
      <w:pPr>
        <w:numPr>
          <w:ilvl w:val="1"/>
          <w:numId w:val="62"/>
        </w:numPr>
        <w:spacing w:beforeLines="1" w:before="2" w:afterLines="1" w:after="2"/>
        <w:rPr>
          <w:rFonts w:ascii="Times" w:hAnsi="Times"/>
          <w:sz w:val="20"/>
          <w:szCs w:val="20"/>
        </w:rPr>
      </w:pPr>
      <w:r>
        <w:t xml:space="preserve">Los </w:t>
      </w:r>
      <w:r>
        <w:rPr>
          <w:u w:val="single"/>
        </w:rPr>
        <w:t>errores sistémicos</w:t>
      </w:r>
      <w:r>
        <w:t xml:space="preserve"> son errores detectados en la muestra auditada que tienen incidencia en la población no auditada y se producen en circunstancias similares y bien definidas. Estos errores presentan un rasgo común (por ejemplo, tipo de medida o régimen, transacciones, la entidad responsable de la autorización, etc.). Están asociados con procedimientos de control ineficaces en parte de los sistemas de gestión y control. Cuando se descubra un error sistémico potencial de este tipo, puede que sea posible ampliar la comprobación del problema concreto identificado, si es necesario hasta que haya sido comprobado el 100 % de las transacciones potencialmente afectadas. Este examen debería permitir «conocer» el efecto que tiene el error sistémico en el conjunto de la población. En tal caso, el error pasa a tratarse como un «</w:t>
      </w:r>
      <w:r>
        <w:rPr>
          <w:b/>
          <w:i/>
        </w:rPr>
        <w:t>error conocido</w:t>
      </w:r>
      <w:r>
        <w:t>» y no es necesario efectuar extrapolaciones. No obstante, si no es posible verificar todas las transacciones afectadas, el error deberá tratarse como un error aleatorio.</w:t>
      </w:r>
    </w:p>
    <w:p w14:paraId="35042897" w14:textId="3FF3A486" w:rsidR="00C4384E" w:rsidRDefault="0043253C">
      <w:pPr>
        <w:pStyle w:val="ListDash2"/>
        <w:numPr>
          <w:ilvl w:val="1"/>
          <w:numId w:val="62"/>
        </w:numPr>
        <w:spacing w:after="120"/>
      </w:pPr>
      <w:r>
        <w:t xml:space="preserve">Los </w:t>
      </w:r>
      <w:r>
        <w:rPr>
          <w:u w:val="single"/>
        </w:rPr>
        <w:t>errores conocidos</w:t>
      </w:r>
      <w:r>
        <w:t xml:space="preserve"> son aquellos identificados fuera de la muestra, o resultantes de una comprobación del 100 % de un estrato/población delimitado. Los errores conocidos relativos a los pagos del ejercicio en curso se añaden al error extrapolado y, por lo tanto, se incluyen en la evaluación del error total a menos que se corrijan las cuentas. </w:t>
      </w:r>
    </w:p>
    <w:p w14:paraId="7B95F79A" w14:textId="77777777" w:rsidR="00C4384E" w:rsidRDefault="0086511C">
      <w:pPr>
        <w:pStyle w:val="ListDash2"/>
        <w:numPr>
          <w:ilvl w:val="1"/>
          <w:numId w:val="62"/>
        </w:numPr>
        <w:spacing w:after="120"/>
      </w:pPr>
      <w:r>
        <w:t>En consonancia con la NIA 450, en el caso de errores sistémicos y conocidos, el OC puede aplicar un umbral claramente insignificante de 150 EUR y 2 % del importe auditado. Por lo tanto, si el impacto financiero total de un error conocido o sistémico es de 150 EUR y un 2 % del importe auditado, no es necesario que el OC lo tenga en cuenta en su evaluación del error y seguimiento.</w:t>
      </w:r>
    </w:p>
    <w:p w14:paraId="4348CB7A" w14:textId="27498FB0" w:rsidR="00C4384E" w:rsidRDefault="0043253C">
      <w:pPr>
        <w:pStyle w:val="ListDash2"/>
        <w:numPr>
          <w:ilvl w:val="1"/>
          <w:numId w:val="62"/>
        </w:numPr>
        <w:spacing w:after="120"/>
      </w:pPr>
      <w:r>
        <w:t xml:space="preserve">Los </w:t>
      </w:r>
      <w:r>
        <w:rPr>
          <w:u w:val="single"/>
        </w:rPr>
        <w:t>errores aleatorios</w:t>
      </w:r>
      <w:r>
        <w:t xml:space="preserve"> son aquellos que podrían haberse producido en cualquiera de las transacciones no incluidas en la muestra para la comprobación. Si, por ejemplo, se detecta un error en la información introducida, se supone que ese mismo tipo de error podría afectar, en principio, a cualquiera de las transacciones no incluidas en la muestra. En consecuencia, el OC debe extrapolar todos los errores aleatorios al conjunto de la población con el fin de estimar su efecto total. En algunos casos los errores aleatorios pueden estar circunscritos a un estrato o una población conocidos. Si el OP puede demostrar que los errores solamente se dan en un subconjunto de estratos, entonces el OC debe extrapolar los </w:t>
      </w:r>
      <w:r>
        <w:lastRenderedPageBreak/>
        <w:t xml:space="preserve">errores aleatorios al subconjunto identificado. En el caso de los errores aleatorios, no debe aplicarse un umbral claramente insignificante ya que todos los errores aleatorios son objeto de extrapolación, por lo que el impacto financiero de cada error financiero debe incluirse en la extrapolación y en la evaluación de errores. No obstante, a efectos únicamente de notificación, cabe la posibilidad de no describir los errores aleatorios por debajo de 150 EUR y del 2 % del importe auditado en el informe del organismo de certificación. Se facilitarán más orientaciones al respecto en la directriz relativa a los requisitos de información. </w:t>
      </w:r>
    </w:p>
    <w:p w14:paraId="5AB2DCF6" w14:textId="77777777" w:rsidR="00C4384E" w:rsidRDefault="00846384">
      <w:pPr>
        <w:pStyle w:val="ListDash2"/>
        <w:numPr>
          <w:ilvl w:val="1"/>
          <w:numId w:val="62"/>
        </w:numPr>
        <w:spacing w:after="120"/>
      </w:pPr>
      <w:r>
        <w:t xml:space="preserve">Las disposiciones del artículo 54, apartado 3, del Reglamento (UE) n.º 1306/2013 son aplicables </w:t>
      </w:r>
      <w:r>
        <w:rPr>
          <w:u w:val="single"/>
        </w:rPr>
        <w:t>al seguimiento</w:t>
      </w:r>
      <w:r>
        <w:t xml:space="preserve"> de errores claramente insignificantes (errores conocidos, sistémicos o aleatorios) y su recuperación.</w:t>
      </w:r>
    </w:p>
    <w:p w14:paraId="1AD3BAD0" w14:textId="77777777" w:rsidR="00C4384E" w:rsidRDefault="002455E9">
      <w:pPr>
        <w:pStyle w:val="Text1"/>
        <w:numPr>
          <w:ilvl w:val="0"/>
          <w:numId w:val="62"/>
        </w:numPr>
        <w:spacing w:after="120"/>
      </w:pPr>
      <w:r>
        <w:t>En función del procedimiento de auditoría u objetivo de auditoría en el que se detecta la desviación, el error financiero o la incorrección:</w:t>
      </w:r>
    </w:p>
    <w:p w14:paraId="47B27130" w14:textId="73916D99" w:rsidR="00C4384E" w:rsidRDefault="00FF7438">
      <w:pPr>
        <w:pStyle w:val="ListDash2"/>
        <w:numPr>
          <w:ilvl w:val="1"/>
          <w:numId w:val="62"/>
        </w:numPr>
        <w:spacing w:after="120"/>
      </w:pPr>
      <w:r>
        <w:rPr>
          <w:b/>
        </w:rPr>
        <w:t>«Desviaciones de las pruebas de los procedimientos de control y de las pruebas de cumplimiento»</w:t>
      </w:r>
      <w:r>
        <w:t>: Para la interpretación del número de desviaciones y errores detectados durante la valoración del sistema de control interno, véase la sección 5. Los errores financieros aleatorios detectados en pruebas de doble propósito deben tenerse en cuenta en la tasa de error.</w:t>
      </w:r>
    </w:p>
    <w:p w14:paraId="23AD1E0C" w14:textId="77777777" w:rsidR="00C4384E" w:rsidRDefault="00B915E3">
      <w:pPr>
        <w:pStyle w:val="ListDash2"/>
        <w:numPr>
          <w:ilvl w:val="1"/>
          <w:numId w:val="62"/>
        </w:numPr>
        <w:spacing w:after="120"/>
      </w:pPr>
      <w:r>
        <w:rPr>
          <w:b/>
        </w:rPr>
        <w:t>«Tasa de error (TE)», error total extrapolado (ETE)</w:t>
      </w:r>
      <w:r>
        <w:rPr>
          <w:rStyle w:val="FootnoteReference"/>
          <w:b/>
        </w:rPr>
        <w:footnoteReference w:id="18"/>
      </w:r>
      <w:r>
        <w:rPr>
          <w:b/>
        </w:rPr>
        <w:t xml:space="preserve"> a partir del muestreo estadístico:</w:t>
      </w:r>
      <w:r>
        <w:t xml:space="preserve"> abarca exclusivamente los pagos en exceso (errores de pago, de contabilidad y de notificación) de todas las transacciones seleccionadas para la realización de pruebas sustantivas. Su objetivo es estimar el impacto financiero de los errores identificados por el OC. El tipo de errores que debe incluirse en la tasa de error (TE) son los siguientes: cálculo correcto de la ayuda, asuntos de separación de períodos, tipos de cambio, porcentajes de cofinanciación, etc.</w:t>
      </w:r>
    </w:p>
    <w:p w14:paraId="43668382" w14:textId="77777777" w:rsidR="00C4384E" w:rsidRDefault="00356F74">
      <w:pPr>
        <w:pStyle w:val="ListDash2"/>
        <w:spacing w:after="120"/>
        <w:ind w:left="1440"/>
      </w:pPr>
      <w:r>
        <w:t xml:space="preserve"> </w:t>
      </w:r>
    </w:p>
    <w:p w14:paraId="4ECFE133" w14:textId="77777777" w:rsidR="00C4384E" w:rsidRDefault="00B915E3">
      <w:pPr>
        <w:pStyle w:val="ListDash2"/>
        <w:numPr>
          <w:ilvl w:val="1"/>
          <w:numId w:val="62"/>
        </w:numPr>
        <w:spacing w:after="120"/>
        <w:rPr>
          <w:b/>
        </w:rPr>
      </w:pPr>
      <w:r>
        <w:rPr>
          <w:b/>
        </w:rPr>
        <w:t xml:space="preserve">«Conciliación de incorrecciones financieras»: </w:t>
      </w:r>
      <w:r>
        <w:t>los errores encontrados durante los procedimientos de conciliación/analíticos.</w:t>
      </w:r>
      <w:r>
        <w:rPr>
          <w:b/>
        </w:rPr>
        <w:t xml:space="preserve"> </w:t>
      </w:r>
    </w:p>
    <w:p w14:paraId="17FF4C9A" w14:textId="77777777" w:rsidR="00C4384E" w:rsidRDefault="00905A70">
      <w:pPr>
        <w:pStyle w:val="Heading2"/>
      </w:pPr>
      <w:bookmarkStart w:id="41" w:name="_Toc16667623"/>
      <w:r>
        <w:t>8.2 Consolidación de errores</w:t>
      </w:r>
      <w:bookmarkEnd w:id="41"/>
      <w:r>
        <w:t xml:space="preserve"> </w:t>
      </w:r>
    </w:p>
    <w:p w14:paraId="0194E314" w14:textId="58B05E12" w:rsidR="00C4384E" w:rsidRDefault="000272D5">
      <w:pPr>
        <w:autoSpaceDE w:val="0"/>
        <w:autoSpaceDN w:val="0"/>
        <w:adjustRightInd w:val="0"/>
        <w:spacing w:after="120"/>
      </w:pPr>
      <w:r>
        <w:t xml:space="preserve">Para formular su conclusión sobre el objetivo de auditoría n.º 1, la mejor forma para el OC de estimar la incorrección en el Fondo es sumar el error total (limitado únicamente a los errores de pago y de contabilidad) de las pruebas sustantivas (LSE + errores conocidos) y cualesquiera errores relativos al pago en un ejercicio financiero determinado pero encontrados fuera de la muestra sustantiva: por ejemplo, los errores detectados durante las pruebas de cumplimiento (si no se utilizaron pruebas de doble </w:t>
      </w:r>
      <w:r>
        <w:lastRenderedPageBreak/>
        <w:t>propósito y, por consiguiente, aún no están incluidos), los errores de conciliación. El OC debe explicar claramente de qué modo la evaluación consolidada del error con respecto al Fondo ha influido en la opinión de auditoría. (Denominado en lo sucesivo ET consolidado con respecto al Fondo.)</w:t>
      </w:r>
    </w:p>
    <w:p w14:paraId="3876E36A" w14:textId="2975DEB9" w:rsidR="00C4384E" w:rsidRDefault="00891FD4">
      <w:pPr>
        <w:autoSpaceDE w:val="0"/>
        <w:autoSpaceDN w:val="0"/>
        <w:adjustRightInd w:val="0"/>
        <w:spacing w:after="120"/>
      </w:pPr>
      <w:r>
        <w:t>Los errores detectados en las transacciones no operativas no están específicamente destacados en la consolidación y en la interpretación de errores antes mencionadas debido a su diferente naturaleza en comparación con los errores detectados en los pagos. En primer lugar, la importancia de estas poblaciones en el Fondo global debe valorarse. En segundo lugar, la importancia de los errores individuales debe valorarse en función de la población en cuestión (es decir, recuperaciones o anticipos). Y si se acredita que los errores causaron incorrecciones materiales en las cuentas anuales, el OC debe garantizar su adecuada inclusión en la conclusión general correspondiente al objetivo de auditoría n.º 1.</w:t>
      </w:r>
    </w:p>
    <w:p w14:paraId="43FF36A5" w14:textId="77777777" w:rsidR="00C4384E" w:rsidRDefault="0043253C">
      <w:pPr>
        <w:pStyle w:val="Heading1"/>
        <w:numPr>
          <w:ilvl w:val="0"/>
          <w:numId w:val="74"/>
        </w:numPr>
      </w:pPr>
      <w:bookmarkStart w:id="42" w:name="_Toc16667624"/>
      <w:r>
        <w:t>Conclusión con respecto al objetivo de auditoría n.º 1</w:t>
      </w:r>
      <w:bookmarkEnd w:id="42"/>
    </w:p>
    <w:p w14:paraId="30E02951" w14:textId="77777777" w:rsidR="00C4384E" w:rsidRDefault="00905A70">
      <w:r>
        <w:rPr>
          <w:b/>
        </w:rPr>
        <w:t>9.1 Evaluar la suficiencia y la idoneidad de la evidencia de auditoría</w:t>
      </w:r>
    </w:p>
    <w:p w14:paraId="229DC5F2" w14:textId="33742C14" w:rsidR="00C4384E" w:rsidRDefault="004C64F9">
      <w:r>
        <w:t>Sobre la base de los procedimientos de auditoría utilizados y la evidencia de auditoría obtenida, el OC debe evaluar antes de la conclusión de la auditoría si las valoraciones de los riesgos de incorrección material con respecto a la afirmación siguen siendo apropiadas. El OC debe determinar si se ha obtenido evidencia de auditoría apropiada suficiente. Al formular una opinión, el OC debe tener en cuenta toda la evidencia de auditoría pertinente. Si el OC no ha obtenido evidencia de auditoría apropiada suficiente con respecto a una afirmación material, debe intentar obtener otras evidencias de auditoría. Si el OC no puede obtener evidencia de auditoría apropiada suficiente, debe emitir una opinión con salvedades o una abstención de opinión.</w:t>
      </w:r>
    </w:p>
    <w:p w14:paraId="19BF8D43" w14:textId="77777777" w:rsidR="00C4384E" w:rsidRDefault="0043253C">
      <w:pPr>
        <w:autoSpaceDE w:val="0"/>
        <w:autoSpaceDN w:val="0"/>
        <w:adjustRightInd w:val="0"/>
        <w:spacing w:after="120"/>
      </w:pPr>
      <w:r>
        <w:t>La conclusión sobre la integridad, exactitud y veracidad de las cuentas anuales debe basarse en:</w:t>
      </w:r>
    </w:p>
    <w:p w14:paraId="649B0D98" w14:textId="1A7AA4BE" w:rsidR="00C4384E" w:rsidRDefault="006F7E36">
      <w:pPr>
        <w:numPr>
          <w:ilvl w:val="0"/>
          <w:numId w:val="63"/>
        </w:numPr>
        <w:autoSpaceDE w:val="0"/>
        <w:autoSpaceDN w:val="0"/>
        <w:adjustRightInd w:val="0"/>
        <w:spacing w:after="120"/>
      </w:pPr>
      <w:r>
        <w:t>la valoración de los procedimientos de control interno de determinadas funciones del OP (ejecución de pagos, contabilidad de pagos y gestión de la deuda), teniendo en cuenta asimismo la valoración del SCI sobre autorización de pagos efectuada en virtud del objetivo de auditoría n.º 2,</w:t>
      </w:r>
    </w:p>
    <w:p w14:paraId="2B655A49" w14:textId="77777777" w:rsidR="00C4384E" w:rsidRDefault="006F7E36">
      <w:pPr>
        <w:numPr>
          <w:ilvl w:val="0"/>
          <w:numId w:val="63"/>
        </w:numPr>
        <w:autoSpaceDE w:val="0"/>
        <w:autoSpaceDN w:val="0"/>
        <w:adjustRightInd w:val="0"/>
        <w:spacing w:after="120"/>
      </w:pPr>
      <w:r>
        <w:t>los resultados de las pruebas sustantivas (error total extrapolado, límite superior de error únicamente limitado a los errores de pago y de contabilidad), y</w:t>
      </w:r>
    </w:p>
    <w:p w14:paraId="6A4562BB" w14:textId="77777777" w:rsidR="00C4384E" w:rsidRDefault="006F7E36">
      <w:pPr>
        <w:numPr>
          <w:ilvl w:val="0"/>
          <w:numId w:val="63"/>
        </w:numPr>
        <w:autoSpaceDE w:val="0"/>
        <w:autoSpaceDN w:val="0"/>
        <w:adjustRightInd w:val="0"/>
        <w:spacing w:after="120"/>
      </w:pPr>
      <w:r>
        <w:t>el ET consolidado que incluye los errores conocidos y las incorrecciones financieras derivadas del trabajo de conciliación financiera.</w:t>
      </w:r>
    </w:p>
    <w:p w14:paraId="02E99354" w14:textId="77777777" w:rsidR="00C4384E" w:rsidRDefault="00132D9C">
      <w:pPr>
        <w:pStyle w:val="ZDGName"/>
        <w:rPr>
          <w:rFonts w:ascii="Times New Roman" w:eastAsia="Times New Roman" w:hAnsi="Times New Roman" w:cs="Times New Roman"/>
          <w:sz w:val="24"/>
          <w:szCs w:val="24"/>
        </w:rPr>
      </w:pPr>
      <w:r>
        <w:br w:type="page"/>
      </w:r>
    </w:p>
    <w:p w14:paraId="55C5A680" w14:textId="77777777" w:rsidR="00C4384E" w:rsidRDefault="0043253C">
      <w:pPr>
        <w:autoSpaceDE w:val="0"/>
        <w:autoSpaceDN w:val="0"/>
        <w:adjustRightInd w:val="0"/>
        <w:spacing w:after="120"/>
      </w:pPr>
      <w:r>
        <w:lastRenderedPageBreak/>
        <w:t xml:space="preserve">El cuadro siguiente ofrece una descripción general de los principales supuestos. </w:t>
      </w:r>
    </w:p>
    <w:tbl>
      <w:tblPr>
        <w:tblW w:w="8790" w:type="dxa"/>
        <w:tblBorders>
          <w:insideH w:val="single" w:sz="4" w:space="0" w:color="FFFFFF"/>
        </w:tblBorders>
        <w:tblLayout w:type="fixed"/>
        <w:tblLook w:val="04A0" w:firstRow="1" w:lastRow="0" w:firstColumn="1" w:lastColumn="0" w:noHBand="0" w:noVBand="1"/>
      </w:tblPr>
      <w:tblGrid>
        <w:gridCol w:w="2802"/>
        <w:gridCol w:w="3436"/>
        <w:gridCol w:w="2552"/>
      </w:tblGrid>
      <w:tr w:rsidR="00C4384E" w14:paraId="1A96EFA7" w14:textId="77777777">
        <w:trPr>
          <w:trHeight w:val="851"/>
        </w:trPr>
        <w:tc>
          <w:tcPr>
            <w:tcW w:w="2802" w:type="dxa"/>
            <w:shd w:val="clear" w:color="auto" w:fill="B6DDE8"/>
            <w:vAlign w:val="center"/>
          </w:tcPr>
          <w:p w14:paraId="1A91640E" w14:textId="77777777" w:rsidR="00C4384E" w:rsidRDefault="008430CB">
            <w:pPr>
              <w:autoSpaceDE w:val="0"/>
              <w:autoSpaceDN w:val="0"/>
              <w:adjustRightInd w:val="0"/>
              <w:spacing w:after="0"/>
              <w:jc w:val="center"/>
              <w:rPr>
                <w:b/>
                <w:bCs/>
                <w:sz w:val="22"/>
                <w:szCs w:val="22"/>
              </w:rPr>
            </w:pPr>
            <w:r>
              <w:br w:type="page"/>
            </w:r>
            <w:r>
              <w:rPr>
                <w:b/>
                <w:bCs/>
                <w:sz w:val="22"/>
                <w:szCs w:val="22"/>
              </w:rPr>
              <w:t>Valoración del SCI para los procedimientos de control determinados</w:t>
            </w:r>
          </w:p>
        </w:tc>
        <w:tc>
          <w:tcPr>
            <w:tcW w:w="3436" w:type="dxa"/>
            <w:shd w:val="clear" w:color="auto" w:fill="B6DDE8"/>
            <w:vAlign w:val="center"/>
          </w:tcPr>
          <w:p w14:paraId="56B8389D" w14:textId="77777777" w:rsidR="00C4384E" w:rsidRDefault="008430CB">
            <w:pPr>
              <w:autoSpaceDE w:val="0"/>
              <w:autoSpaceDN w:val="0"/>
              <w:adjustRightInd w:val="0"/>
              <w:spacing w:after="0"/>
              <w:jc w:val="center"/>
              <w:rPr>
                <w:b/>
                <w:bCs/>
                <w:color w:val="000000"/>
                <w:sz w:val="22"/>
                <w:szCs w:val="22"/>
              </w:rPr>
            </w:pPr>
            <w:r>
              <w:rPr>
                <w:b/>
                <w:bCs/>
                <w:sz w:val="22"/>
                <w:szCs w:val="22"/>
              </w:rPr>
              <w:t>A) Resultado de las pruebas sustantivas</w:t>
            </w:r>
          </w:p>
          <w:p w14:paraId="7460BC78" w14:textId="77777777" w:rsidR="00C4384E" w:rsidRDefault="008430CB">
            <w:pPr>
              <w:autoSpaceDE w:val="0"/>
              <w:autoSpaceDN w:val="0"/>
              <w:adjustRightInd w:val="0"/>
              <w:spacing w:after="0"/>
              <w:jc w:val="center"/>
              <w:rPr>
                <w:b/>
                <w:bCs/>
                <w:color w:val="000000"/>
                <w:sz w:val="22"/>
                <w:szCs w:val="22"/>
              </w:rPr>
            </w:pPr>
            <w:r>
              <w:rPr>
                <w:b/>
                <w:bCs/>
                <w:sz w:val="22"/>
                <w:szCs w:val="22"/>
              </w:rPr>
              <w:t>B) Error consolidado: incluidos los resultados de la conciliación</w:t>
            </w:r>
          </w:p>
        </w:tc>
        <w:tc>
          <w:tcPr>
            <w:tcW w:w="2552" w:type="dxa"/>
            <w:shd w:val="clear" w:color="auto" w:fill="B6DDE8"/>
            <w:vAlign w:val="center"/>
          </w:tcPr>
          <w:p w14:paraId="3E2B34D7" w14:textId="77777777" w:rsidR="00C4384E" w:rsidRDefault="008430CB">
            <w:pPr>
              <w:autoSpaceDE w:val="0"/>
              <w:autoSpaceDN w:val="0"/>
              <w:adjustRightInd w:val="0"/>
              <w:spacing w:after="0"/>
              <w:jc w:val="center"/>
              <w:rPr>
                <w:b/>
                <w:bCs/>
                <w:color w:val="000000"/>
                <w:sz w:val="22"/>
                <w:szCs w:val="22"/>
              </w:rPr>
            </w:pPr>
            <w:r>
              <w:rPr>
                <w:b/>
                <w:bCs/>
                <w:sz w:val="22"/>
                <w:szCs w:val="22"/>
              </w:rPr>
              <w:t>Integridad, exactitud y veracidad de las cuentas anuales en la opinión</w:t>
            </w:r>
          </w:p>
        </w:tc>
      </w:tr>
      <w:tr w:rsidR="00C4384E" w14:paraId="32A969E7" w14:textId="77777777">
        <w:trPr>
          <w:trHeight w:val="542"/>
        </w:trPr>
        <w:tc>
          <w:tcPr>
            <w:tcW w:w="2802" w:type="dxa"/>
            <w:vMerge w:val="restart"/>
            <w:shd w:val="clear" w:color="auto" w:fill="31849B"/>
            <w:vAlign w:val="center"/>
          </w:tcPr>
          <w:p w14:paraId="2B74A173" w14:textId="77777777" w:rsidR="00C4384E" w:rsidRDefault="008430CB">
            <w:pPr>
              <w:autoSpaceDE w:val="0"/>
              <w:autoSpaceDN w:val="0"/>
              <w:adjustRightInd w:val="0"/>
              <w:spacing w:after="0"/>
              <w:jc w:val="center"/>
              <w:rPr>
                <w:color w:val="FFFFFF"/>
                <w:sz w:val="22"/>
                <w:szCs w:val="22"/>
              </w:rPr>
            </w:pPr>
            <w:r>
              <w:rPr>
                <w:b/>
                <w:color w:val="FFFFFF"/>
                <w:sz w:val="22"/>
                <w:szCs w:val="22"/>
              </w:rPr>
              <w:t>Valoración del SCI con respecto al Fondo para el pago, la contabilidad y la gestión de las deudas:</w:t>
            </w:r>
            <w:r>
              <w:rPr>
                <w:color w:val="FFFFFF"/>
                <w:sz w:val="22"/>
                <w:szCs w:val="22"/>
              </w:rPr>
              <w:t xml:space="preserve"> Funciona parcialmente – Funciona – Funciona bien </w:t>
            </w:r>
          </w:p>
        </w:tc>
        <w:tc>
          <w:tcPr>
            <w:tcW w:w="3436" w:type="dxa"/>
            <w:shd w:val="clear" w:color="auto" w:fill="A5D5E2"/>
          </w:tcPr>
          <w:p w14:paraId="34629311" w14:textId="77777777" w:rsidR="00C4384E" w:rsidRDefault="008430CB">
            <w:pPr>
              <w:numPr>
                <w:ilvl w:val="0"/>
                <w:numId w:val="16"/>
              </w:numPr>
              <w:autoSpaceDE w:val="0"/>
              <w:autoSpaceDN w:val="0"/>
              <w:adjustRightInd w:val="0"/>
              <w:spacing w:after="0"/>
              <w:ind w:left="176" w:hanging="142"/>
              <w:jc w:val="left"/>
              <w:rPr>
                <w:color w:val="000000"/>
                <w:sz w:val="22"/>
                <w:szCs w:val="22"/>
              </w:rPr>
            </w:pPr>
            <w:r>
              <w:rPr>
                <w:sz w:val="22"/>
                <w:szCs w:val="22"/>
              </w:rPr>
              <w:t xml:space="preserve">ETE &lt; LSE &lt; IT </w:t>
            </w:r>
          </w:p>
          <w:p w14:paraId="44B0C84B" w14:textId="77777777" w:rsidR="00C4384E" w:rsidRDefault="00AE1239">
            <w:pPr>
              <w:numPr>
                <w:ilvl w:val="0"/>
                <w:numId w:val="16"/>
              </w:numPr>
              <w:autoSpaceDE w:val="0"/>
              <w:autoSpaceDN w:val="0"/>
              <w:adjustRightInd w:val="0"/>
              <w:spacing w:after="0"/>
              <w:ind w:left="176" w:hanging="142"/>
              <w:jc w:val="left"/>
              <w:rPr>
                <w:color w:val="000000"/>
                <w:sz w:val="22"/>
                <w:szCs w:val="22"/>
              </w:rPr>
            </w:pPr>
            <w:r>
              <w:rPr>
                <w:sz w:val="22"/>
                <w:szCs w:val="22"/>
              </w:rPr>
              <w:t>ET consolidado &lt; IT</w:t>
            </w:r>
          </w:p>
        </w:tc>
        <w:tc>
          <w:tcPr>
            <w:tcW w:w="2552" w:type="dxa"/>
            <w:shd w:val="clear" w:color="auto" w:fill="A5D5E2"/>
          </w:tcPr>
          <w:p w14:paraId="4D00CC46" w14:textId="77777777" w:rsidR="00C4384E" w:rsidRDefault="008430CB">
            <w:pPr>
              <w:autoSpaceDE w:val="0"/>
              <w:autoSpaceDN w:val="0"/>
              <w:adjustRightInd w:val="0"/>
              <w:spacing w:after="0"/>
              <w:jc w:val="left"/>
              <w:rPr>
                <w:b/>
                <w:color w:val="000000"/>
                <w:sz w:val="22"/>
                <w:szCs w:val="22"/>
              </w:rPr>
            </w:pPr>
            <w:r>
              <w:rPr>
                <w:b/>
                <w:sz w:val="22"/>
                <w:szCs w:val="22"/>
              </w:rPr>
              <w:t>Pueden confirmarse</w:t>
            </w:r>
          </w:p>
        </w:tc>
      </w:tr>
      <w:tr w:rsidR="00C4384E" w14:paraId="38D9AC94" w14:textId="77777777">
        <w:trPr>
          <w:trHeight w:val="528"/>
        </w:trPr>
        <w:tc>
          <w:tcPr>
            <w:tcW w:w="2802" w:type="dxa"/>
            <w:vMerge/>
            <w:shd w:val="clear" w:color="auto" w:fill="31849B"/>
          </w:tcPr>
          <w:p w14:paraId="28509FE8" w14:textId="77777777" w:rsidR="00C4384E" w:rsidRDefault="00C4384E">
            <w:pPr>
              <w:autoSpaceDE w:val="0"/>
              <w:autoSpaceDN w:val="0"/>
              <w:adjustRightInd w:val="0"/>
              <w:spacing w:after="0"/>
              <w:jc w:val="left"/>
              <w:rPr>
                <w:color w:val="FFFFFF"/>
                <w:sz w:val="22"/>
                <w:szCs w:val="22"/>
              </w:rPr>
            </w:pPr>
          </w:p>
        </w:tc>
        <w:tc>
          <w:tcPr>
            <w:tcW w:w="3436" w:type="dxa"/>
            <w:shd w:val="clear" w:color="auto" w:fill="DAEEF3"/>
          </w:tcPr>
          <w:p w14:paraId="38134AB8" w14:textId="77777777" w:rsidR="00C4384E" w:rsidRDefault="008430CB">
            <w:pPr>
              <w:numPr>
                <w:ilvl w:val="0"/>
                <w:numId w:val="17"/>
              </w:numPr>
              <w:autoSpaceDE w:val="0"/>
              <w:autoSpaceDN w:val="0"/>
              <w:adjustRightInd w:val="0"/>
              <w:spacing w:after="0"/>
              <w:ind w:left="176" w:hanging="142"/>
              <w:jc w:val="left"/>
              <w:rPr>
                <w:sz w:val="22"/>
                <w:szCs w:val="22"/>
              </w:rPr>
            </w:pPr>
            <w:r>
              <w:rPr>
                <w:sz w:val="22"/>
                <w:szCs w:val="22"/>
              </w:rPr>
              <w:t xml:space="preserve">ETE &lt; LSE &lt; IT </w:t>
            </w:r>
          </w:p>
          <w:p w14:paraId="57263A9A" w14:textId="77777777" w:rsidR="00C4384E" w:rsidRDefault="008430CB">
            <w:pPr>
              <w:numPr>
                <w:ilvl w:val="0"/>
                <w:numId w:val="17"/>
              </w:numPr>
              <w:autoSpaceDE w:val="0"/>
              <w:autoSpaceDN w:val="0"/>
              <w:adjustRightInd w:val="0"/>
              <w:spacing w:after="0"/>
              <w:ind w:left="176" w:hanging="142"/>
              <w:jc w:val="left"/>
              <w:rPr>
                <w:sz w:val="22"/>
                <w:szCs w:val="22"/>
              </w:rPr>
            </w:pPr>
            <w:r>
              <w:rPr>
                <w:sz w:val="22"/>
                <w:szCs w:val="22"/>
              </w:rPr>
              <w:t>ET consolidado &gt; IT</w:t>
            </w:r>
          </w:p>
        </w:tc>
        <w:tc>
          <w:tcPr>
            <w:tcW w:w="2552" w:type="dxa"/>
            <w:shd w:val="clear" w:color="auto" w:fill="DAEEF3"/>
          </w:tcPr>
          <w:p w14:paraId="70A303E7" w14:textId="77777777" w:rsidR="00C4384E" w:rsidRDefault="008430CB">
            <w:pPr>
              <w:autoSpaceDE w:val="0"/>
              <w:autoSpaceDN w:val="0"/>
              <w:adjustRightInd w:val="0"/>
              <w:spacing w:after="0"/>
              <w:jc w:val="left"/>
              <w:rPr>
                <w:sz w:val="22"/>
                <w:szCs w:val="22"/>
              </w:rPr>
            </w:pPr>
            <w:r>
              <w:rPr>
                <w:b/>
                <w:sz w:val="22"/>
                <w:szCs w:val="22"/>
              </w:rPr>
              <w:t>No pueden confirmarse – el OP debe corregir los errores</w:t>
            </w:r>
          </w:p>
        </w:tc>
      </w:tr>
      <w:tr w:rsidR="00C4384E" w14:paraId="62829992" w14:textId="77777777">
        <w:trPr>
          <w:trHeight w:val="557"/>
        </w:trPr>
        <w:tc>
          <w:tcPr>
            <w:tcW w:w="2802" w:type="dxa"/>
            <w:vMerge/>
            <w:shd w:val="clear" w:color="auto" w:fill="31849B"/>
          </w:tcPr>
          <w:p w14:paraId="11BE86C1" w14:textId="77777777" w:rsidR="00C4384E" w:rsidRDefault="00C4384E">
            <w:pPr>
              <w:autoSpaceDE w:val="0"/>
              <w:autoSpaceDN w:val="0"/>
              <w:adjustRightInd w:val="0"/>
              <w:spacing w:after="0"/>
              <w:jc w:val="left"/>
              <w:rPr>
                <w:color w:val="FFFFFF"/>
                <w:sz w:val="22"/>
                <w:szCs w:val="22"/>
              </w:rPr>
            </w:pPr>
          </w:p>
        </w:tc>
        <w:tc>
          <w:tcPr>
            <w:tcW w:w="3436" w:type="dxa"/>
            <w:shd w:val="clear" w:color="auto" w:fill="A5D5E2"/>
          </w:tcPr>
          <w:p w14:paraId="55445D8C" w14:textId="77777777" w:rsidR="00C4384E" w:rsidRDefault="008430CB">
            <w:pPr>
              <w:numPr>
                <w:ilvl w:val="0"/>
                <w:numId w:val="18"/>
              </w:numPr>
              <w:autoSpaceDE w:val="0"/>
              <w:autoSpaceDN w:val="0"/>
              <w:adjustRightInd w:val="0"/>
              <w:spacing w:after="0"/>
              <w:ind w:left="176" w:hanging="142"/>
              <w:jc w:val="left"/>
              <w:rPr>
                <w:sz w:val="22"/>
                <w:szCs w:val="22"/>
              </w:rPr>
            </w:pPr>
            <w:r>
              <w:rPr>
                <w:sz w:val="22"/>
                <w:szCs w:val="22"/>
              </w:rPr>
              <w:t>ETE &lt; IT &lt; LSE</w:t>
            </w:r>
          </w:p>
          <w:p w14:paraId="3AC5AFFB" w14:textId="77777777" w:rsidR="00C4384E" w:rsidRDefault="008430CB">
            <w:pPr>
              <w:numPr>
                <w:ilvl w:val="0"/>
                <w:numId w:val="18"/>
              </w:numPr>
              <w:autoSpaceDE w:val="0"/>
              <w:autoSpaceDN w:val="0"/>
              <w:adjustRightInd w:val="0"/>
              <w:spacing w:after="0"/>
              <w:ind w:left="176" w:hanging="142"/>
              <w:jc w:val="left"/>
              <w:rPr>
                <w:sz w:val="22"/>
                <w:szCs w:val="22"/>
              </w:rPr>
            </w:pPr>
            <w:r>
              <w:rPr>
                <w:sz w:val="22"/>
                <w:szCs w:val="22"/>
              </w:rPr>
              <w:t>ET consolidado &gt; IT</w:t>
            </w:r>
          </w:p>
        </w:tc>
        <w:tc>
          <w:tcPr>
            <w:tcW w:w="2552" w:type="dxa"/>
            <w:shd w:val="clear" w:color="auto" w:fill="A5D5E2"/>
          </w:tcPr>
          <w:p w14:paraId="231472BE" w14:textId="164C8384" w:rsidR="00C4384E" w:rsidRPr="004C779D" w:rsidRDefault="008430CB">
            <w:pPr>
              <w:autoSpaceDE w:val="0"/>
              <w:autoSpaceDN w:val="0"/>
              <w:adjustRightInd w:val="0"/>
              <w:spacing w:after="0"/>
              <w:jc w:val="left"/>
              <w:rPr>
                <w:b/>
                <w:sz w:val="22"/>
                <w:szCs w:val="22"/>
              </w:rPr>
            </w:pPr>
            <w:r>
              <w:rPr>
                <w:b/>
                <w:sz w:val="22"/>
                <w:szCs w:val="22"/>
              </w:rPr>
              <w:t>No pueden confirmarse – trabajo adicional es necesario (sección 6.2)</w:t>
            </w:r>
          </w:p>
        </w:tc>
      </w:tr>
      <w:tr w:rsidR="00C4384E" w14:paraId="009AB7C2" w14:textId="77777777">
        <w:trPr>
          <w:trHeight w:val="1526"/>
        </w:trPr>
        <w:tc>
          <w:tcPr>
            <w:tcW w:w="2802" w:type="dxa"/>
            <w:vMerge/>
            <w:shd w:val="clear" w:color="auto" w:fill="31849B"/>
          </w:tcPr>
          <w:p w14:paraId="474A58DF" w14:textId="77777777" w:rsidR="00C4384E" w:rsidRDefault="00C4384E">
            <w:pPr>
              <w:autoSpaceDE w:val="0"/>
              <w:autoSpaceDN w:val="0"/>
              <w:adjustRightInd w:val="0"/>
              <w:spacing w:after="0"/>
              <w:jc w:val="left"/>
              <w:rPr>
                <w:color w:val="FFFFFF"/>
                <w:sz w:val="22"/>
                <w:szCs w:val="22"/>
              </w:rPr>
            </w:pPr>
          </w:p>
        </w:tc>
        <w:tc>
          <w:tcPr>
            <w:tcW w:w="3436" w:type="dxa"/>
            <w:shd w:val="clear" w:color="auto" w:fill="DAEEF3"/>
          </w:tcPr>
          <w:p w14:paraId="0A402CE5" w14:textId="77777777" w:rsidR="00C4384E" w:rsidRDefault="008430CB">
            <w:pPr>
              <w:numPr>
                <w:ilvl w:val="0"/>
                <w:numId w:val="19"/>
              </w:numPr>
              <w:autoSpaceDE w:val="0"/>
              <w:autoSpaceDN w:val="0"/>
              <w:adjustRightInd w:val="0"/>
              <w:spacing w:after="0"/>
              <w:ind w:left="176" w:hanging="142"/>
              <w:jc w:val="left"/>
              <w:rPr>
                <w:sz w:val="22"/>
                <w:szCs w:val="22"/>
              </w:rPr>
            </w:pPr>
            <w:r>
              <w:rPr>
                <w:sz w:val="22"/>
                <w:szCs w:val="22"/>
              </w:rPr>
              <w:t>IT &lt; ETE &lt; LSE</w:t>
            </w:r>
          </w:p>
          <w:p w14:paraId="5B07046A" w14:textId="77777777" w:rsidR="00C4384E" w:rsidRDefault="008430CB">
            <w:pPr>
              <w:numPr>
                <w:ilvl w:val="0"/>
                <w:numId w:val="19"/>
              </w:numPr>
              <w:autoSpaceDE w:val="0"/>
              <w:autoSpaceDN w:val="0"/>
              <w:adjustRightInd w:val="0"/>
              <w:spacing w:after="0"/>
              <w:ind w:left="176" w:hanging="142"/>
              <w:jc w:val="left"/>
              <w:rPr>
                <w:sz w:val="22"/>
                <w:szCs w:val="22"/>
              </w:rPr>
            </w:pPr>
            <w:r>
              <w:rPr>
                <w:sz w:val="22"/>
                <w:szCs w:val="22"/>
              </w:rPr>
              <w:t>ET consolidado &gt; IT</w:t>
            </w:r>
          </w:p>
        </w:tc>
        <w:tc>
          <w:tcPr>
            <w:tcW w:w="2552" w:type="dxa"/>
            <w:shd w:val="clear" w:color="auto" w:fill="DAEEF3"/>
          </w:tcPr>
          <w:p w14:paraId="37412B54" w14:textId="77777777" w:rsidR="00C4384E" w:rsidRDefault="008430CB">
            <w:pPr>
              <w:autoSpaceDE w:val="0"/>
              <w:autoSpaceDN w:val="0"/>
              <w:adjustRightInd w:val="0"/>
              <w:spacing w:after="0"/>
              <w:jc w:val="left"/>
              <w:rPr>
                <w:b/>
                <w:sz w:val="22"/>
                <w:szCs w:val="22"/>
              </w:rPr>
            </w:pPr>
            <w:r>
              <w:rPr>
                <w:b/>
                <w:sz w:val="22"/>
                <w:szCs w:val="22"/>
              </w:rPr>
              <w:t>No pueden confirmarse – el OP debe corregir los errores</w:t>
            </w:r>
          </w:p>
          <w:p w14:paraId="4BAE8114" w14:textId="6EDEF68A" w:rsidR="00C4384E" w:rsidRDefault="008430CB">
            <w:pPr>
              <w:autoSpaceDE w:val="0"/>
              <w:autoSpaceDN w:val="0"/>
              <w:adjustRightInd w:val="0"/>
              <w:spacing w:after="0"/>
              <w:jc w:val="left"/>
              <w:rPr>
                <w:b/>
                <w:sz w:val="22"/>
                <w:szCs w:val="22"/>
              </w:rPr>
            </w:pPr>
            <w:r>
              <w:rPr>
                <w:b/>
                <w:sz w:val="22"/>
                <w:szCs w:val="22"/>
              </w:rPr>
              <w:t>Si no, opinión con salvedades – diferencias detectadas</w:t>
            </w:r>
          </w:p>
        </w:tc>
      </w:tr>
      <w:tr w:rsidR="00C4384E" w14:paraId="4C8B6937" w14:textId="77777777">
        <w:trPr>
          <w:trHeight w:val="557"/>
        </w:trPr>
        <w:tc>
          <w:tcPr>
            <w:tcW w:w="2802" w:type="dxa"/>
            <w:shd w:val="clear" w:color="auto" w:fill="31849B"/>
          </w:tcPr>
          <w:p w14:paraId="4A8838A3" w14:textId="77777777" w:rsidR="00C4384E" w:rsidRDefault="008430CB">
            <w:pPr>
              <w:autoSpaceDE w:val="0"/>
              <w:autoSpaceDN w:val="0"/>
              <w:adjustRightInd w:val="0"/>
              <w:spacing w:after="0"/>
              <w:jc w:val="center"/>
              <w:rPr>
                <w:color w:val="FFFFFF"/>
                <w:sz w:val="22"/>
                <w:szCs w:val="22"/>
              </w:rPr>
            </w:pPr>
            <w:r>
              <w:rPr>
                <w:b/>
                <w:color w:val="FFFFFF"/>
                <w:sz w:val="22"/>
                <w:szCs w:val="22"/>
              </w:rPr>
              <w:t xml:space="preserve">Valoración del SCI con respecto al Fondo </w:t>
            </w:r>
            <w:r>
              <w:rPr>
                <w:b/>
                <w:color w:val="FFFFFF"/>
                <w:sz w:val="22"/>
                <w:szCs w:val="22"/>
                <w:u w:val="single"/>
              </w:rPr>
              <w:t>para el pago y la contabilidad:</w:t>
            </w:r>
            <w:r>
              <w:rPr>
                <w:color w:val="FFFFFF"/>
                <w:sz w:val="22"/>
                <w:szCs w:val="22"/>
              </w:rPr>
              <w:t xml:space="preserve"> No funciona </w:t>
            </w:r>
          </w:p>
        </w:tc>
        <w:tc>
          <w:tcPr>
            <w:tcW w:w="3436" w:type="dxa"/>
            <w:shd w:val="clear" w:color="auto" w:fill="DAEEF3"/>
          </w:tcPr>
          <w:p w14:paraId="66F190AB" w14:textId="1A232F02" w:rsidR="00C4384E" w:rsidRDefault="008430CB">
            <w:pPr>
              <w:autoSpaceDE w:val="0"/>
              <w:autoSpaceDN w:val="0"/>
              <w:adjustRightInd w:val="0"/>
              <w:spacing w:after="0"/>
              <w:jc w:val="left"/>
              <w:rPr>
                <w:color w:val="000000"/>
                <w:sz w:val="22"/>
                <w:szCs w:val="22"/>
              </w:rPr>
            </w:pPr>
            <w:r>
              <w:rPr>
                <w:b/>
                <w:i/>
                <w:sz w:val="22"/>
                <w:szCs w:val="22"/>
              </w:rPr>
              <w:t>Uno de los cuatro supuestos anteriores</w:t>
            </w:r>
          </w:p>
        </w:tc>
        <w:tc>
          <w:tcPr>
            <w:tcW w:w="2552" w:type="dxa"/>
            <w:shd w:val="clear" w:color="auto" w:fill="DAEEF3"/>
          </w:tcPr>
          <w:p w14:paraId="5C47D20D" w14:textId="77777777" w:rsidR="00C4384E" w:rsidRDefault="008430CB">
            <w:pPr>
              <w:autoSpaceDE w:val="0"/>
              <w:autoSpaceDN w:val="0"/>
              <w:adjustRightInd w:val="0"/>
              <w:spacing w:after="0"/>
              <w:jc w:val="left"/>
              <w:rPr>
                <w:color w:val="000000"/>
                <w:sz w:val="22"/>
                <w:szCs w:val="22"/>
              </w:rPr>
            </w:pPr>
            <w:r>
              <w:rPr>
                <w:b/>
                <w:bCs/>
                <w:sz w:val="22"/>
                <w:szCs w:val="22"/>
              </w:rPr>
              <w:t>No pueden confirmarse - Opinión con salvedades por procedimiento de control deficiente</w:t>
            </w:r>
            <w:r>
              <w:rPr>
                <w:sz w:val="22"/>
                <w:szCs w:val="22"/>
              </w:rPr>
              <w:t xml:space="preserve"> </w:t>
            </w:r>
          </w:p>
          <w:p w14:paraId="4A522612" w14:textId="77777777" w:rsidR="00C4384E" w:rsidRDefault="008430CB">
            <w:pPr>
              <w:autoSpaceDE w:val="0"/>
              <w:autoSpaceDN w:val="0"/>
              <w:adjustRightInd w:val="0"/>
              <w:spacing w:after="0"/>
              <w:jc w:val="left"/>
              <w:rPr>
                <w:b/>
                <w:color w:val="000000"/>
                <w:sz w:val="22"/>
                <w:szCs w:val="22"/>
              </w:rPr>
            </w:pPr>
            <w:r>
              <w:rPr>
                <w:sz w:val="22"/>
                <w:szCs w:val="22"/>
              </w:rPr>
              <w:t>(Deben corregirse los procedimientos - procedimiento de auditoría de conformidad sobre la cuestión de la autorización)</w:t>
            </w:r>
          </w:p>
        </w:tc>
      </w:tr>
    </w:tbl>
    <w:p w14:paraId="1B50334E" w14:textId="77777777" w:rsidR="00C4384E" w:rsidRDefault="00C4384E">
      <w:pPr>
        <w:autoSpaceDE w:val="0"/>
        <w:autoSpaceDN w:val="0"/>
        <w:adjustRightInd w:val="0"/>
        <w:spacing w:after="120"/>
      </w:pPr>
    </w:p>
    <w:p w14:paraId="6ECD0662" w14:textId="1BE394D3" w:rsidR="00C4384E" w:rsidRDefault="0029614D">
      <w:pPr>
        <w:autoSpaceDE w:val="0"/>
        <w:autoSpaceDN w:val="0"/>
        <w:adjustRightInd w:val="0"/>
        <w:spacing w:after="120"/>
      </w:pPr>
      <w:r>
        <w:t xml:space="preserve">Todos los supuestos deben tener en cuenta las medidas correctoras adoptadas por el OP tras la evaluación de los </w:t>
      </w:r>
      <w:r w:rsidR="00805BA2">
        <w:t>errores,</w:t>
      </w:r>
      <w:r>
        <w:t xml:space="preserve"> así como la importancia de los errores conducentes al error total consolidado material.</w:t>
      </w:r>
    </w:p>
    <w:p w14:paraId="4A7ACFA4" w14:textId="77777777" w:rsidR="00C4384E" w:rsidRDefault="00C4384E">
      <w:pPr>
        <w:spacing w:after="0"/>
        <w:rPr>
          <w:vanish/>
        </w:rPr>
      </w:pPr>
    </w:p>
    <w:p w14:paraId="647CB219" w14:textId="4C1A2C7A" w:rsidR="00C4384E" w:rsidRDefault="005024C0">
      <w:pPr>
        <w:spacing w:after="120"/>
        <w:rPr>
          <w:bCs/>
        </w:rPr>
      </w:pPr>
      <w:r>
        <w:t>La conclusión sobre la valoración global de la eficacia del sistema de control interno del OP debe establecerse sobre la base de la PARTE C.</w:t>
      </w:r>
    </w:p>
    <w:p w14:paraId="1EC95C06" w14:textId="77777777" w:rsidR="00C4384E" w:rsidRDefault="00C4384E">
      <w:pPr>
        <w:spacing w:after="120"/>
        <w:jc w:val="center"/>
        <w:rPr>
          <w:bCs/>
        </w:rPr>
      </w:pPr>
    </w:p>
    <w:p w14:paraId="2DDC1E15" w14:textId="77777777" w:rsidR="00C4384E" w:rsidRDefault="00C4384E">
      <w:pPr>
        <w:spacing w:after="120"/>
        <w:jc w:val="center"/>
        <w:rPr>
          <w:bCs/>
        </w:rPr>
      </w:pPr>
    </w:p>
    <w:p w14:paraId="707AE58A" w14:textId="77777777" w:rsidR="00C4384E" w:rsidRDefault="002455E9">
      <w:pPr>
        <w:spacing w:after="120"/>
        <w:rPr>
          <w:b/>
          <w:bCs/>
          <w:sz w:val="56"/>
        </w:rPr>
      </w:pPr>
      <w:r>
        <w:br w:type="page"/>
      </w:r>
    </w:p>
    <w:p w14:paraId="35C4DE23" w14:textId="77777777" w:rsidR="00C4384E" w:rsidRDefault="00C4384E">
      <w:pPr>
        <w:spacing w:after="120"/>
        <w:jc w:val="center"/>
        <w:rPr>
          <w:b/>
          <w:bCs/>
          <w:sz w:val="56"/>
        </w:rPr>
      </w:pPr>
    </w:p>
    <w:p w14:paraId="5C8ABA0F" w14:textId="77777777" w:rsidR="00C4384E" w:rsidRDefault="00C4384E">
      <w:pPr>
        <w:spacing w:after="120"/>
        <w:jc w:val="center"/>
        <w:rPr>
          <w:b/>
          <w:bCs/>
          <w:sz w:val="56"/>
        </w:rPr>
      </w:pPr>
    </w:p>
    <w:p w14:paraId="5110A704" w14:textId="77777777" w:rsidR="00C4384E" w:rsidRDefault="00C4384E">
      <w:pPr>
        <w:spacing w:after="120"/>
        <w:jc w:val="center"/>
        <w:rPr>
          <w:b/>
          <w:bCs/>
          <w:sz w:val="56"/>
        </w:rPr>
      </w:pPr>
    </w:p>
    <w:p w14:paraId="06E42EEE" w14:textId="77777777" w:rsidR="00C4384E" w:rsidRDefault="00C4384E">
      <w:pPr>
        <w:spacing w:after="120"/>
        <w:jc w:val="center"/>
        <w:rPr>
          <w:b/>
          <w:bCs/>
          <w:sz w:val="56"/>
        </w:rPr>
      </w:pPr>
    </w:p>
    <w:p w14:paraId="7AE91834" w14:textId="77777777" w:rsidR="00C4384E" w:rsidRDefault="00C4384E">
      <w:pPr>
        <w:spacing w:after="120"/>
        <w:jc w:val="center"/>
        <w:rPr>
          <w:b/>
          <w:bCs/>
          <w:sz w:val="56"/>
        </w:rPr>
      </w:pPr>
    </w:p>
    <w:p w14:paraId="5B52887D" w14:textId="77777777" w:rsidR="00C4384E" w:rsidRDefault="00C4384E">
      <w:pPr>
        <w:spacing w:after="120"/>
        <w:jc w:val="center"/>
        <w:rPr>
          <w:b/>
          <w:bCs/>
          <w:sz w:val="56"/>
        </w:rPr>
      </w:pPr>
    </w:p>
    <w:p w14:paraId="084AF828" w14:textId="77777777" w:rsidR="00C4384E" w:rsidRDefault="00C4384E">
      <w:pPr>
        <w:spacing w:after="120"/>
        <w:jc w:val="center"/>
        <w:rPr>
          <w:b/>
          <w:bCs/>
          <w:sz w:val="56"/>
        </w:rPr>
      </w:pPr>
    </w:p>
    <w:p w14:paraId="3F1EDAB7" w14:textId="77777777" w:rsidR="00C4384E" w:rsidRDefault="000F572C">
      <w:pPr>
        <w:pStyle w:val="Heading1"/>
        <w:numPr>
          <w:ilvl w:val="0"/>
          <w:numId w:val="0"/>
        </w:numPr>
        <w:jc w:val="center"/>
        <w:rPr>
          <w:sz w:val="56"/>
        </w:rPr>
        <w:sectPr w:rsidR="00C4384E">
          <w:footerReference w:type="first" r:id="rId28"/>
          <w:pgSz w:w="11906" w:h="16838" w:code="9"/>
          <w:pgMar w:top="1021" w:right="1701" w:bottom="1021" w:left="1588" w:header="601" w:footer="1077" w:gutter="0"/>
          <w:cols w:space="720"/>
          <w:docGrid w:linePitch="326"/>
        </w:sectPr>
      </w:pPr>
      <w:bookmarkStart w:id="43" w:name="_Toc16667625"/>
      <w:r>
        <w:rPr>
          <w:sz w:val="56"/>
        </w:rPr>
        <w:t>PARTE B</w:t>
      </w:r>
      <w:bookmarkEnd w:id="43"/>
    </w:p>
    <w:p w14:paraId="1DB98390" w14:textId="77777777" w:rsidR="00C4384E" w:rsidRDefault="00DB0E77">
      <w:pPr>
        <w:pStyle w:val="Heading1"/>
        <w:numPr>
          <w:ilvl w:val="0"/>
          <w:numId w:val="74"/>
        </w:numPr>
      </w:pPr>
      <w:bookmarkStart w:id="44" w:name="_Toc16667626"/>
      <w:r>
        <w:lastRenderedPageBreak/>
        <w:t>Modelo de riesgo de auditoría y procedimientos de auditoría</w:t>
      </w:r>
      <w:bookmarkEnd w:id="44"/>
    </w:p>
    <w:p w14:paraId="70F8E00F" w14:textId="77777777" w:rsidR="00C4384E" w:rsidRDefault="00DC0F02">
      <w:r>
        <w:t>También se aplican las secciones 4.1, 4.2, 4.3 y 4.4.</w:t>
      </w:r>
    </w:p>
    <w:p w14:paraId="16B89ADC" w14:textId="77777777" w:rsidR="00C4384E" w:rsidRDefault="00905A70">
      <w:pPr>
        <w:pStyle w:val="Heading2"/>
      </w:pPr>
      <w:bookmarkStart w:id="45" w:name="_Toc16667627"/>
      <w:r>
        <w:t>10.5 Procedimientos de auditoría</w:t>
      </w:r>
      <w:bookmarkEnd w:id="45"/>
    </w:p>
    <w:p w14:paraId="4319A3B1" w14:textId="604172E1" w:rsidR="00C4384E" w:rsidRDefault="00A26E0E">
      <w:pPr>
        <w:rPr>
          <w:b/>
        </w:rPr>
      </w:pPr>
      <w:r>
        <w:t xml:space="preserve">La auditoría en relación con el objetivo de auditoría n.º 2 abarca un ejercicio financiero (16.10.201x-15.10.201x+1) pero se distribuirá a lo largo de un período de 24 meses naturales (desde marzo del año natural precedente al ejercicio financiero auditado hasta febrero del año natural siguiente al ejercicio financiero auditado). El calendario propuesto se expresa en función de este período de veinticuatro meses, pero el trabajo de auditoría y los informes reales abarcan </w:t>
      </w:r>
      <w:r>
        <w:rPr>
          <w:b/>
        </w:rPr>
        <w:t>un ejercicio financiero</w:t>
      </w:r>
      <w:r>
        <w:t>.</w:t>
      </w:r>
      <w:r>
        <w:rPr>
          <w:b/>
        </w:rPr>
        <w:t xml:space="preserve"> </w:t>
      </w:r>
    </w:p>
    <w:p w14:paraId="49A998DD" w14:textId="59A41178" w:rsidR="00C4384E" w:rsidRDefault="00230148">
      <w:r>
        <w:t xml:space="preserve">En lo que atañe a los regímenes y medidas SIGC, el factor determinante para planificar dicha auditoría es el calendario de los controles sobre el terreno y administrativos efectuados por el OP para las estadísticas de control, que se presentan a más tardar el 15 de julio del ejercicio financiero auditado. Para los regímenes y medidas no SIGC, los controles efectuados sobre todas las solicitudes pagadas en el ejercicio financiero auditado deben servir de base para establecer el plan de auditoría. </w:t>
      </w:r>
    </w:p>
    <w:p w14:paraId="0A5A2EC7" w14:textId="77777777" w:rsidR="00C4384E" w:rsidRDefault="005A7D76">
      <w:r>
        <w:t>Por ejemplo:</w:t>
      </w:r>
    </w:p>
    <w:p w14:paraId="40C14FA0" w14:textId="77777777" w:rsidR="00C4384E" w:rsidRDefault="005A7D76">
      <w:pPr>
        <w:numPr>
          <w:ilvl w:val="0"/>
          <w:numId w:val="57"/>
        </w:numPr>
      </w:pPr>
      <w:r>
        <w:t>regímenes y medidas FEAGA y Feader SIGC:</w:t>
      </w:r>
    </w:p>
    <w:p w14:paraId="531883F7" w14:textId="67781810" w:rsidR="00C4384E" w:rsidRDefault="005A7D76">
      <w:pPr>
        <w:numPr>
          <w:ilvl w:val="1"/>
          <w:numId w:val="57"/>
        </w:numPr>
      </w:pPr>
      <w:r>
        <w:t>El organismo pagador efectúa los controles entre mayo (del ejercicio financiero anterior) y diciembre</w:t>
      </w:r>
      <w:r>
        <w:rPr>
          <w:rStyle w:val="FootnoteReference"/>
        </w:rPr>
        <w:footnoteReference w:id="19"/>
      </w:r>
      <w:r>
        <w:t xml:space="preserve"> (del ejercicio financiero auditado) respecto de las estadísticas de control presentadas a más tardar el 15 de julio del ejercicio financiero auditado.</w:t>
      </w:r>
    </w:p>
    <w:p w14:paraId="6E8B8893" w14:textId="77777777" w:rsidR="00C4384E" w:rsidRDefault="00D8642C">
      <w:pPr>
        <w:numPr>
          <w:ilvl w:val="0"/>
          <w:numId w:val="57"/>
        </w:numPr>
      </w:pPr>
      <w:r>
        <w:t>regímenes y medidas FEAGA y Feader no SIGC:</w:t>
      </w:r>
    </w:p>
    <w:p w14:paraId="7A03542D" w14:textId="3185EEFF" w:rsidR="00C4384E" w:rsidRDefault="000D1F2D">
      <w:pPr>
        <w:numPr>
          <w:ilvl w:val="1"/>
          <w:numId w:val="57"/>
        </w:numPr>
      </w:pPr>
      <w:r>
        <w:t xml:space="preserve">El organismo pagador efectúa los controles entre septiembre (del ejercicio financiero anterior) y septiembre (del ejercicio financiero auditado) respecto del ejercicio financiero auditado. En lo que atañe al FEAGA no SIGC, según las medidas, los controles se efectúan durante el año anterior al ejercicio financiero auditado o durante el ejercicio financiero auditado. </w:t>
      </w:r>
    </w:p>
    <w:p w14:paraId="6CC14E63" w14:textId="61CAD774" w:rsidR="00C4384E" w:rsidRDefault="004B0D18">
      <w:r>
        <w:t xml:space="preserve">Además, el OC debe valorar si la nueva verificación de los controles administrativos y sobre el terreno de una medida determinada tiene limitaciones de tiempo. La mayoría de los regímenes y medidas FEAGA/Feader SIGC tienen limitaciones de tiempo. Esto significa que es fundamental que el OC realice la nueva verificación de los controles poco después de los controles iniciales del OP, sino una parte de los elementos de control (por ejemplo, cultivos, compromisos, etc.) no puede volver a ser verificada sobre el terreno. Además, lo mismo se aplica a algunas medidas del FEAGA no SIGC por lo que </w:t>
      </w:r>
      <w:r>
        <w:lastRenderedPageBreak/>
        <w:t>el OC también tendrá que tenerlo en cuenta en su planificación de los procedimientos de auditoría.</w:t>
      </w:r>
    </w:p>
    <w:p w14:paraId="4EE91889" w14:textId="2329207C" w:rsidR="00C4384E" w:rsidRDefault="000F00BB">
      <w:r>
        <w:t>En lo que atañe al objetivo de auditoría n.º 2, la auditoría de certificación debe llevarse a cabo a través de los principales procedimientos de auditoría siguientes:</w:t>
      </w:r>
    </w:p>
    <w:p w14:paraId="5F5F2140" w14:textId="77777777" w:rsidR="00C4384E" w:rsidRDefault="000F00BB">
      <w:pPr>
        <w:pStyle w:val="Heading3"/>
        <w:numPr>
          <w:ilvl w:val="0"/>
          <w:numId w:val="115"/>
        </w:numPr>
      </w:pPr>
      <w:bookmarkStart w:id="46" w:name="_Toc16667628"/>
      <w:r>
        <w:t>Definición del modelo de riesgo de auditoría y niveles de garantía</w:t>
      </w:r>
      <w:bookmarkEnd w:id="46"/>
    </w:p>
    <w:p w14:paraId="5F8B7A27" w14:textId="77777777" w:rsidR="00C4384E" w:rsidRDefault="000F00BB">
      <w:pPr>
        <w:rPr>
          <w:i/>
        </w:rPr>
      </w:pPr>
      <w:r>
        <w:rPr>
          <w:i/>
        </w:rPr>
        <w:t>Calendario propuesto</w:t>
      </w:r>
    </w:p>
    <w:p w14:paraId="04DA0536" w14:textId="747F52AC" w:rsidR="00C4384E" w:rsidRDefault="00E26849">
      <w:r>
        <w:t>La auditoría debe llevarse a cabo antes del comienzo efectivo del muestreo; por ejemplo, en el caso de los regímenes FEAGA/Feader SIGC debería comenzar en abril-junio del año anterior al ejercicio financiero auditado (en lo sucesivo, mes 2-4 – M2-M4), y en el caso de las medidas FEAGA/Feader no SIGC debería comenzar en septiembre-octubre (al principio del ejercicio financiero auditado) o antes (en función de la planificación del OP o de las declaraciones mensuales/trimestrales), teniendo en cuenta el calendario de los controles reales del organismo pagador.</w:t>
      </w:r>
    </w:p>
    <w:p w14:paraId="3B069054" w14:textId="77777777" w:rsidR="00C4384E" w:rsidRDefault="000F00BB">
      <w:pPr>
        <w:rPr>
          <w:i/>
        </w:rPr>
      </w:pPr>
      <w:r>
        <w:rPr>
          <w:i/>
        </w:rPr>
        <w:t>Tareas principales</w:t>
      </w:r>
    </w:p>
    <w:p w14:paraId="05DBCAB3" w14:textId="6A816ADE" w:rsidR="00C4384E" w:rsidRDefault="000F00BB">
      <w:pPr>
        <w:numPr>
          <w:ilvl w:val="0"/>
          <w:numId w:val="38"/>
        </w:numPr>
      </w:pPr>
      <w:r>
        <w:t>Valorar el riesgo inherente y el riesgo de control (el riesgo de incorrección material) sobre la base de los resultados de las auditorías de años anteriores y a través de la valoración del sistema de control interno (véase la sección 11).</w:t>
      </w:r>
    </w:p>
    <w:p w14:paraId="5BFBE2E2" w14:textId="28812C6B" w:rsidR="00C4384E" w:rsidRDefault="000F00BB">
      <w:pPr>
        <w:numPr>
          <w:ilvl w:val="0"/>
          <w:numId w:val="38"/>
        </w:numPr>
      </w:pPr>
      <w:r>
        <w:t xml:space="preserve">Determinar la garantía del sistema y el nivel de confianza para las pruebas </w:t>
      </w:r>
      <w:r w:rsidR="00805BA2">
        <w:t>sustantivas,</w:t>
      </w:r>
      <w:r>
        <w:t xml:space="preserve"> así como los requisitos para la revisión del sistema de control interno y las pruebas substantivas.</w:t>
      </w:r>
    </w:p>
    <w:p w14:paraId="693BD83B" w14:textId="4A75AEE3" w:rsidR="00C4384E" w:rsidRDefault="000F00BB">
      <w:pPr>
        <w:numPr>
          <w:ilvl w:val="0"/>
          <w:numId w:val="38"/>
        </w:numPr>
      </w:pPr>
      <w:r>
        <w:t>Planificar todos los procedimientos de auditoría (calendario y alcance), incluida la valoración del sistema de control interno, las pruebas sustantivas, la revisión de las conciliaciones, la interpretación de los errores y los resultados y la preparación del informe de certificación y la formulación de la opinión.</w:t>
      </w:r>
    </w:p>
    <w:p w14:paraId="37E3515C" w14:textId="77777777" w:rsidR="00C4384E" w:rsidRDefault="000F00BB">
      <w:pPr>
        <w:rPr>
          <w:i/>
        </w:rPr>
      </w:pPr>
      <w:r>
        <w:rPr>
          <w:i/>
        </w:rPr>
        <w:t>Tener en cuenta</w:t>
      </w:r>
    </w:p>
    <w:p w14:paraId="26B50EEA" w14:textId="74C03AB2" w:rsidR="00C4384E" w:rsidRDefault="007A2D26">
      <w:pPr>
        <w:numPr>
          <w:ilvl w:val="0"/>
          <w:numId w:val="39"/>
        </w:numPr>
      </w:pPr>
      <w:r>
        <w:t xml:space="preserve">FEAGA/Feader SIGC: En el momento de la planificación, puede utilizarse el importe estimado de gasto determinado tras los controles sobre el terreno aleatorios realizados por el OP. La muestra real debe basarse en las solicitudes seleccionadas para los controles sobre el terreno aleatorios realizados por el OP. Posteriormente, estas solicitudes deben ser objeto de seguimiento hasta los resultados del control y el pago. El OC debe adoptar las salvaguardas apropiadas para garantizar que no se revela su muestra al OP antes de que este efectúe sus controles sobre el terreno. </w:t>
      </w:r>
    </w:p>
    <w:p w14:paraId="0B09EE58" w14:textId="77777777" w:rsidR="00C4384E" w:rsidRDefault="007A2D26">
      <w:pPr>
        <w:numPr>
          <w:ilvl w:val="0"/>
          <w:numId w:val="39"/>
        </w:numPr>
      </w:pPr>
      <w:r>
        <w:t xml:space="preserve">FEAGA/Feader no SIGC: En el momento de la planificación, puede utilizarse el importe estimado de gasto determinado tras todos los controles realizados por el OP. La muestra debe extraerse de todas las solicitudes que deben abonarse (sujetas a controles administrativos y/o sobre el terreno). Las solicitudes deben ser objeto de seguimiento hasta los pagos (y hasta las estadísticas de control/informes de control, cuando existan). En el caso del Feader no SIGC, el muestreo debe basarse en los pagos reales, ya que no existe ningún elemento con limitación de tiempo. En el caso del FEAGA no SIGC, corresponde al OC determinar la base del muestreo real, es decir, las solicitudes o los pagos. </w:t>
      </w:r>
    </w:p>
    <w:p w14:paraId="17095673" w14:textId="347263EA" w:rsidR="00C4384E" w:rsidRDefault="00A26E0E">
      <w:pPr>
        <w:numPr>
          <w:ilvl w:val="0"/>
          <w:numId w:val="39"/>
        </w:numPr>
      </w:pPr>
      <w:r>
        <w:lastRenderedPageBreak/>
        <w:t>En el momento de la planificación, tal vez no esté disponible toda la información necesaria para planificar los tamaños de la muestra. Esto requerirá un seguimiento y la necesaria modificación del plan de auditoría.</w:t>
      </w:r>
    </w:p>
    <w:p w14:paraId="0E4265C2" w14:textId="6A8B7CCD" w:rsidR="00C4384E" w:rsidRDefault="000F00BB">
      <w:pPr>
        <w:numPr>
          <w:ilvl w:val="0"/>
          <w:numId w:val="39"/>
        </w:numPr>
      </w:pPr>
      <w:r>
        <w:t>En el momento de la planificación, no están disponibles los resultados de las pruebas de los procedimientos de control. El tamaño de la muestra de las pruebas sustantivas debe aumentarse si la prueba de los procedimientos de control detecta un número elevado de errores.</w:t>
      </w:r>
    </w:p>
    <w:p w14:paraId="244682B8" w14:textId="77777777" w:rsidR="00C4384E" w:rsidRDefault="000F00BB">
      <w:pPr>
        <w:pStyle w:val="Heading3"/>
        <w:numPr>
          <w:ilvl w:val="0"/>
          <w:numId w:val="115"/>
        </w:numPr>
      </w:pPr>
      <w:bookmarkStart w:id="47" w:name="_Toc16667629"/>
      <w:r>
        <w:t>Valoración del sistema de control interno</w:t>
      </w:r>
      <w:bookmarkEnd w:id="47"/>
    </w:p>
    <w:p w14:paraId="40118C02" w14:textId="77777777" w:rsidR="00C4384E" w:rsidRDefault="000F00BB">
      <w:pPr>
        <w:rPr>
          <w:i/>
        </w:rPr>
      </w:pPr>
      <w:r>
        <w:rPr>
          <w:i/>
        </w:rPr>
        <w:t>Calendario propuesto</w:t>
      </w:r>
    </w:p>
    <w:p w14:paraId="7C350748" w14:textId="77777777" w:rsidR="00C4384E" w:rsidRDefault="000F00BB">
      <w:r>
        <w:t>Parte de las tareas: la valoración del entorno de control debe planificarse al mismo tiempo que la definición del modelo de riesgo de auditoría y los niveles de garantía. (M1-M3)</w:t>
      </w:r>
    </w:p>
    <w:p w14:paraId="19655E34" w14:textId="77777777" w:rsidR="00C4384E" w:rsidRDefault="000F00BB">
      <w:r>
        <w:t xml:space="preserve">Otras tareas: deberá planificarse la prueba de procesos/procedimientos, incluidas las pruebas de controles, de cumplimiento y de los sistemas informáticos (de los procesos y procedimientos pertinentes para el objetivo de auditoría n.º 2): </w:t>
      </w:r>
    </w:p>
    <w:p w14:paraId="60DBACE8" w14:textId="159393AF" w:rsidR="00C4384E" w:rsidRDefault="00A26E0E">
      <w:pPr>
        <w:numPr>
          <w:ilvl w:val="0"/>
          <w:numId w:val="40"/>
        </w:numPr>
      </w:pPr>
      <w:r>
        <w:t xml:space="preserve">en el caso de las medidas con limitaciones de tiempo, en paralelo con las pruebas sustantivas que deben aplicarse justo después de que se establezca el plan de auditoría (M4-M6); no obstante, algunas pruebas informáticas y algunas pruebas de control podrían realizarse antes del inicio de las pruebas sustantivas, </w:t>
      </w:r>
    </w:p>
    <w:p w14:paraId="66852D13" w14:textId="77777777" w:rsidR="00C4384E" w:rsidRDefault="00A26E0E">
      <w:pPr>
        <w:numPr>
          <w:ilvl w:val="0"/>
          <w:numId w:val="40"/>
        </w:numPr>
      </w:pPr>
      <w:r>
        <w:t>para el resto de las medidas que no tienen limitaciones de tiempo, este trabajo debe preceder a las pruebas sustantivas.</w:t>
      </w:r>
    </w:p>
    <w:p w14:paraId="1E1F2837" w14:textId="77777777" w:rsidR="00C4384E" w:rsidRDefault="000F00BB">
      <w:pPr>
        <w:rPr>
          <w:i/>
        </w:rPr>
      </w:pPr>
      <w:r>
        <w:rPr>
          <w:i/>
        </w:rPr>
        <w:t>Tareas principales</w:t>
      </w:r>
    </w:p>
    <w:p w14:paraId="2C56988E" w14:textId="7CD1F44B" w:rsidR="00C4384E" w:rsidRDefault="000F00BB">
      <w:pPr>
        <w:numPr>
          <w:ilvl w:val="0"/>
          <w:numId w:val="40"/>
        </w:numPr>
      </w:pPr>
      <w:r>
        <w:t>Valorar la eficacia del entorno de control teniendo en cuenta la evaluación de los años anteriores del sistema de control interno, cualesquiera cambios jurídicos, organizativos, procedimentales y del sistema con el fin de determinar la garantía del sistema para el modelo de riesgo de auditoría. Esto exigirá la realización de pruebas de recorrido.</w:t>
      </w:r>
    </w:p>
    <w:p w14:paraId="11273982" w14:textId="1D95D683" w:rsidR="00C4384E" w:rsidRDefault="000F00BB">
      <w:pPr>
        <w:numPr>
          <w:ilvl w:val="0"/>
          <w:numId w:val="40"/>
        </w:numPr>
      </w:pPr>
      <w:r>
        <w:t>Efectuar las pruebas de los procedimientos de control para la valoración del sistema de control interno para el resultado del ejercicio financiero auditado. Esto puede incluir distintos tipos de pruebas, así como pruebas de los sistemas informáticos y controles.</w:t>
      </w:r>
    </w:p>
    <w:p w14:paraId="28D5F35D" w14:textId="21821CED" w:rsidR="00C4384E" w:rsidRDefault="000F00BB">
      <w:pPr>
        <w:numPr>
          <w:ilvl w:val="0"/>
          <w:numId w:val="40"/>
        </w:numPr>
      </w:pPr>
      <w:r>
        <w:t>Evaluar los riesgos identificados o las desviaciones constatadas y corroborar los resultados en una valoración de fiabilidad de los procedimientos de control (funciona bien, funciona, etc.) y comprobar si los parámetros de las pruebas sustantivas deben ajustarse debido al elevado número de errores detectados en las pruebas de los procedimientos de control.</w:t>
      </w:r>
    </w:p>
    <w:p w14:paraId="32E60709" w14:textId="77777777" w:rsidR="00C4384E" w:rsidRDefault="000F00BB">
      <w:pPr>
        <w:rPr>
          <w:i/>
        </w:rPr>
      </w:pPr>
      <w:r>
        <w:rPr>
          <w:i/>
        </w:rPr>
        <w:t>Tener en cuenta</w:t>
      </w:r>
    </w:p>
    <w:p w14:paraId="3DA8AC5A" w14:textId="77777777" w:rsidR="00C4384E" w:rsidRDefault="00B17E44">
      <w:pPr>
        <w:numPr>
          <w:ilvl w:val="0"/>
          <w:numId w:val="41"/>
        </w:numPr>
      </w:pPr>
      <w:r>
        <w:t>Estas valoraciones sobre la fiabilidad de los procedimientos de control deberán tenerse en cuenta en la opinión sobre la eficacia del sistema de control interno.</w:t>
      </w:r>
    </w:p>
    <w:p w14:paraId="0AE8C87F" w14:textId="10A1B48A" w:rsidR="00C4384E" w:rsidRDefault="000F00BB">
      <w:pPr>
        <w:numPr>
          <w:ilvl w:val="0"/>
          <w:numId w:val="41"/>
        </w:numPr>
      </w:pPr>
      <w:r>
        <w:lastRenderedPageBreak/>
        <w:t>En lo que respecta a las pruebas de cumplimiento, pueden aplicarse pruebas de doble propósito. Estas pruebas deberán aplicarse para la nueva verificación de los controles sobre el terreno.</w:t>
      </w:r>
    </w:p>
    <w:p w14:paraId="1F6074C6" w14:textId="77777777" w:rsidR="00C4384E" w:rsidRDefault="008B3CD0">
      <w:pPr>
        <w:numPr>
          <w:ilvl w:val="0"/>
          <w:numId w:val="41"/>
        </w:numPr>
      </w:pPr>
      <w:r>
        <w:t>Los controles de los sistemas informáticos desempeñan una función importante en la valoración de una parte de estos procedimientos de control.</w:t>
      </w:r>
    </w:p>
    <w:p w14:paraId="2A2D651B" w14:textId="77777777" w:rsidR="00C4384E" w:rsidRDefault="000F00BB">
      <w:pPr>
        <w:pStyle w:val="Heading3"/>
        <w:numPr>
          <w:ilvl w:val="0"/>
          <w:numId w:val="115"/>
        </w:numPr>
      </w:pPr>
      <w:bookmarkStart w:id="48" w:name="_Toc16667630"/>
      <w:r>
        <w:t>Pruebas sustantivas</w:t>
      </w:r>
      <w:bookmarkEnd w:id="48"/>
    </w:p>
    <w:p w14:paraId="2A8C941A" w14:textId="77777777" w:rsidR="00C4384E" w:rsidRDefault="000F00BB">
      <w:pPr>
        <w:rPr>
          <w:i/>
        </w:rPr>
      </w:pPr>
      <w:r>
        <w:rPr>
          <w:i/>
        </w:rPr>
        <w:t>Calendario propuesto</w:t>
      </w:r>
    </w:p>
    <w:p w14:paraId="6E1A745F" w14:textId="2A9F2D2B" w:rsidR="00C4384E" w:rsidRDefault="004E21B3">
      <w:r>
        <w:t>En lo que atañe al objetivo de auditoría n.º 2, las pruebas sustantivas deben llevarse a cabo sobre la base de los controles efectuados para la verificación de la legalidad y la regularidad (véase el calendario de los controles antes mencionado). Dado que el OC debe verificar todas las etapas de control del procedimiento de autorización, que tiene lugar en el OP con un calendario diferente en función del régimen, las pruebas sustantivas pueden efectuarse en varias fases tras el procedimiento del OP.</w:t>
      </w:r>
    </w:p>
    <w:p w14:paraId="07EF52EE" w14:textId="77777777" w:rsidR="00C4384E" w:rsidRPr="004C779D" w:rsidRDefault="00B4570B">
      <w:pPr>
        <w:rPr>
          <w:lang w:val="en-US"/>
        </w:rPr>
      </w:pPr>
      <w:r w:rsidRPr="004C779D">
        <w:rPr>
          <w:lang w:val="en-US"/>
        </w:rPr>
        <w:t>FEAGA/Feader SIGC: M2-M17</w:t>
      </w:r>
    </w:p>
    <w:p w14:paraId="034D3607" w14:textId="77777777" w:rsidR="00C4384E" w:rsidRPr="004C779D" w:rsidRDefault="00505911">
      <w:pPr>
        <w:rPr>
          <w:lang w:val="en-US"/>
        </w:rPr>
      </w:pPr>
      <w:r w:rsidRPr="004C779D">
        <w:rPr>
          <w:lang w:val="en-US"/>
        </w:rPr>
        <w:t>Feader no SIGC: M7-M19</w:t>
      </w:r>
    </w:p>
    <w:p w14:paraId="441E5B8C" w14:textId="5C4AF67A" w:rsidR="00C4384E" w:rsidRDefault="00036483">
      <w:r>
        <w:t>Medidas sin limitaciones de tiempo: M8-M22</w:t>
      </w:r>
    </w:p>
    <w:p w14:paraId="5BAADBC2" w14:textId="77777777" w:rsidR="00C4384E" w:rsidRDefault="000F00BB">
      <w:pPr>
        <w:rPr>
          <w:i/>
        </w:rPr>
      </w:pPr>
      <w:r>
        <w:rPr>
          <w:i/>
        </w:rPr>
        <w:t>Tareas principales</w:t>
      </w:r>
    </w:p>
    <w:p w14:paraId="44BD8069" w14:textId="7059EEDC" w:rsidR="00C4384E" w:rsidRDefault="00036483">
      <w:pPr>
        <w:numPr>
          <w:ilvl w:val="0"/>
          <w:numId w:val="42"/>
        </w:numPr>
      </w:pPr>
      <w:r>
        <w:t>Examinar la muestra aleatoria de controles sobre el terreno del OP (FEAGA SIGC, Feader SIGC) y determinar la base representativa de la muestra del propio OC. Establecer la población de todas las solicitudes admisibles que deben abonarse que fueron controladas por el OP tanto en el caso del FEAGA como del Feader no SIGC. El muestreo puede efectuarse en varias fases con el fin de no acumular la carga de trabajo al final del ejercicio financiero auditado.</w:t>
      </w:r>
    </w:p>
    <w:p w14:paraId="34F41B4E" w14:textId="7AF4F2A6" w:rsidR="00C4384E" w:rsidRDefault="000F00BB">
      <w:pPr>
        <w:numPr>
          <w:ilvl w:val="0"/>
          <w:numId w:val="42"/>
        </w:numPr>
      </w:pPr>
      <w:r>
        <w:t>Extraer la muestra sobre la base de los parámetros ya establecidos en la fase de planificación y llevar a cabo la prueba real: efectuando la nueva verificación tanto de los controles administrativos como sobre el terreno siguiendo la secuencia del procedimiento del OP. En lo que atañe a las poblaciones FEAGA/Feader no SIGC, el OC debe verificar de nuevo los controles del OP: si el OP no ha efectuado ningún control sobre el terreno, el OC debe verificar únicamente los controles efectuados por el OP, es decir, los controles administrativos</w:t>
      </w:r>
      <w:r>
        <w:rPr>
          <w:rStyle w:val="FootnoteReference"/>
        </w:rPr>
        <w:footnoteReference w:id="20"/>
      </w:r>
      <w:r>
        <w:t>, y viceversa, si hubo un control sobre el terreno, el organismo de certificación debe verificar también el control sobre el terreno.</w:t>
      </w:r>
    </w:p>
    <w:p w14:paraId="13C84D0A" w14:textId="77777777" w:rsidR="00C4384E" w:rsidRDefault="000F00BB">
      <w:pPr>
        <w:numPr>
          <w:ilvl w:val="0"/>
          <w:numId w:val="42"/>
        </w:numPr>
      </w:pPr>
      <w:r>
        <w:t>Recoger evidencias de auditoría (para todas las demás etapas), especialmente para la documentación de excepciones (desviaciones, errores) encontradas.</w:t>
      </w:r>
    </w:p>
    <w:p w14:paraId="064039F9" w14:textId="539390B0" w:rsidR="00C4384E" w:rsidRDefault="009D166A">
      <w:pPr>
        <w:numPr>
          <w:ilvl w:val="0"/>
          <w:numId w:val="42"/>
        </w:numPr>
      </w:pPr>
      <w:r>
        <w:lastRenderedPageBreak/>
        <w:t>Rastrear la transacción hasta las estadísticas de control/informe correspondiente y hasta el pago.</w:t>
      </w:r>
    </w:p>
    <w:p w14:paraId="251DEDA9" w14:textId="77777777" w:rsidR="00C4384E" w:rsidRDefault="000F00BB">
      <w:pPr>
        <w:rPr>
          <w:i/>
        </w:rPr>
      </w:pPr>
      <w:r>
        <w:rPr>
          <w:i/>
        </w:rPr>
        <w:t>Tener en cuenta</w:t>
      </w:r>
    </w:p>
    <w:p w14:paraId="1878F38F" w14:textId="4053BD4C" w:rsidR="00C4384E" w:rsidRDefault="004D2102">
      <w:pPr>
        <w:numPr>
          <w:ilvl w:val="0"/>
          <w:numId w:val="43"/>
        </w:numPr>
      </w:pPr>
      <w:r>
        <w:t>La representatividad de la población de muestreo (FEAGA/Feader SIGC: muestra aleatoria de controles sobre el terreno del OP, FEAGA/Feader no SIGC: importe estimado del gasto determinado como resultado de los controles del OP o gasto real pagado) debe valorarse antes de que puedan comenzar las pruebas sustantivas.</w:t>
      </w:r>
    </w:p>
    <w:p w14:paraId="73246679" w14:textId="5F2281AF" w:rsidR="00C4384E" w:rsidRDefault="005C6436">
      <w:pPr>
        <w:numPr>
          <w:ilvl w:val="0"/>
          <w:numId w:val="43"/>
        </w:numPr>
      </w:pPr>
      <w:r>
        <w:t>Las pruebas de los sistemas informáticos tienen un papel importante para la verificación de una parte de los controles de autorización basados en la informática: por ejemplo, los controles cruzados en el SIGC y la solicitud de ayuda geoespacial (GSAA). Esto es especialmente válido para los controles cruzados automáticos (ejecutados una vez) del OP, como la comprobación de la doble declaración a través de la solicitud de ayuda geoespacial.</w:t>
      </w:r>
    </w:p>
    <w:p w14:paraId="567C32A2" w14:textId="77777777" w:rsidR="00C4384E" w:rsidRDefault="00C4384E"/>
    <w:p w14:paraId="75AF424C" w14:textId="77777777" w:rsidR="00C4384E" w:rsidRDefault="000F00BB">
      <w:pPr>
        <w:pStyle w:val="Heading3"/>
        <w:numPr>
          <w:ilvl w:val="0"/>
          <w:numId w:val="115"/>
        </w:numPr>
      </w:pPr>
      <w:bookmarkStart w:id="49" w:name="_Toc16667631"/>
      <w:r>
        <w:t>Conciliaciones</w:t>
      </w:r>
      <w:bookmarkEnd w:id="49"/>
    </w:p>
    <w:p w14:paraId="5F8F4875" w14:textId="77777777" w:rsidR="00C4384E" w:rsidRDefault="000F00BB">
      <w:pPr>
        <w:rPr>
          <w:i/>
        </w:rPr>
      </w:pPr>
      <w:r>
        <w:rPr>
          <w:i/>
        </w:rPr>
        <w:t>Calendario propuesto</w:t>
      </w:r>
    </w:p>
    <w:p w14:paraId="16DB8B3F" w14:textId="192F7D2E" w:rsidR="00C4384E" w:rsidRDefault="001C3291">
      <w:pPr>
        <w:rPr>
          <w:b/>
        </w:rPr>
      </w:pPr>
      <w:r>
        <w:t>Para el objetivo de auditoría n.º 2, la conciliación relativa a las estadísticas de control y la revisión de la declaración sobre la gestión debe llevarse a cabo hacia el final del ejercicio financiero auditado (M20-M24). El seguimiento de la ejecución del plan de acción puede planificarse a lo largo de los procedimientos de auditoría antes mencionados y debe finalizarse una vez esté lista la declaración sobre la gestión.</w:t>
      </w:r>
    </w:p>
    <w:p w14:paraId="7F79A216" w14:textId="77777777" w:rsidR="00C4384E" w:rsidRDefault="000F00BB">
      <w:pPr>
        <w:rPr>
          <w:i/>
        </w:rPr>
      </w:pPr>
      <w:r>
        <w:rPr>
          <w:i/>
        </w:rPr>
        <w:t>Tareas principales</w:t>
      </w:r>
    </w:p>
    <w:p w14:paraId="784C1AA7" w14:textId="73E6CE00" w:rsidR="00C4384E" w:rsidRDefault="00446E39">
      <w:pPr>
        <w:numPr>
          <w:ilvl w:val="0"/>
          <w:numId w:val="75"/>
        </w:numPr>
        <w:ind w:left="270" w:hanging="270"/>
        <w:rPr>
          <w:i/>
        </w:rPr>
      </w:pPr>
      <w:r>
        <w:t>FEAGA/Feader SIGC: Rastrear todas las transacciones verificadas de nuevo hasta las estadísticas/informe de control y calcular el pago; FEAGA/Feader no SIGC: el período de las estadísticas de control/informe de control no coincide necesariamente con el ejercicio financiero auditado, que será la base para la auditoría de la legalidad y regularidad de estas poblaciones. Sin embargo, es necesario rastrear las transacciones verificadas hasta los datos de control del OP que respaldan los informes de gestión. Esto será utilizado por el OC en lo que respecta a la fiabilidad de las afirmaciones de la gestión del OP en general.</w:t>
      </w:r>
    </w:p>
    <w:p w14:paraId="1AA771D4" w14:textId="77777777" w:rsidR="00C4384E" w:rsidRDefault="000F00BB">
      <w:pPr>
        <w:numPr>
          <w:ilvl w:val="0"/>
          <w:numId w:val="44"/>
        </w:numPr>
      </w:pPr>
      <w:r>
        <w:t>Revisar el procedimiento de conciliación del OP aplicado para la compilación de las estadísticas de control.</w:t>
      </w:r>
    </w:p>
    <w:p w14:paraId="24C6A0EB" w14:textId="7879D440" w:rsidR="00C4384E" w:rsidRDefault="00BB0676">
      <w:pPr>
        <w:numPr>
          <w:ilvl w:val="0"/>
          <w:numId w:val="44"/>
        </w:numPr>
      </w:pPr>
      <w:r>
        <w:t>Revisar y verificar la información incluida en la declaración de gestión.</w:t>
      </w:r>
    </w:p>
    <w:p w14:paraId="7318151C" w14:textId="77777777" w:rsidR="00C4384E" w:rsidRDefault="00E56A02">
      <w:pPr>
        <w:numPr>
          <w:ilvl w:val="0"/>
          <w:numId w:val="44"/>
        </w:numPr>
      </w:pPr>
      <w:r>
        <w:t>Confirmar la situación actual y valorar la ejecución de los planes de acción.</w:t>
      </w:r>
    </w:p>
    <w:p w14:paraId="7DEEC6C8" w14:textId="77777777" w:rsidR="00C4384E" w:rsidRDefault="000F00BB">
      <w:pPr>
        <w:rPr>
          <w:i/>
        </w:rPr>
      </w:pPr>
      <w:r>
        <w:rPr>
          <w:i/>
        </w:rPr>
        <w:t>Tener en cuenta</w:t>
      </w:r>
    </w:p>
    <w:p w14:paraId="4C4CF159" w14:textId="1DBE9B52" w:rsidR="00C4384E" w:rsidRDefault="00E56A02">
      <w:pPr>
        <w:numPr>
          <w:ilvl w:val="0"/>
          <w:numId w:val="44"/>
        </w:numPr>
      </w:pPr>
      <w:r>
        <w:t>A menudo, los OP presentan de nuevo las estadísticas de control después de la fecha límite del 15 de julio. Es importante que el OC elabore su opinión sobre la base de la versión definitiva presentada.</w:t>
      </w:r>
    </w:p>
    <w:p w14:paraId="3ED3C590" w14:textId="1946F4CC" w:rsidR="00C4384E" w:rsidRDefault="000F00BB">
      <w:pPr>
        <w:numPr>
          <w:ilvl w:val="0"/>
          <w:numId w:val="44"/>
        </w:numPr>
      </w:pPr>
      <w:r>
        <w:lastRenderedPageBreak/>
        <w:t>La correcta planificación del trabajo y, a este respecto, la colaboración con el OP son esenciales para garantizar que tanto el OP como el OC pueden cumplir sus funciones.</w:t>
      </w:r>
    </w:p>
    <w:p w14:paraId="68C1642B" w14:textId="77777777" w:rsidR="00C4384E" w:rsidRDefault="000F00BB">
      <w:pPr>
        <w:pStyle w:val="Heading3"/>
        <w:numPr>
          <w:ilvl w:val="0"/>
          <w:numId w:val="115"/>
        </w:numPr>
      </w:pPr>
      <w:bookmarkStart w:id="50" w:name="_Toc16667632"/>
      <w:r>
        <w:t>Interpretación de los errores, resultados</w:t>
      </w:r>
      <w:bookmarkEnd w:id="50"/>
    </w:p>
    <w:p w14:paraId="5E2CACF2" w14:textId="77777777" w:rsidR="00C4384E" w:rsidRDefault="000F00BB">
      <w:pPr>
        <w:rPr>
          <w:i/>
        </w:rPr>
      </w:pPr>
      <w:r>
        <w:rPr>
          <w:i/>
        </w:rPr>
        <w:t>Calendario propuesto</w:t>
      </w:r>
    </w:p>
    <w:p w14:paraId="72F3AC42" w14:textId="2E3AA26C" w:rsidR="00C4384E" w:rsidRDefault="000F00BB">
      <w:r>
        <w:t>Cada uno de los errores y desviaciones constatados durante las pruebas de los procedimientos de control y las pruebas sustantivas pueden ser interpretados paralelamente a estos procedimientos de auditoría (M4-M17 y/o M8-M22).</w:t>
      </w:r>
    </w:p>
    <w:p w14:paraId="092452D8" w14:textId="49D5F6EF" w:rsidR="00C4384E" w:rsidRDefault="000F00BB">
      <w:r>
        <w:t>La evaluación de errores de las pruebas sustantivas debe estar finalizada a más tardar el M22 para tener en cuenta la reacción del OP.</w:t>
      </w:r>
    </w:p>
    <w:p w14:paraId="518AED7A" w14:textId="77777777" w:rsidR="00C4384E" w:rsidRDefault="000F00BB">
      <w:pPr>
        <w:rPr>
          <w:i/>
        </w:rPr>
      </w:pPr>
      <w:r>
        <w:rPr>
          <w:i/>
        </w:rPr>
        <w:t>Tareas principales</w:t>
      </w:r>
    </w:p>
    <w:p w14:paraId="59C54653" w14:textId="77777777" w:rsidR="00C4384E" w:rsidRDefault="000F00BB">
      <w:pPr>
        <w:numPr>
          <w:ilvl w:val="0"/>
          <w:numId w:val="45"/>
        </w:numPr>
      </w:pPr>
      <w:r>
        <w:t>Establecer y documentar claramente el cálculo de los errores y llevar a cabo la evaluación de errores.</w:t>
      </w:r>
    </w:p>
    <w:p w14:paraId="0027B24D" w14:textId="77777777" w:rsidR="00C4384E" w:rsidRDefault="000F00BB">
      <w:pPr>
        <w:rPr>
          <w:i/>
        </w:rPr>
      </w:pPr>
      <w:r>
        <w:rPr>
          <w:i/>
        </w:rPr>
        <w:t>Tener en cuenta</w:t>
      </w:r>
    </w:p>
    <w:p w14:paraId="0DEFE6C7" w14:textId="47BD07C4" w:rsidR="00C4384E" w:rsidRDefault="008E1F1F">
      <w:pPr>
        <w:numPr>
          <w:ilvl w:val="0"/>
          <w:numId w:val="75"/>
        </w:numPr>
        <w:tabs>
          <w:tab w:val="left" w:pos="360"/>
        </w:tabs>
        <w:ind w:left="270"/>
      </w:pPr>
      <w:r>
        <w:t xml:space="preserve">Los errores detectados a través de las nuevas verificaciones de legalidad y regularidad (tanto sobre el terreno como administrativos) deben tenerse en </w:t>
      </w:r>
      <w:r w:rsidR="00805BA2">
        <w:t>cuenta,</w:t>
      </w:r>
      <w:r>
        <w:t xml:space="preserve"> aunque se hayan corregido antes de los pagos.</w:t>
      </w:r>
    </w:p>
    <w:p w14:paraId="4775199D" w14:textId="77777777" w:rsidR="00C4384E" w:rsidRDefault="000F00BB">
      <w:pPr>
        <w:numPr>
          <w:ilvl w:val="0"/>
          <w:numId w:val="43"/>
        </w:numPr>
      </w:pPr>
      <w:r>
        <w:t>Si se utilizan pruebas de doble propósito, todos los errores financieros detectados deberán tenerse en cuenta para la evaluación de errores de las pruebas sustantivas.</w:t>
      </w:r>
    </w:p>
    <w:p w14:paraId="72648284" w14:textId="77777777" w:rsidR="00C4384E" w:rsidRDefault="000F00BB">
      <w:pPr>
        <w:numPr>
          <w:ilvl w:val="0"/>
          <w:numId w:val="43"/>
        </w:numPr>
      </w:pPr>
      <w:r>
        <w:t>Los errores financieros individuales deben ser objeto de seguimiento (por el OP) y el OC debe elaborar informes al respecto.</w:t>
      </w:r>
    </w:p>
    <w:p w14:paraId="14EFF63F" w14:textId="77777777" w:rsidR="00C4384E" w:rsidRDefault="000F00BB">
      <w:pPr>
        <w:pStyle w:val="Heading3"/>
        <w:numPr>
          <w:ilvl w:val="0"/>
          <w:numId w:val="115"/>
        </w:numPr>
      </w:pPr>
      <w:bookmarkStart w:id="51" w:name="_Toc16667633"/>
      <w:r>
        <w:t>Formulación de la opinión</w:t>
      </w:r>
      <w:bookmarkEnd w:id="51"/>
    </w:p>
    <w:p w14:paraId="54C67EC4" w14:textId="77777777" w:rsidR="00C4384E" w:rsidRDefault="000F00BB">
      <w:pPr>
        <w:rPr>
          <w:i/>
        </w:rPr>
      </w:pPr>
      <w:r>
        <w:rPr>
          <w:i/>
        </w:rPr>
        <w:t>Calendario propuesto</w:t>
      </w:r>
    </w:p>
    <w:p w14:paraId="5DFA01AA" w14:textId="16F2F505" w:rsidR="00C4384E" w:rsidRDefault="00AE1239">
      <w:r>
        <w:t>La opinión de auditoría debe ser redactada una vez finalizados todos los procedimientos de auditoría pertinentes (M23-M24).</w:t>
      </w:r>
    </w:p>
    <w:p w14:paraId="5B1EB624" w14:textId="77777777" w:rsidR="00C4384E" w:rsidRDefault="000F00BB">
      <w:pPr>
        <w:rPr>
          <w:i/>
        </w:rPr>
      </w:pPr>
      <w:r>
        <w:rPr>
          <w:i/>
        </w:rPr>
        <w:t>Tareas principales</w:t>
      </w:r>
    </w:p>
    <w:p w14:paraId="443E65AF" w14:textId="01AE8CCC" w:rsidR="00C4384E" w:rsidRDefault="000F00BB">
      <w:pPr>
        <w:numPr>
          <w:ilvl w:val="0"/>
          <w:numId w:val="43"/>
        </w:numPr>
      </w:pPr>
      <w:r>
        <w:t>Agregar los resultados de la valoración del sistema de control interno, de las pruebas sustantivas y de la conciliación.</w:t>
      </w:r>
    </w:p>
    <w:p w14:paraId="28CFC5EA" w14:textId="6F55F453" w:rsidR="00C4384E" w:rsidRDefault="000F00BB">
      <w:pPr>
        <w:numPr>
          <w:ilvl w:val="0"/>
          <w:numId w:val="43"/>
        </w:numPr>
      </w:pPr>
      <w:r>
        <w:t>Considerar los resultados de los años anteriores y formular una opinión en lo que atañe al sistema de control interno del OP y la legalidad y la regularidad de los gastos cuyo reembolso se ha solicitado a la Comisión (en el caso de los planes de acción en curso y de las deficiencias que aún no se hayan solucionado completamente; así como en caso de que se aplique la rotación de las pruebas de controles).</w:t>
      </w:r>
    </w:p>
    <w:p w14:paraId="45E86598" w14:textId="4F8B04B2" w:rsidR="00C4384E" w:rsidRDefault="00E56A02">
      <w:pPr>
        <w:numPr>
          <w:ilvl w:val="0"/>
          <w:numId w:val="43"/>
        </w:numPr>
      </w:pPr>
      <w:r>
        <w:t>Confirmar los regímenes/medidas específicos solo en caso de que el OP pretenda reducir el porcentaje de control de acuerdo con el artículo 41 del Reglamento (UE) n.º 908/2014 (en su caso).</w:t>
      </w:r>
    </w:p>
    <w:p w14:paraId="110325BB" w14:textId="77777777" w:rsidR="00C4384E" w:rsidRDefault="00C4384E">
      <w:pPr>
        <w:ind w:left="283"/>
      </w:pPr>
    </w:p>
    <w:p w14:paraId="40CB229E" w14:textId="77777777" w:rsidR="00C4384E" w:rsidRDefault="000F00BB">
      <w:pPr>
        <w:rPr>
          <w:i/>
        </w:rPr>
      </w:pPr>
      <w:r>
        <w:rPr>
          <w:i/>
        </w:rPr>
        <w:lastRenderedPageBreak/>
        <w:t>Tener en cuenta</w:t>
      </w:r>
    </w:p>
    <w:p w14:paraId="4BFBDD44" w14:textId="77777777" w:rsidR="00C4384E" w:rsidRDefault="000F00BB">
      <w:pPr>
        <w:numPr>
          <w:ilvl w:val="0"/>
          <w:numId w:val="46"/>
        </w:numPr>
      </w:pPr>
      <w:r>
        <w:t>La opinión sobre el sistema de control interno debe ser formulada teniendo en cuenta la valoración de los procedimientos de control previstos para el objetivo de auditoría n.º 1 (PARTE A).</w:t>
      </w:r>
    </w:p>
    <w:p w14:paraId="186459B0" w14:textId="77777777" w:rsidR="00C4384E" w:rsidRDefault="00C4384E"/>
    <w:p w14:paraId="5CD18290" w14:textId="77777777" w:rsidR="00C4384E" w:rsidRDefault="00F90345">
      <w:pPr>
        <w:pStyle w:val="Heading1"/>
        <w:numPr>
          <w:ilvl w:val="0"/>
          <w:numId w:val="74"/>
        </w:numPr>
      </w:pPr>
      <w:bookmarkStart w:id="52" w:name="_Toc16667634"/>
      <w:r>
        <w:t>Valoración del sistema de control interno</w:t>
      </w:r>
      <w:bookmarkEnd w:id="52"/>
    </w:p>
    <w:p w14:paraId="6C8AAF0B" w14:textId="7B74C3FB" w:rsidR="00C4384E" w:rsidRDefault="00622326">
      <w:pPr>
        <w:spacing w:after="120"/>
      </w:pPr>
      <w:r>
        <w:t>Las técnicas utilizadas para las pruebas de controles incluyen valorar el entorno de control, la importancia de los controles, el riesgo de que las pruebas no sean concluyentes y el resultado de otras indagaciones. Las pruebas, que incluyen pruebas de procedimientos y pruebas de controles (pruebas de cumplimiento), cubrirán la eficacia tanto de la concepción como de la ejecución de los controles.</w:t>
      </w:r>
    </w:p>
    <w:p w14:paraId="1F6A25F2" w14:textId="231D422E" w:rsidR="00C4384E" w:rsidRDefault="00622326">
      <w:pPr>
        <w:spacing w:after="120"/>
      </w:pPr>
      <w:r>
        <w:t>Para que el OC identifique y valore los riesgos de incorrección material, debe adquirir conocimiento de la entidad y de su entorno. Esto incluirá, entre otras cosas, el conocimiento del entorno de control interno de la entidad y sus componentes (véase la NIA 315).</w:t>
      </w:r>
      <w:r w:rsidR="00805BA2">
        <w:t xml:space="preserve"> </w:t>
      </w:r>
      <w:r>
        <w:t>En el caso del organismo pagador, esto se traduce en los criterios de autorización establecidos en el anexo I del Reglamento (UE) n.º 907/2014 (es decir, los componentes del sistema de control interno):</w:t>
      </w:r>
    </w:p>
    <w:p w14:paraId="463E6C96" w14:textId="1BC350EE" w:rsidR="00C4384E" w:rsidRDefault="00622326">
      <w:pPr>
        <w:numPr>
          <w:ilvl w:val="0"/>
          <w:numId w:val="43"/>
        </w:numPr>
      </w:pPr>
      <w:r>
        <w:t>Entorno interior (incluida la estructura organizativa, los recursos humanos y la delegación).</w:t>
      </w:r>
    </w:p>
    <w:p w14:paraId="63D88EC1" w14:textId="5ABAA22C" w:rsidR="00C4384E" w:rsidRDefault="00622326">
      <w:pPr>
        <w:numPr>
          <w:ilvl w:val="0"/>
          <w:numId w:val="43"/>
        </w:numPr>
      </w:pPr>
      <w:r>
        <w:t>Actividades de control.</w:t>
      </w:r>
    </w:p>
    <w:p w14:paraId="05E98145" w14:textId="3BFFA2F7" w:rsidR="00C4384E" w:rsidRDefault="00622326">
      <w:pPr>
        <w:numPr>
          <w:ilvl w:val="0"/>
          <w:numId w:val="43"/>
        </w:numPr>
      </w:pPr>
      <w:r>
        <w:t>Información y comunicación (en particular, la seguridad del sistema de información).</w:t>
      </w:r>
    </w:p>
    <w:p w14:paraId="5185AB1E" w14:textId="77777777" w:rsidR="00C4384E" w:rsidRDefault="00622326">
      <w:pPr>
        <w:numPr>
          <w:ilvl w:val="0"/>
          <w:numId w:val="43"/>
        </w:numPr>
      </w:pPr>
      <w:r>
        <w:t>Seguimiento.</w:t>
      </w:r>
    </w:p>
    <w:p w14:paraId="26F6E101" w14:textId="5B3F2DBB" w:rsidR="00C4384E" w:rsidRDefault="00622326">
      <w:pPr>
        <w:spacing w:after="120"/>
      </w:pPr>
      <w:r>
        <w:t xml:space="preserve">Sobre la base del conocimiento de los criterios de autorización establecidos por el OP, el OC también debe determinar el planteamiento y la aplicación de los controles integrados en los procesos con respecto al organismo pagador (es decir, con respecto a la entidad). Un planteamiento inadecuado de los controles de la entidad, que no se ajusten a los criterios de autorización, puede representar una importante deficiencia en el sistema de control interno. </w:t>
      </w:r>
    </w:p>
    <w:p w14:paraId="6822AC57" w14:textId="21CA4E6E" w:rsidR="00C4384E" w:rsidRDefault="00622326">
      <w:pPr>
        <w:pStyle w:val="ListNumber3"/>
        <w:numPr>
          <w:ilvl w:val="0"/>
          <w:numId w:val="0"/>
        </w:numPr>
        <w:spacing w:after="120"/>
      </w:pPr>
      <w:r>
        <w:t xml:space="preserve">Tras valorar el sistema de control interno global con respecto a la entidad sobre la base de los criterios de autorización, el trabajo del organismo de certificación debe incluir un examen de los procesos concretos vigentes (mediante la revisión de los procedimientos). Dado que esta valoración abarca ambos objetivos de auditoría, solo debe hacerse una vez y tenerse en cuenta tanto para la auditoría de las cuentas anuales como para la auditoría sobre la legalidad y la regularidad. </w:t>
      </w:r>
    </w:p>
    <w:p w14:paraId="153A82AA" w14:textId="0B7D8C92" w:rsidR="00C4384E" w:rsidRDefault="000C1400">
      <w:r>
        <w:t xml:space="preserve">La valoración del sistema de control interno abarca los elementos siguientes: debe servir de base para el establecimiento de la garantía del sistema en la fase de planificación de la </w:t>
      </w:r>
      <w:r>
        <w:lastRenderedPageBreak/>
        <w:t>auditoría y para la valoración del sistema de control interno en el ejercicio financiero auditado que debe emitirse en la opinión de auditoría. En lo que atañe al objetivo de auditoría n.º 2, los principales procedimientos de control siguientes</w:t>
      </w:r>
      <w:r>
        <w:rPr>
          <w:rStyle w:val="FootnoteReference"/>
        </w:rPr>
        <w:footnoteReference w:id="21"/>
      </w:r>
      <w:r>
        <w:t xml:space="preserve"> deben estar sujetos a dicha valoración:</w:t>
      </w:r>
    </w:p>
    <w:p w14:paraId="00B36D4F" w14:textId="42958D2B" w:rsidR="00C4384E" w:rsidRDefault="00C319BC">
      <w:pPr>
        <w:numPr>
          <w:ilvl w:val="0"/>
          <w:numId w:val="46"/>
        </w:numPr>
      </w:pPr>
      <w:r>
        <w:t>Proceso de solicitud de ayuda en el SIGC (incluidos los controles preliminares cuando proceda) y la solicitud de ayuda geoespacial (GSAA).</w:t>
      </w:r>
    </w:p>
    <w:p w14:paraId="7E750FFD" w14:textId="315A3974" w:rsidR="00C4384E" w:rsidRDefault="00215524">
      <w:pPr>
        <w:numPr>
          <w:ilvl w:val="0"/>
          <w:numId w:val="46"/>
        </w:numPr>
      </w:pPr>
      <w:r>
        <w:t>Proceso de solicitud de ayuda fuera del SIGC.</w:t>
      </w:r>
    </w:p>
    <w:p w14:paraId="6BF36820" w14:textId="55431A33" w:rsidR="00C4384E" w:rsidRDefault="00C319BC">
      <w:pPr>
        <w:numPr>
          <w:ilvl w:val="0"/>
          <w:numId w:val="46"/>
        </w:numPr>
      </w:pPr>
      <w:r>
        <w:t>Proceso de contratación para la contratación pública.</w:t>
      </w:r>
    </w:p>
    <w:p w14:paraId="73EE8BBB" w14:textId="5ED44FCD" w:rsidR="00C4384E" w:rsidRDefault="00201C8D">
      <w:pPr>
        <w:numPr>
          <w:ilvl w:val="0"/>
          <w:numId w:val="46"/>
        </w:numPr>
      </w:pPr>
      <w:r>
        <w:t>Autorización de pagos, incluidos los controles administrativos y sobre el terreno.</w:t>
      </w:r>
    </w:p>
    <w:p w14:paraId="21738BBB" w14:textId="42D28651" w:rsidR="00C4384E" w:rsidRDefault="00C319BC">
      <w:pPr>
        <w:numPr>
          <w:ilvl w:val="0"/>
          <w:numId w:val="46"/>
        </w:numPr>
      </w:pPr>
      <w:r>
        <w:t>Cálculo del pago, incluidas reducciones, exclusiones y penalizaciones.</w:t>
      </w:r>
    </w:p>
    <w:p w14:paraId="68C45614" w14:textId="08E36B01" w:rsidR="00C4384E" w:rsidRDefault="00C319BC">
      <w:pPr>
        <w:numPr>
          <w:ilvl w:val="0"/>
          <w:numId w:val="46"/>
        </w:numPr>
      </w:pPr>
      <w:r>
        <w:t>Establecimiento de derechos (cuando proceda).</w:t>
      </w:r>
    </w:p>
    <w:p w14:paraId="4F27329A" w14:textId="77777777" w:rsidR="00C4384E" w:rsidRDefault="00C319BC">
      <w:pPr>
        <w:numPr>
          <w:ilvl w:val="0"/>
          <w:numId w:val="46"/>
        </w:numPr>
      </w:pPr>
      <w:r>
        <w:t>Actualización y mantenimiento del SIGPAC.</w:t>
      </w:r>
    </w:p>
    <w:p w14:paraId="2DCD2905" w14:textId="0EEEE703" w:rsidR="00C4384E" w:rsidRDefault="00215524">
      <w:pPr>
        <w:numPr>
          <w:ilvl w:val="0"/>
          <w:numId w:val="46"/>
        </w:numPr>
      </w:pPr>
      <w:r>
        <w:t>Compilación de estadísticas de control y de informes de gestión.</w:t>
      </w:r>
    </w:p>
    <w:p w14:paraId="32AB6DF3" w14:textId="6095C281" w:rsidR="00C4384E" w:rsidRDefault="00F040C0">
      <w:r>
        <w:t>La valoración debe establecerse con respecto a la población verificada (es decir, FEAGA SIGC, FEAGA no SIGC, Feader SIGC y Feader no SIGC). No obstante, si con respecto a medidas específicas se identificaron insuficiencias importantes del sistema</w:t>
      </w:r>
      <w:r>
        <w:rPr>
          <w:rStyle w:val="FootnoteReference"/>
        </w:rPr>
        <w:footnoteReference w:id="22"/>
      </w:r>
      <w:r>
        <w:t>, se recomienda «aislar» la medida y probarla separadamente (es decir, estratificar la población con el fin de cubrir mejor el riesgo de auditoría).</w:t>
      </w:r>
    </w:p>
    <w:p w14:paraId="75A5C18A" w14:textId="77777777" w:rsidR="00C4384E" w:rsidRDefault="002A39CF">
      <w:pPr>
        <w:pStyle w:val="Heading2"/>
      </w:pPr>
      <w:bookmarkStart w:id="53" w:name="_Toc16667635"/>
      <w:r>
        <w:t>11.1 Valoración del entorno de control para el establecimiento de la garantía del sistema</w:t>
      </w:r>
      <w:bookmarkEnd w:id="53"/>
    </w:p>
    <w:p w14:paraId="72FEC929" w14:textId="77777777" w:rsidR="00C4384E" w:rsidRDefault="00F90345">
      <w:pPr>
        <w:spacing w:after="120"/>
      </w:pPr>
      <w:r>
        <w:t>El trabajo del OC debe comenzar con una revisión del entorno general de control de los procedimientos de control antes mencionados teniendo en cuenta lo siguiente:</w:t>
      </w:r>
    </w:p>
    <w:p w14:paraId="337817D1" w14:textId="543EA9C5" w:rsidR="00C4384E" w:rsidRDefault="00F90345">
      <w:pPr>
        <w:numPr>
          <w:ilvl w:val="0"/>
          <w:numId w:val="51"/>
        </w:numPr>
        <w:spacing w:after="120"/>
      </w:pPr>
      <w:r>
        <w:t>Los resultados de las auditorías de años anteriores para estos procedimientos de control (por ejemplo, la clasificación que figura en las matrices de autorización).</w:t>
      </w:r>
    </w:p>
    <w:p w14:paraId="21367263" w14:textId="4635F18D" w:rsidR="00C4384E" w:rsidRDefault="00F90345">
      <w:pPr>
        <w:numPr>
          <w:ilvl w:val="0"/>
          <w:numId w:val="51"/>
        </w:numPr>
        <w:spacing w:after="120"/>
      </w:pPr>
      <w:r>
        <w:t>Los cambios jurídicos, organizativos, procedimentales, de sistema informático y de recursos humanos introducidos.</w:t>
      </w:r>
    </w:p>
    <w:p w14:paraId="40CF020D" w14:textId="30EB224C" w:rsidR="00C4384E" w:rsidRDefault="00BF72BC">
      <w:pPr>
        <w:numPr>
          <w:ilvl w:val="0"/>
          <w:numId w:val="51"/>
        </w:numPr>
        <w:spacing w:after="120"/>
      </w:pPr>
      <w:r>
        <w:lastRenderedPageBreak/>
        <w:t>Los porcentajes de error</w:t>
      </w:r>
      <w:r>
        <w:rPr>
          <w:rStyle w:val="FootnoteReference"/>
        </w:rPr>
        <w:footnoteReference w:id="23"/>
      </w:r>
      <w:r>
        <w:t xml:space="preserve"> incluidos en los resultados del control y en la declaración sobre la gestión y/o el porcentaje de error ajustado por la DG AGRI establecido en el informe anual de actividades (IAA) en caso de que se haya emitido una reserva.</w:t>
      </w:r>
    </w:p>
    <w:p w14:paraId="608E8E81" w14:textId="0D8919E9" w:rsidR="00C4384E" w:rsidRDefault="00622326">
      <w:pPr>
        <w:numPr>
          <w:ilvl w:val="0"/>
          <w:numId w:val="51"/>
        </w:numPr>
        <w:spacing w:after="120"/>
      </w:pPr>
      <w:r>
        <w:t>Planes de acción en curso que no están finalizados.</w:t>
      </w:r>
    </w:p>
    <w:p w14:paraId="57FDC646" w14:textId="77777777" w:rsidR="00C4384E" w:rsidRDefault="00C4384E">
      <w:pPr>
        <w:spacing w:after="120"/>
      </w:pPr>
    </w:p>
    <w:p w14:paraId="3DAC5C59" w14:textId="3EF6FC46" w:rsidR="00C4384E" w:rsidRDefault="000C1400">
      <w:pPr>
        <w:spacing w:after="120"/>
      </w:pPr>
      <w:r>
        <w:t>Además, el organismo de certificación debe desempeñar las siguientes tareas:</w:t>
      </w:r>
    </w:p>
    <w:p w14:paraId="185F91E9" w14:textId="5FB3AF5F" w:rsidR="00C4384E" w:rsidRDefault="000C1400">
      <w:pPr>
        <w:numPr>
          <w:ilvl w:val="0"/>
          <w:numId w:val="80"/>
        </w:numPr>
        <w:spacing w:after="120"/>
      </w:pPr>
      <w:r>
        <w:t>Obtener un conocimiento de los procedimientos y sistemas de control del OP.</w:t>
      </w:r>
    </w:p>
    <w:p w14:paraId="256D4760" w14:textId="5E774FEC" w:rsidR="00C4384E" w:rsidRDefault="000C1400">
      <w:pPr>
        <w:numPr>
          <w:ilvl w:val="0"/>
          <w:numId w:val="80"/>
        </w:numPr>
        <w:spacing w:after="120"/>
      </w:pPr>
      <w:r>
        <w:t>Revisar el proceso de «traducción» a través del cual se incorporan los requisitos establecidos en los Reglamentos de la UE en el manual, los procedimientos informáticos y las instrucciones escritas del OP.</w:t>
      </w:r>
    </w:p>
    <w:p w14:paraId="6C57FC66" w14:textId="2241F058" w:rsidR="00C4384E" w:rsidRDefault="000C1400">
      <w:pPr>
        <w:numPr>
          <w:ilvl w:val="0"/>
          <w:numId w:val="80"/>
        </w:numPr>
        <w:spacing w:after="120"/>
      </w:pPr>
      <w:r>
        <w:t>Efectuar pruebas «de recorrido» de los procesos/procedimientos, incluidos los procesos informáticos para determinar las funcionalidades del sistema de control.</w:t>
      </w:r>
    </w:p>
    <w:p w14:paraId="067ABCAF" w14:textId="2A608A76" w:rsidR="00C4384E" w:rsidRDefault="000C1400">
      <w:pPr>
        <w:numPr>
          <w:ilvl w:val="0"/>
          <w:numId w:val="80"/>
        </w:numPr>
        <w:spacing w:after="120"/>
      </w:pPr>
      <w:r>
        <w:t>Identificar los problemas potenciales o los riesgos en el proceso/procedimiento y en los controles conexos. Para el procedimiento mencionado, los controles fundamentales y auxiliares enumerados en la lista de las Directrices para calcular las correcciones financieras C(2015) 3675, deben tenerse en cuenta como punto de comparación para los procesos y los controles del OP.</w:t>
      </w:r>
    </w:p>
    <w:p w14:paraId="2DA54125" w14:textId="77777777" w:rsidR="00C4384E" w:rsidRDefault="000C1400">
      <w:r>
        <w:t>Sobre la base de lo anterior, si el OC decide confiar en el sistema de control interno, debe efectuar pruebas de cumplimiento (prueba de los controles) de los controles seleccionados (véase la sección 11.3 más adelante).</w:t>
      </w:r>
    </w:p>
    <w:p w14:paraId="37C0EB6E" w14:textId="7F3A7221" w:rsidR="00C4384E" w:rsidRDefault="00F90345">
      <w:pPr>
        <w:spacing w:after="120"/>
      </w:pPr>
      <w:r>
        <w:rPr>
          <w:b/>
        </w:rPr>
        <w:t>Resultado:</w:t>
      </w:r>
      <w:r>
        <w:t xml:space="preserve"> definición de la garantía del sistema basada en las siguientes categorías:</w:t>
      </w:r>
    </w:p>
    <w:tbl>
      <w:tblPr>
        <w:tblpPr w:leftFromText="180" w:rightFromText="180" w:vertAnchor="text" w:horzAnchor="margin" w:tblpXSpec="center" w:tblpY="273"/>
        <w:tblW w:w="7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409"/>
        <w:gridCol w:w="2409"/>
      </w:tblGrid>
      <w:tr w:rsidR="00C4384E" w14:paraId="14318BF0" w14:textId="77777777">
        <w:tc>
          <w:tcPr>
            <w:tcW w:w="2409" w:type="dxa"/>
          </w:tcPr>
          <w:p w14:paraId="7F149D45" w14:textId="77777777" w:rsidR="00C4384E" w:rsidDel="00A0730C" w:rsidRDefault="00AE1239">
            <w:pPr>
              <w:pStyle w:val="Text1"/>
              <w:spacing w:after="0"/>
              <w:ind w:left="0"/>
              <w:jc w:val="center"/>
              <w:rPr>
                <w:b/>
              </w:rPr>
            </w:pPr>
            <w:r>
              <w:rPr>
                <w:b/>
              </w:rPr>
              <w:t>Evaluación de riesgos combinada (RI x RC)</w:t>
            </w:r>
          </w:p>
        </w:tc>
        <w:tc>
          <w:tcPr>
            <w:tcW w:w="2409" w:type="dxa"/>
          </w:tcPr>
          <w:p w14:paraId="54E256C0" w14:textId="77777777" w:rsidR="00C4384E" w:rsidDel="00A0730C" w:rsidRDefault="00AE1239">
            <w:pPr>
              <w:pStyle w:val="Text1"/>
              <w:spacing w:after="0"/>
              <w:ind w:left="0"/>
              <w:jc w:val="center"/>
              <w:rPr>
                <w:b/>
              </w:rPr>
            </w:pPr>
            <w:r>
              <w:rPr>
                <w:b/>
              </w:rPr>
              <w:t>Valoración de los procedimientos de control</w:t>
            </w:r>
          </w:p>
        </w:tc>
        <w:tc>
          <w:tcPr>
            <w:tcW w:w="2409" w:type="dxa"/>
          </w:tcPr>
          <w:p w14:paraId="0A26F92B" w14:textId="77777777" w:rsidR="00C4384E" w:rsidDel="00A0730C" w:rsidRDefault="00AE1239">
            <w:pPr>
              <w:pStyle w:val="Text1"/>
              <w:spacing w:after="0"/>
              <w:ind w:left="0"/>
              <w:jc w:val="center"/>
              <w:rPr>
                <w:b/>
              </w:rPr>
            </w:pPr>
            <w:r>
              <w:rPr>
                <w:b/>
              </w:rPr>
              <w:t>Garantía del sistema</w:t>
            </w:r>
          </w:p>
        </w:tc>
      </w:tr>
      <w:tr w:rsidR="00C4384E" w14:paraId="54B42B5E" w14:textId="77777777">
        <w:tc>
          <w:tcPr>
            <w:tcW w:w="2409" w:type="dxa"/>
          </w:tcPr>
          <w:p w14:paraId="4BD23B32" w14:textId="77777777" w:rsidR="00C4384E" w:rsidDel="00A0730C" w:rsidRDefault="00AE1239">
            <w:pPr>
              <w:pStyle w:val="Text1"/>
              <w:spacing w:after="0"/>
              <w:ind w:left="0"/>
              <w:jc w:val="left"/>
            </w:pPr>
            <w:r>
              <w:t>Mínima</w:t>
            </w:r>
          </w:p>
        </w:tc>
        <w:tc>
          <w:tcPr>
            <w:tcW w:w="2409" w:type="dxa"/>
          </w:tcPr>
          <w:p w14:paraId="5B35D22B" w14:textId="77777777" w:rsidR="00C4384E" w:rsidDel="00A0730C" w:rsidRDefault="00AE1239">
            <w:pPr>
              <w:pStyle w:val="Text1"/>
              <w:spacing w:after="0"/>
              <w:ind w:left="0"/>
              <w:jc w:val="left"/>
            </w:pPr>
            <w:r>
              <w:t>1. Funciona bien</w:t>
            </w:r>
          </w:p>
        </w:tc>
        <w:tc>
          <w:tcPr>
            <w:tcW w:w="2409" w:type="dxa"/>
          </w:tcPr>
          <w:p w14:paraId="3ACC8FC4" w14:textId="33141B3D" w:rsidR="00C4384E" w:rsidDel="00A0730C" w:rsidRDefault="00AE1239">
            <w:pPr>
              <w:pStyle w:val="Text1"/>
              <w:spacing w:after="0"/>
              <w:ind w:left="0"/>
              <w:jc w:val="left"/>
            </w:pPr>
            <w:r>
              <w:t>Alta/Media alta</w:t>
            </w:r>
          </w:p>
        </w:tc>
      </w:tr>
      <w:tr w:rsidR="00C4384E" w14:paraId="185D1E5C" w14:textId="77777777">
        <w:tc>
          <w:tcPr>
            <w:tcW w:w="2409" w:type="dxa"/>
          </w:tcPr>
          <w:p w14:paraId="1EF094D6" w14:textId="77777777" w:rsidR="00C4384E" w:rsidDel="00A0730C" w:rsidRDefault="00AE1239">
            <w:pPr>
              <w:pStyle w:val="Text1"/>
              <w:spacing w:after="0"/>
              <w:ind w:left="0"/>
              <w:jc w:val="left"/>
            </w:pPr>
            <w:r>
              <w:t>Baja</w:t>
            </w:r>
          </w:p>
        </w:tc>
        <w:tc>
          <w:tcPr>
            <w:tcW w:w="2409" w:type="dxa"/>
          </w:tcPr>
          <w:p w14:paraId="0E8A877F" w14:textId="77777777" w:rsidR="00C4384E" w:rsidDel="00A0730C" w:rsidRDefault="00AE1239">
            <w:pPr>
              <w:pStyle w:val="Text1"/>
              <w:spacing w:after="0"/>
              <w:ind w:left="0"/>
              <w:jc w:val="left"/>
            </w:pPr>
            <w:r>
              <w:t>2. Funciona</w:t>
            </w:r>
          </w:p>
        </w:tc>
        <w:tc>
          <w:tcPr>
            <w:tcW w:w="2409" w:type="dxa"/>
          </w:tcPr>
          <w:p w14:paraId="737CDDFD" w14:textId="77777777" w:rsidR="00C4384E" w:rsidDel="00A0730C" w:rsidRDefault="00AE1239">
            <w:pPr>
              <w:pStyle w:val="Text1"/>
              <w:spacing w:after="0"/>
              <w:ind w:left="0"/>
              <w:jc w:val="left"/>
            </w:pPr>
            <w:r>
              <w:t>Media</w:t>
            </w:r>
          </w:p>
        </w:tc>
      </w:tr>
      <w:tr w:rsidR="00C4384E" w14:paraId="08AB4B92" w14:textId="77777777">
        <w:tc>
          <w:tcPr>
            <w:tcW w:w="2409" w:type="dxa"/>
          </w:tcPr>
          <w:p w14:paraId="4762752E" w14:textId="77777777" w:rsidR="00C4384E" w:rsidDel="00A0730C" w:rsidRDefault="00AE1239">
            <w:pPr>
              <w:pStyle w:val="Text1"/>
              <w:spacing w:after="0"/>
              <w:ind w:left="0"/>
              <w:jc w:val="left"/>
            </w:pPr>
            <w:r>
              <w:t>Moderada</w:t>
            </w:r>
          </w:p>
        </w:tc>
        <w:tc>
          <w:tcPr>
            <w:tcW w:w="2409" w:type="dxa"/>
          </w:tcPr>
          <w:p w14:paraId="273643AC" w14:textId="77777777" w:rsidR="00C4384E" w:rsidDel="00A0730C" w:rsidRDefault="00AE1239">
            <w:pPr>
              <w:pStyle w:val="Text1"/>
              <w:spacing w:after="0"/>
              <w:ind w:left="0"/>
              <w:jc w:val="left"/>
            </w:pPr>
            <w:r>
              <w:t>3. Funciona parcialmente</w:t>
            </w:r>
          </w:p>
        </w:tc>
        <w:tc>
          <w:tcPr>
            <w:tcW w:w="2409" w:type="dxa"/>
          </w:tcPr>
          <w:p w14:paraId="67CEEEC8" w14:textId="4CDDFFE9" w:rsidR="00C4384E" w:rsidDel="00A0730C" w:rsidRDefault="00AE1239">
            <w:pPr>
              <w:pStyle w:val="Text1"/>
              <w:spacing w:after="0"/>
              <w:ind w:left="0"/>
              <w:jc w:val="left"/>
            </w:pPr>
            <w:r>
              <w:t>Media baja</w:t>
            </w:r>
          </w:p>
        </w:tc>
      </w:tr>
      <w:tr w:rsidR="00C4384E" w14:paraId="65781582" w14:textId="77777777">
        <w:tc>
          <w:tcPr>
            <w:tcW w:w="2409" w:type="dxa"/>
          </w:tcPr>
          <w:p w14:paraId="2E7EDC82" w14:textId="77777777" w:rsidR="00C4384E" w:rsidDel="00A0730C" w:rsidRDefault="00AE1239">
            <w:pPr>
              <w:pStyle w:val="Text1"/>
              <w:spacing w:after="0"/>
              <w:ind w:left="0"/>
              <w:jc w:val="left"/>
            </w:pPr>
            <w:r>
              <w:t>Elevada</w:t>
            </w:r>
          </w:p>
        </w:tc>
        <w:tc>
          <w:tcPr>
            <w:tcW w:w="2409" w:type="dxa"/>
          </w:tcPr>
          <w:p w14:paraId="53DE311B" w14:textId="77777777" w:rsidR="00C4384E" w:rsidDel="00A0730C" w:rsidRDefault="00AE1239">
            <w:pPr>
              <w:pStyle w:val="Text1"/>
              <w:spacing w:after="0"/>
              <w:ind w:left="0"/>
              <w:jc w:val="left"/>
            </w:pPr>
            <w:r>
              <w:t>4. No funciona</w:t>
            </w:r>
            <w:r>
              <w:rPr>
                <w:rStyle w:val="FootnoteReference"/>
              </w:rPr>
              <w:footnoteReference w:id="24"/>
            </w:r>
          </w:p>
        </w:tc>
        <w:tc>
          <w:tcPr>
            <w:tcW w:w="2409" w:type="dxa"/>
          </w:tcPr>
          <w:p w14:paraId="0E0EB666" w14:textId="77777777" w:rsidR="00C4384E" w:rsidDel="00A0730C" w:rsidRDefault="00AE1239">
            <w:pPr>
              <w:pStyle w:val="Text1"/>
              <w:spacing w:after="0"/>
              <w:ind w:left="0"/>
              <w:jc w:val="left"/>
            </w:pPr>
            <w:r>
              <w:t>Baja</w:t>
            </w:r>
          </w:p>
        </w:tc>
      </w:tr>
    </w:tbl>
    <w:p w14:paraId="4ADE0DBE" w14:textId="77777777" w:rsidR="00C4384E" w:rsidRDefault="00C4384E">
      <w:pPr>
        <w:spacing w:after="120"/>
      </w:pPr>
    </w:p>
    <w:p w14:paraId="43C212FB" w14:textId="77777777" w:rsidR="00C4384E" w:rsidRDefault="00C4384E">
      <w:pPr>
        <w:spacing w:after="120"/>
      </w:pPr>
    </w:p>
    <w:p w14:paraId="075F02AD" w14:textId="77777777" w:rsidR="00C4384E" w:rsidRDefault="00C4384E">
      <w:pPr>
        <w:spacing w:after="120"/>
      </w:pPr>
    </w:p>
    <w:p w14:paraId="62F65201" w14:textId="77777777" w:rsidR="00C4384E" w:rsidRDefault="00C4384E">
      <w:pPr>
        <w:spacing w:after="120"/>
      </w:pPr>
    </w:p>
    <w:p w14:paraId="1EB4E22F" w14:textId="77777777" w:rsidR="00C4384E" w:rsidRDefault="00C4384E">
      <w:pPr>
        <w:spacing w:after="120"/>
      </w:pPr>
    </w:p>
    <w:p w14:paraId="1C55D52E" w14:textId="77777777" w:rsidR="00C4384E" w:rsidRDefault="00C4384E">
      <w:pPr>
        <w:spacing w:after="120"/>
      </w:pPr>
    </w:p>
    <w:p w14:paraId="23E010B7" w14:textId="77777777" w:rsidR="00C4384E" w:rsidRDefault="00C4384E">
      <w:pPr>
        <w:spacing w:after="120"/>
      </w:pPr>
    </w:p>
    <w:p w14:paraId="65EE0F80" w14:textId="60A79669" w:rsidR="00C4384E" w:rsidRDefault="00404820">
      <w:pPr>
        <w:spacing w:after="120"/>
      </w:pPr>
      <w:r>
        <w:t>La valoración global del sistema de control interno permite al OC determinar el nivel de garantía que debe obtenerse de las pruebas sustantivas.</w:t>
      </w:r>
    </w:p>
    <w:p w14:paraId="78D5853A" w14:textId="77777777" w:rsidR="00C4384E" w:rsidRDefault="002A39CF">
      <w:pPr>
        <w:pStyle w:val="Heading2"/>
      </w:pPr>
      <w:bookmarkStart w:id="54" w:name="_Toc16667636"/>
      <w:r>
        <w:lastRenderedPageBreak/>
        <w:t>11.2 Revisión de los procedimientos de control</w:t>
      </w:r>
      <w:bookmarkEnd w:id="54"/>
    </w:p>
    <w:p w14:paraId="3264F935" w14:textId="3B8C6AA2" w:rsidR="00C4384E" w:rsidRDefault="00F90345">
      <w:pPr>
        <w:spacing w:after="120"/>
      </w:pPr>
      <w:r>
        <w:t>En función de la fiabilidad de los procedimientos de control valorados en la etapa anterior, el OC debe planificar las pruebas de los procedimientos de control. Aunque el OC decida que el sistema de control interno no es fiable, y por tanto no prevea obtener ninguna garantía de esta valoración, debe llevar a cabo una parte del siguiente trabajo de revisión para identificar las deficiencias concretas y las medidas correctoras:</w:t>
      </w:r>
    </w:p>
    <w:p w14:paraId="66B938E6" w14:textId="78531B18" w:rsidR="00C4384E" w:rsidRDefault="00F90345">
      <w:pPr>
        <w:numPr>
          <w:ilvl w:val="0"/>
          <w:numId w:val="52"/>
        </w:numPr>
        <w:spacing w:after="120"/>
      </w:pPr>
      <w:r>
        <w:t>Obtener un conocimiento de los procedimientos y sistemas de control del OP.</w:t>
      </w:r>
    </w:p>
    <w:p w14:paraId="3119E237" w14:textId="26033CF1" w:rsidR="00C4384E" w:rsidRDefault="00F90345">
      <w:pPr>
        <w:numPr>
          <w:ilvl w:val="0"/>
          <w:numId w:val="52"/>
        </w:numPr>
        <w:spacing w:after="120"/>
      </w:pPr>
      <w:r>
        <w:t>Considerar las reservas precedentes en el IAA mediante el control de la ejecución de los planes de acción correspondientes del OP.</w:t>
      </w:r>
    </w:p>
    <w:p w14:paraId="490828AE" w14:textId="65459E13" w:rsidR="00C4384E" w:rsidRDefault="00F90345">
      <w:pPr>
        <w:numPr>
          <w:ilvl w:val="0"/>
          <w:numId w:val="52"/>
        </w:numPr>
        <w:spacing w:after="120"/>
      </w:pPr>
      <w:r>
        <w:t>Efectuar pruebas «de recorrido» de los procesos/procedimientos, incluidos los procesos informáticos para determinar las funcionalidades del sistema de control.</w:t>
      </w:r>
    </w:p>
    <w:p w14:paraId="590D66BD" w14:textId="3ACE2568" w:rsidR="00C4384E" w:rsidRDefault="00DE7D46">
      <w:pPr>
        <w:numPr>
          <w:ilvl w:val="0"/>
          <w:numId w:val="52"/>
        </w:numPr>
        <w:spacing w:after="120"/>
      </w:pPr>
      <w:r>
        <w:t>Identificar los problemas potenciales en el proceso/procedimiento y en los controles conexos.</w:t>
      </w:r>
    </w:p>
    <w:p w14:paraId="722B3E18" w14:textId="77777777" w:rsidR="00C4384E" w:rsidRDefault="00285E94">
      <w:pPr>
        <w:spacing w:after="120"/>
      </w:pPr>
      <w:r>
        <w:t xml:space="preserve">En el caso del procedimiento anterior, los controles fundamentales y auxiliares recogidos en las </w:t>
      </w:r>
      <w:r>
        <w:rPr>
          <w:i/>
        </w:rPr>
        <w:t>Directrices para calcular las correcciones financieras C(2015) 3675 - Lista de controles fundamentales y auxiliares</w:t>
      </w:r>
      <w:r>
        <w:t>, deben tenerse en cuenta como referencia para comparar los procesos y los controles del OP.</w:t>
      </w:r>
    </w:p>
    <w:p w14:paraId="7FFA0BF6" w14:textId="76D4277B" w:rsidR="00C4384E" w:rsidRDefault="00F90345">
      <w:pPr>
        <w:spacing w:after="120"/>
      </w:pPr>
      <w:r>
        <w:t>Estos procedimientos deberían permitir a los auditores determinar si:</w:t>
      </w:r>
    </w:p>
    <w:p w14:paraId="36A9D647" w14:textId="1851A45B" w:rsidR="00C4384E" w:rsidRDefault="00F90345">
      <w:pPr>
        <w:pStyle w:val="ListDash4"/>
        <w:numPr>
          <w:ilvl w:val="0"/>
          <w:numId w:val="22"/>
        </w:numPr>
        <w:spacing w:after="120"/>
      </w:pPr>
      <w:r>
        <w:t>las orientaciones escritas sobre la autorización de los pagos y el cómputo son exhaustivas y están actualizadas y disponibles para todo el personal;</w:t>
      </w:r>
    </w:p>
    <w:p w14:paraId="2C8E29A7" w14:textId="1628C101" w:rsidR="00C4384E" w:rsidRDefault="00F90345">
      <w:pPr>
        <w:pStyle w:val="ListDash4"/>
        <w:numPr>
          <w:ilvl w:val="0"/>
          <w:numId w:val="22"/>
        </w:numPr>
        <w:spacing w:after="120"/>
      </w:pPr>
      <w:r>
        <w:t>el sistema informático y los procedimientos correspondientes están bien concebidos y aplicados para satisfacer los requisitos de procedimiento (incluidos en la legislación nacional y de la UE);</w:t>
      </w:r>
    </w:p>
    <w:p w14:paraId="64E0A68F" w14:textId="77777777" w:rsidR="00C4384E" w:rsidRDefault="0033466F">
      <w:pPr>
        <w:pStyle w:val="ListDash4"/>
        <w:numPr>
          <w:ilvl w:val="0"/>
          <w:numId w:val="22"/>
        </w:numPr>
        <w:spacing w:after="120"/>
      </w:pPr>
      <w:r>
        <w:t>las tareas relacionadas con la autorización de los pagos están adecuadamente separadas (tal como exige la reglamentación del sector específico), definidas y sometidas a un control de supervisión;</w:t>
      </w:r>
    </w:p>
    <w:p w14:paraId="1962B350" w14:textId="77777777" w:rsidR="00C4384E" w:rsidRDefault="00285E94">
      <w:pPr>
        <w:pStyle w:val="ListDash4"/>
        <w:numPr>
          <w:ilvl w:val="0"/>
          <w:numId w:val="22"/>
        </w:numPr>
        <w:spacing w:after="120"/>
      </w:pPr>
      <w:r>
        <w:t>los controles del OP son conformes a los controles fundamentales y auxiliares definidos por la Comisión;</w:t>
      </w:r>
    </w:p>
    <w:p w14:paraId="7A85C519" w14:textId="77777777" w:rsidR="00C4384E" w:rsidRDefault="00F90345">
      <w:pPr>
        <w:pStyle w:val="ListDash4"/>
        <w:numPr>
          <w:ilvl w:val="0"/>
          <w:numId w:val="22"/>
        </w:numPr>
        <w:spacing w:after="120"/>
      </w:pPr>
      <w:r>
        <w:t>la formación y la rotación del personal son adecuadas;</w:t>
      </w:r>
    </w:p>
    <w:p w14:paraId="78E74365" w14:textId="77777777" w:rsidR="00C4384E" w:rsidRDefault="00F90345">
      <w:pPr>
        <w:pStyle w:val="ListDash4"/>
        <w:numPr>
          <w:ilvl w:val="0"/>
          <w:numId w:val="22"/>
        </w:numPr>
        <w:spacing w:after="120"/>
      </w:pPr>
      <w:r>
        <w:t>existen procedimientos adecuados para el control y el seguimiento de los órganos de dirección;</w:t>
      </w:r>
    </w:p>
    <w:p w14:paraId="5B116882" w14:textId="77777777" w:rsidR="00C4384E" w:rsidRDefault="00DE7D46">
      <w:pPr>
        <w:numPr>
          <w:ilvl w:val="0"/>
          <w:numId w:val="22"/>
        </w:numPr>
        <w:spacing w:after="120"/>
      </w:pPr>
      <w:r>
        <w:t>y se han adoptado medidas adecuadas en respuesta a las recomendaciones de mejora aceptadas por los OP como elemento necesario del proceso de autorización.</w:t>
      </w:r>
    </w:p>
    <w:p w14:paraId="45E335F1" w14:textId="02660F31" w:rsidR="00C4384E" w:rsidRDefault="00D664BA">
      <w:r>
        <w:t>El OC debe obtener evidencia de auditoría suficiente y adecuada de que los controles seleccionados para la prueba funcionan eficazmente y de la forma prevista a lo largo de todo el período para prevenir o detectar y corregir incorrecciones materiales con respecto a las afirmaciones. En general, el organismo de certificación debe ser capaz de concluir si el SCI está concebido de conformidad con los criterios de autorización, si funciona según lo previsto y si es eficaz para salvaguardar los intereses financieros de la Unión. Esto debe hacerse como parte de los procedimientos de auditoría tanto si el OC confía en el SCI como si no confía.</w:t>
      </w:r>
    </w:p>
    <w:p w14:paraId="38993BEA" w14:textId="5598DFC1" w:rsidR="00C4384E" w:rsidRDefault="00B1031D">
      <w:pPr>
        <w:spacing w:after="120"/>
      </w:pPr>
      <w:r>
        <w:t xml:space="preserve">Entre las técnicas antes mencionadas, las pruebas de auditoría de los sistemas informáticos desempeñan un papel fundamental ya que hoy en día la mayor parte de los </w:t>
      </w:r>
      <w:r>
        <w:lastRenderedPageBreak/>
        <w:t xml:space="preserve">procedimientos del OP se realizan a través de tecnologías de la información. Las tecnologías de la información permiten procesar los datos y transacciones de un modo coherente y mejoran la capacidad de supervisar el rendimiento de las actividades de control; asimismo posibilitan una separación eficaz de funciones, al implantar mecanismos de control del acceso en las aplicaciones, las bases de datos y los sistemas operativos. Por lo tanto, para poder confiar en los controles automatizados integrados en los sistemas informáticos, el OC puede llevar a cabo procedimientos de auditoría para determinar si se ha aplicado un control automatizado que pueda servir para comprobar la eficacia del funcionamiento de ese control. A tal fin, también se debe tener en cuenta la valoración y la comprobación de los controles informáticos generales, incluida la seguridad informática y los procedimientos de gestión del cambio. La planificación de las pruebas del sistema informático debe reflejarse adecuadamente en los procedimientos de auditoría del organismo de certificación. </w:t>
      </w:r>
    </w:p>
    <w:p w14:paraId="699C3FEB" w14:textId="77777777" w:rsidR="00C4384E" w:rsidRDefault="002A39CF">
      <w:pPr>
        <w:pStyle w:val="Heading3"/>
        <w:numPr>
          <w:ilvl w:val="0"/>
          <w:numId w:val="0"/>
        </w:numPr>
        <w:ind w:firstLine="720"/>
        <w:rPr>
          <w:rStyle w:val="Heading3Char"/>
        </w:rPr>
      </w:pPr>
      <w:bookmarkStart w:id="55" w:name="_Toc16667637"/>
      <w:r>
        <w:rPr>
          <w:rStyle w:val="Heading3Char"/>
        </w:rPr>
        <w:t>11.2.1 Revisión de los controles informáticos generales</w:t>
      </w:r>
      <w:bookmarkEnd w:id="55"/>
    </w:p>
    <w:p w14:paraId="2A4D1841" w14:textId="480F57D0" w:rsidR="00C4384E" w:rsidRDefault="008B11A9">
      <w:pPr>
        <w:spacing w:after="120"/>
      </w:pPr>
      <w:r>
        <w:t>Si el OP dispone de un certificado ISO 27001:2013, los OC pueden tenerlo en cuenta en sus pruebas del SCI y confiar en la ejecución del Sistema de Gestión de Seguridad de la Información (SGSI). Si el OP dispone de un certificado ISO 27001/BSI ISO 27001, y el ámbito del mismo abarca todas las tareas fundamentales del OP, no es necesario que el OC realice un trabajo de garantía suplementario en cuanto a la seguridad de los sistemas de información. Sin embargo, el OC puede decidir realizar algún trabajo de auditoría en caso de que tenga algunas dudas fundadas sobre el proceso de certificación o su calidad o en caso de que el certificado no abarque todas las tareas fundamentales/todos los organismos delegados.</w:t>
      </w:r>
    </w:p>
    <w:p w14:paraId="4B5CE22F" w14:textId="01BC03B6" w:rsidR="00C4384E" w:rsidRDefault="008B11A9">
      <w:pPr>
        <w:spacing w:after="120"/>
      </w:pPr>
      <w:r>
        <w:t>Si el OP no dispone de un certificado ISO, el OC debe cerciorarse de que los controles de la seguridad de la información en la norma de seguridad de la información elegida se cumplen, capítulo por capítulo. Este trabajo de auditoría puede ser realizado por el propio OC o a través de una empresa externa.</w:t>
      </w:r>
    </w:p>
    <w:p w14:paraId="455E1145" w14:textId="0432618F" w:rsidR="00C4384E" w:rsidRDefault="008B11A9">
      <w:pPr>
        <w:spacing w:after="120"/>
      </w:pPr>
      <w:r>
        <w:t>Los controles informáticos generales se aplican a todos los componentes, procesos y datos de los sistemas informáticos presentes en el entorno de una organización o de los sistemas.</w:t>
      </w:r>
      <w:r w:rsidR="00805BA2">
        <w:t xml:space="preserve"> </w:t>
      </w:r>
    </w:p>
    <w:p w14:paraId="44C968FF" w14:textId="77777777" w:rsidR="00C4384E" w:rsidRDefault="002A39CF">
      <w:pPr>
        <w:pStyle w:val="Heading3"/>
        <w:numPr>
          <w:ilvl w:val="0"/>
          <w:numId w:val="0"/>
        </w:numPr>
        <w:ind w:firstLine="720"/>
        <w:rPr>
          <w:rStyle w:val="Heading3Char"/>
        </w:rPr>
      </w:pPr>
      <w:bookmarkStart w:id="56" w:name="_Toc16667638"/>
      <w:r>
        <w:rPr>
          <w:rStyle w:val="Heading3Char"/>
        </w:rPr>
        <w:t>11.2.2 Revisión de los controles de aplicaciones informáticas</w:t>
      </w:r>
      <w:bookmarkEnd w:id="56"/>
    </w:p>
    <w:p w14:paraId="7DCDCBCF" w14:textId="00C434ED" w:rsidR="00C4384E" w:rsidRDefault="00B1031D">
      <w:pPr>
        <w:spacing w:after="120"/>
      </w:pPr>
      <w:r>
        <w:t>Cada organismo pagador posee numerosos sistemas informáticos y aplicaciones informáticas con controles integrados en los mismos. Algunos controles están automatizados (sin interferencia manual) y el OC puede estudiar la posibilidad de verificar los controles de la aplicación automatizada ya que, si funcionan conforme a lo esperado, ofrecen una elevada fiabilidad además de permitir un uso eficiente de los recursos de auditoría. Con el fin de confiar en los controles automatizados al nivel de aplicación, el OC puede llevar a cabo procedimientos de auditoría para determinar si se ha implantado un control automatizado.</w:t>
      </w:r>
      <w:r>
        <w:rPr>
          <w:i/>
        </w:rPr>
        <w:t xml:space="preserve"> </w:t>
      </w:r>
      <w:r>
        <w:t xml:space="preserve">Sin embargo, debido a limitaciones de tiempo, el OC no puede revisar todas las aplicaciones cada año y, por lo tanto, la selección de las aplicaciones que deben probarse tiene que basarse en una evaluación de riesgos. </w:t>
      </w:r>
    </w:p>
    <w:p w14:paraId="5B10C7D9" w14:textId="4B809A70" w:rsidR="00C4384E" w:rsidRDefault="008B11A9">
      <w:r>
        <w:lastRenderedPageBreak/>
        <w:t xml:space="preserve">Una vez seleccionada la aplicación informática, el OC debe determinar qué controles automatizados de las aplicaciones debe someter a prueba. La norma general consiste en someter a prueba los controles de aplicaciones que cubren la mayor parte de las afirmaciones de auditoría y de los problemas potenciales. Una vez seleccionados los controles automatizados de aplicación para comprobar y determinar que funcionan según lo previsto, el OC podrá estudiar la posibilidad de realizar una </w:t>
      </w:r>
      <w:r>
        <w:rPr>
          <w:b/>
          <w:bCs/>
        </w:rPr>
        <w:t>prueba única</w:t>
      </w:r>
      <w:r>
        <w:rPr>
          <w:rStyle w:val="FootnoteReference"/>
          <w:b/>
        </w:rPr>
        <w:footnoteReference w:id="25"/>
      </w:r>
      <w:r>
        <w:t xml:space="preserve"> de esos controles así como algunas otras pruebas para determinar que los controles siguen funcionando eficazmente. Tales pruebas podrían incluir una verificación de que:</w:t>
      </w:r>
    </w:p>
    <w:p w14:paraId="2DCFAF38" w14:textId="7DC42C00" w:rsidR="00C4384E" w:rsidRDefault="008B11A9">
      <w:pPr>
        <w:pStyle w:val="ListParagraph"/>
        <w:numPr>
          <w:ilvl w:val="0"/>
          <w:numId w:val="104"/>
        </w:numPr>
      </w:pPr>
      <w:r>
        <w:t>todos los datos de entrada son exactos, completos, autorizados y correctos;</w:t>
      </w:r>
    </w:p>
    <w:p w14:paraId="1381B397" w14:textId="69D8EE1D" w:rsidR="00C4384E" w:rsidRDefault="008B11A9">
      <w:pPr>
        <w:pStyle w:val="ListParagraph"/>
        <w:numPr>
          <w:ilvl w:val="0"/>
          <w:numId w:val="104"/>
        </w:numPr>
      </w:pPr>
      <w:r>
        <w:t>todos los datos se procesan según lo previsto;</w:t>
      </w:r>
    </w:p>
    <w:p w14:paraId="71D35CD4" w14:textId="4233C0F3" w:rsidR="00C4384E" w:rsidRDefault="008B11A9">
      <w:pPr>
        <w:pStyle w:val="ListParagraph"/>
        <w:numPr>
          <w:ilvl w:val="0"/>
          <w:numId w:val="104"/>
        </w:numPr>
      </w:pPr>
      <w:r>
        <w:t>todos los datos almacenados son exactos y completos;</w:t>
      </w:r>
    </w:p>
    <w:p w14:paraId="549D1AF7" w14:textId="567E1220" w:rsidR="00C4384E" w:rsidRDefault="008B11A9">
      <w:pPr>
        <w:pStyle w:val="ListParagraph"/>
        <w:numPr>
          <w:ilvl w:val="0"/>
          <w:numId w:val="104"/>
        </w:numPr>
      </w:pPr>
      <w:r>
        <w:t>todas las salidas son exactas y completas;</w:t>
      </w:r>
    </w:p>
    <w:p w14:paraId="2A204994" w14:textId="01D2B108" w:rsidR="00C4384E" w:rsidRDefault="008B11A9">
      <w:pPr>
        <w:pStyle w:val="ListParagraph"/>
        <w:numPr>
          <w:ilvl w:val="0"/>
          <w:numId w:val="104"/>
        </w:numPr>
      </w:pPr>
      <w:r>
        <w:t>se mantiene un registro para rastrear el proceso de datos desde su entrada hasta su almacenamiento, y hasta su salida final;</w:t>
      </w:r>
    </w:p>
    <w:p w14:paraId="33B3700F" w14:textId="0BBECD40" w:rsidR="00C4384E" w:rsidRDefault="008B11A9">
      <w:pPr>
        <w:pStyle w:val="ListParagraph"/>
        <w:numPr>
          <w:ilvl w:val="0"/>
          <w:numId w:val="104"/>
        </w:numPr>
      </w:pPr>
      <w:r>
        <w:t>el acceso a los datos está limitado en función de las necesidades de la empresa;</w:t>
      </w:r>
    </w:p>
    <w:p w14:paraId="05DEB942" w14:textId="233BC80B" w:rsidR="00C4384E" w:rsidRDefault="008B11A9">
      <w:pPr>
        <w:pStyle w:val="ListParagraph"/>
        <w:numPr>
          <w:ilvl w:val="0"/>
          <w:numId w:val="104"/>
        </w:numPr>
      </w:pPr>
      <w:r>
        <w:t>las funciones incompatibles dentro de una aplicación se impiden sistemáticamente.</w:t>
      </w:r>
      <w:r w:rsidR="00805BA2">
        <w:t xml:space="preserve"> </w:t>
      </w:r>
    </w:p>
    <w:p w14:paraId="4C75C93B" w14:textId="629478C7" w:rsidR="00C4384E" w:rsidRDefault="008B11A9">
      <w:r>
        <w:t>Los controles de aplicación conciernen a las transacciones y datos correspondientes a cada sistema de aplicación informatizado. Son específicos a cada aplicación informática individual. Es importante destacar que el grado de fiabilidad de los controles de aplicación depende directamente de la concepción y de la eficacia operativa de los controles informáticos generales. En otras palabras, si los controles informáticos generales no están implantados o no funcionan de forma eficaz, el organismo pagador no puede fiarse de sus controles de aplicación para gestionar los riesgos.</w:t>
      </w:r>
      <w:r w:rsidR="00805BA2">
        <w:t xml:space="preserve"> </w:t>
      </w:r>
    </w:p>
    <w:p w14:paraId="5DB5B55F" w14:textId="77777777" w:rsidR="00C4384E" w:rsidRDefault="00CA181B">
      <w:pPr>
        <w:rPr>
          <w:sz w:val="22"/>
        </w:rPr>
      </w:pPr>
      <w:r>
        <w:rPr>
          <w:sz w:val="22"/>
        </w:rPr>
        <w:t>Para las pruebas de los controles cruzados del SIGC y los controles automatizados/de aplicación, remítase a la metodología de auditoría relativa a los controles cruzados del SIGC y la integridad de los datos.</w:t>
      </w:r>
    </w:p>
    <w:p w14:paraId="1EFBEEA8" w14:textId="77777777" w:rsidR="00C4384E" w:rsidRDefault="002A39CF">
      <w:pPr>
        <w:spacing w:before="100" w:beforeAutospacing="1"/>
        <w:ind w:firstLine="720"/>
        <w:outlineLvl w:val="2"/>
      </w:pPr>
      <w:r>
        <w:rPr>
          <w:rStyle w:val="Heading3Char"/>
          <w:b/>
        </w:rPr>
        <w:t>11.2.3 Valoración de los procedimientos de control</w:t>
      </w:r>
    </w:p>
    <w:p w14:paraId="41FF6126" w14:textId="3BAC92A5" w:rsidR="00C4384E" w:rsidRDefault="00F90345">
      <w:pPr>
        <w:spacing w:after="120"/>
      </w:pPr>
      <w:r>
        <w:rPr>
          <w:b/>
        </w:rPr>
        <w:t>Resultado:</w:t>
      </w:r>
      <w:r>
        <w:t xml:space="preserve"> Una valoración de las desviaciones del sistema basada en las siguientes categorías:</w:t>
      </w:r>
    </w:p>
    <w:p w14:paraId="6682A02D" w14:textId="6330DC9D" w:rsidR="004C779D" w:rsidRDefault="004C779D">
      <w:pPr>
        <w:spacing w:after="120"/>
      </w:pPr>
    </w:p>
    <w:p w14:paraId="648C599C" w14:textId="77777777" w:rsidR="004C779D" w:rsidRDefault="004C779D">
      <w:pPr>
        <w:spacing w:after="120"/>
      </w:pP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4435"/>
      </w:tblGrid>
      <w:tr w:rsidR="00C4384E" w14:paraId="5539F902" w14:textId="77777777">
        <w:tc>
          <w:tcPr>
            <w:tcW w:w="3928" w:type="dxa"/>
            <w:shd w:val="clear" w:color="auto" w:fill="auto"/>
          </w:tcPr>
          <w:p w14:paraId="7D3EB888" w14:textId="77777777" w:rsidR="00C4384E" w:rsidRDefault="00F90345">
            <w:pPr>
              <w:pStyle w:val="Text1"/>
              <w:spacing w:after="0"/>
              <w:ind w:left="0"/>
              <w:jc w:val="center"/>
              <w:rPr>
                <w:b/>
              </w:rPr>
            </w:pPr>
            <w:r>
              <w:rPr>
                <w:b/>
              </w:rPr>
              <w:lastRenderedPageBreak/>
              <w:t>Valoración de los procedimientos de control</w:t>
            </w:r>
          </w:p>
        </w:tc>
        <w:tc>
          <w:tcPr>
            <w:tcW w:w="4435" w:type="dxa"/>
          </w:tcPr>
          <w:p w14:paraId="6A3A2F6B" w14:textId="77777777" w:rsidR="00C4384E" w:rsidRDefault="00F90345">
            <w:pPr>
              <w:pStyle w:val="Text1"/>
              <w:spacing w:after="0"/>
              <w:ind w:left="0"/>
              <w:jc w:val="center"/>
              <w:rPr>
                <w:b/>
              </w:rPr>
            </w:pPr>
            <w:r>
              <w:rPr>
                <w:b/>
              </w:rPr>
              <w:t>Valoración de las desviaciones</w:t>
            </w:r>
          </w:p>
        </w:tc>
      </w:tr>
      <w:tr w:rsidR="00C4384E" w14:paraId="7DBD9660" w14:textId="77777777">
        <w:tc>
          <w:tcPr>
            <w:tcW w:w="3928" w:type="dxa"/>
            <w:shd w:val="clear" w:color="auto" w:fill="auto"/>
          </w:tcPr>
          <w:p w14:paraId="2C12931A" w14:textId="77777777" w:rsidR="00C4384E" w:rsidRDefault="00F90345">
            <w:pPr>
              <w:pStyle w:val="Text1"/>
              <w:spacing w:after="0"/>
              <w:ind w:left="0"/>
              <w:jc w:val="left"/>
            </w:pPr>
            <w:r>
              <w:t>1. Funciona bien, solo se precisan pequeñas mejoras</w:t>
            </w:r>
          </w:p>
        </w:tc>
        <w:tc>
          <w:tcPr>
            <w:tcW w:w="4435" w:type="dxa"/>
          </w:tcPr>
          <w:p w14:paraId="5FA209F6" w14:textId="77777777" w:rsidR="00C4384E" w:rsidRDefault="005E1C17">
            <w:pPr>
              <w:pStyle w:val="Text1"/>
              <w:spacing w:after="0"/>
              <w:ind w:left="0"/>
            </w:pPr>
            <w:r>
              <w:t xml:space="preserve">Los controles abordan adecuadamente todos los riesgos y es probable que funcionen eficazmente. No se encontró ninguna excepción. </w:t>
            </w:r>
          </w:p>
          <w:p w14:paraId="4BE72685" w14:textId="7FBC1A3B" w:rsidR="00C4384E" w:rsidRDefault="00F90345">
            <w:pPr>
              <w:pStyle w:val="Text1"/>
              <w:spacing w:after="0"/>
              <w:ind w:left="0"/>
            </w:pPr>
            <w:r>
              <w:t>O solo se encontraron desviaciones menores (formales), que no afectaron considerablemente a la eficacia de los controles ni ocasionaron errores financieros.</w:t>
            </w:r>
          </w:p>
        </w:tc>
      </w:tr>
      <w:tr w:rsidR="00C4384E" w14:paraId="021ADADA" w14:textId="77777777">
        <w:tc>
          <w:tcPr>
            <w:tcW w:w="3928" w:type="dxa"/>
            <w:shd w:val="clear" w:color="auto" w:fill="auto"/>
          </w:tcPr>
          <w:p w14:paraId="6D3EEDD0" w14:textId="77777777" w:rsidR="00C4384E" w:rsidRDefault="00F90345">
            <w:pPr>
              <w:pStyle w:val="Text1"/>
              <w:spacing w:after="0"/>
              <w:ind w:left="0"/>
              <w:jc w:val="left"/>
            </w:pPr>
            <w:r>
              <w:t xml:space="preserve">2. Funciona, pero se precisan algunas mejoras </w:t>
            </w:r>
          </w:p>
        </w:tc>
        <w:tc>
          <w:tcPr>
            <w:tcW w:w="4435" w:type="dxa"/>
          </w:tcPr>
          <w:p w14:paraId="2AB1CD39" w14:textId="60BF35FE" w:rsidR="00C4384E" w:rsidRDefault="005E1C17">
            <w:pPr>
              <w:pStyle w:val="Text1"/>
              <w:spacing w:after="0"/>
              <w:ind w:left="0"/>
            </w:pPr>
            <w:r>
              <w:t>Los controles abordan adecuadamente todos los riesgos y es probable que funcionen eficazmente; presentan algunas deficiencias que tienen un impacto moderado sobre el funcionamiento de los requisitos claves. Solo se encontraron desviaciones menores, que no afectaron considerablemente a la eficacia de los controles. O si estas desviaciones menores afectaron considerablemente a la eficacia de los controles, los controles permanentes del OP las detectaron y el mecanismo de autocorrección del OP funcionó.</w:t>
            </w:r>
          </w:p>
        </w:tc>
      </w:tr>
      <w:tr w:rsidR="00C4384E" w14:paraId="3C25736B" w14:textId="77777777">
        <w:tc>
          <w:tcPr>
            <w:tcW w:w="3928" w:type="dxa"/>
            <w:shd w:val="clear" w:color="auto" w:fill="auto"/>
          </w:tcPr>
          <w:p w14:paraId="5B4A9A30" w14:textId="77777777" w:rsidR="00C4384E" w:rsidRDefault="00F90345">
            <w:pPr>
              <w:pStyle w:val="Text1"/>
              <w:spacing w:after="0"/>
              <w:ind w:left="0"/>
              <w:jc w:val="left"/>
            </w:pPr>
            <w:r>
              <w:t>3. Funciona parcialmente; se precisan mejoras considerables</w:t>
            </w:r>
          </w:p>
        </w:tc>
        <w:tc>
          <w:tcPr>
            <w:tcW w:w="4435" w:type="dxa"/>
          </w:tcPr>
          <w:p w14:paraId="53BAB102" w14:textId="464FA80D" w:rsidR="00C4384E" w:rsidRDefault="005E1C17">
            <w:pPr>
              <w:pStyle w:val="Text1"/>
              <w:spacing w:after="0"/>
              <w:ind w:left="0"/>
            </w:pPr>
            <w:r>
              <w:t>Los controles cubren todos los riesgos en cierta medida, aunque quizá no siempre funcionen como se pretende. se encontraron desviaciones moderadas, que afectaron considerablemente a la eficacia de los controles. Y solo una parte de esas desviaciones moderadas fue detectada por los controles permanentes del OP y corregida por el propio OP.</w:t>
            </w:r>
          </w:p>
        </w:tc>
      </w:tr>
      <w:tr w:rsidR="00C4384E" w14:paraId="4B1C2507" w14:textId="77777777">
        <w:tc>
          <w:tcPr>
            <w:tcW w:w="3928" w:type="dxa"/>
            <w:shd w:val="clear" w:color="auto" w:fill="auto"/>
          </w:tcPr>
          <w:p w14:paraId="03C9939C" w14:textId="77777777" w:rsidR="00C4384E" w:rsidRDefault="00F90345">
            <w:pPr>
              <w:pStyle w:val="Text1"/>
              <w:spacing w:after="0"/>
              <w:ind w:left="0"/>
              <w:jc w:val="left"/>
            </w:pPr>
            <w:r>
              <w:t>4. No funciona</w:t>
            </w:r>
          </w:p>
        </w:tc>
        <w:tc>
          <w:tcPr>
            <w:tcW w:w="4435" w:type="dxa"/>
          </w:tcPr>
          <w:p w14:paraId="673082F0" w14:textId="5EC75AB0" w:rsidR="00C4384E" w:rsidRDefault="00814961">
            <w:pPr>
              <w:pStyle w:val="Text1"/>
              <w:spacing w:after="0"/>
              <w:ind w:left="0"/>
            </w:pPr>
            <w:r>
              <w:t>Los controles no abordan todos los riesgos y/o es probable que fallen con frecuencia. El SCI funciona de forma deficiente o no funciona en absoluto. Las deficiencias son sistémicas y generalizadas. se encontraron desviaciones importantes que no fueron detectadas por el sistema de control interno del OP.</w:t>
            </w:r>
          </w:p>
        </w:tc>
      </w:tr>
    </w:tbl>
    <w:p w14:paraId="11C55058" w14:textId="77777777" w:rsidR="00C4384E" w:rsidRDefault="00C4384E">
      <w:pPr>
        <w:spacing w:after="120"/>
      </w:pPr>
    </w:p>
    <w:p w14:paraId="59A7E86E" w14:textId="77777777" w:rsidR="00C4384E" w:rsidRDefault="00F90345">
      <w:pPr>
        <w:spacing w:after="120"/>
      </w:pPr>
      <w:r>
        <w:t>Las desviaciones menores indican excepciones formales en los procedimientos aplicados en comparación con los procedimientos concebidos o en los procedimientos concebidos en comparación con los requisitos legales, lo que significa que los controles funcionan en la mayoría de los casos y previenen o detectan/corrigen los errores.</w:t>
      </w:r>
    </w:p>
    <w:p w14:paraId="198CA119" w14:textId="306EF8EE" w:rsidR="00C4384E" w:rsidRDefault="00F90345">
      <w:pPr>
        <w:spacing w:after="120"/>
      </w:pPr>
      <w:r>
        <w:t xml:space="preserve">Un porcentaje moderado/elevado de desviaciones ha de entenderse como una excepción en los procedimientos aplicados o concebidos, lo que significa que los controles fallaron a la hora de prevenir o detectar/corregir los errores. Esta circunstancia puede traducirse en errores financieros. </w:t>
      </w:r>
    </w:p>
    <w:p w14:paraId="430D0D74" w14:textId="77777777" w:rsidR="00C4384E" w:rsidRDefault="00C4384E">
      <w:pPr>
        <w:spacing w:after="0"/>
        <w:jc w:val="left"/>
      </w:pPr>
    </w:p>
    <w:p w14:paraId="66C9FF05" w14:textId="77777777" w:rsidR="00C4384E" w:rsidRDefault="002A39CF">
      <w:pPr>
        <w:pStyle w:val="Heading2"/>
      </w:pPr>
      <w:bookmarkStart w:id="57" w:name="_Toc16667639"/>
      <w:r>
        <w:t>11.3 Pruebas de cumplimiento (prueba de los controles)</w:t>
      </w:r>
      <w:bookmarkEnd w:id="57"/>
    </w:p>
    <w:p w14:paraId="6E494186" w14:textId="6EA16C56" w:rsidR="00C4384E" w:rsidRDefault="00F90345">
      <w:pPr>
        <w:spacing w:after="120"/>
      </w:pPr>
      <w:r>
        <w:t>Con el fin de emitir una opinión sobre la eficacia del sistema de control interno, el OC debe examinar los controles específicos, generalizados y de seguimiento integrados en el proceso o procesos analizados: sistemas, procedimientos, manuales. Las pruebas de cumplimiento se llevan a cabo para respaldar el nivel de riesgo de control valorado por los organismos de certificación. Las pruebas de controles deben comprobar la eficacia de un control utilizado por el OP para prevenir o detectar incorrecciones materiales. Al realizar las pruebas de cumplimiento, el OC examinará con respecto a las transacciones específicas seleccionadas si:</w:t>
      </w:r>
    </w:p>
    <w:p w14:paraId="0B63A24D" w14:textId="77777777" w:rsidR="00C4384E" w:rsidRDefault="00B31E1E">
      <w:pPr>
        <w:pStyle w:val="ListNumber1"/>
        <w:numPr>
          <w:ilvl w:val="0"/>
          <w:numId w:val="53"/>
        </w:numPr>
        <w:spacing w:after="120"/>
      </w:pPr>
      <w:r>
        <w:t>los controles necesarios están implantados y concebidos de conformidad con el marco jurídico;</w:t>
      </w:r>
    </w:p>
    <w:p w14:paraId="085617C0" w14:textId="41C61BFF" w:rsidR="00C4384E" w:rsidRDefault="00B31E1E">
      <w:pPr>
        <w:pStyle w:val="ListNumber1"/>
        <w:numPr>
          <w:ilvl w:val="0"/>
          <w:numId w:val="53"/>
        </w:numPr>
        <w:spacing w:after="120"/>
      </w:pPr>
      <w:r>
        <w:t>los controles necesarios funcionan según lo previsto y previenen/detectan y corrigen incorrecciones materiales con respecto a la afirmación.</w:t>
      </w:r>
    </w:p>
    <w:p w14:paraId="69D9E7EE" w14:textId="77777777" w:rsidR="00C4384E" w:rsidRDefault="00C4384E">
      <w:pPr>
        <w:tabs>
          <w:tab w:val="num" w:pos="1360"/>
        </w:tabs>
        <w:spacing w:after="120"/>
        <w:ind w:left="164" w:hanging="283"/>
      </w:pPr>
    </w:p>
    <w:p w14:paraId="67A384BA" w14:textId="77777777" w:rsidR="00C4384E" w:rsidRDefault="00F90345">
      <w:pPr>
        <w:tabs>
          <w:tab w:val="num" w:pos="1360"/>
        </w:tabs>
        <w:spacing w:after="120"/>
      </w:pPr>
      <w:r>
        <w:t>Los siguientes aspectos deben ser confirmados a través de las pruebas de cumplimiento:</w:t>
      </w:r>
    </w:p>
    <w:p w14:paraId="0727C9A9" w14:textId="77777777" w:rsidR="00C4384E" w:rsidRDefault="001828C0">
      <w:pPr>
        <w:tabs>
          <w:tab w:val="num" w:pos="1360"/>
        </w:tabs>
        <w:spacing w:after="120"/>
        <w:rPr>
          <w:u w:val="single"/>
        </w:rPr>
      </w:pPr>
      <w:r>
        <w:rPr>
          <w:u w:val="single"/>
        </w:rPr>
        <w:t>Legalidad y regularidad del gasto</w:t>
      </w:r>
      <w:r>
        <w:rPr>
          <w:rStyle w:val="FootnoteReference"/>
          <w:u w:val="single"/>
        </w:rPr>
        <w:footnoteReference w:id="26"/>
      </w:r>
      <w:r>
        <w:rPr>
          <w:u w:val="single"/>
        </w:rPr>
        <w:t>:</w:t>
      </w:r>
    </w:p>
    <w:p w14:paraId="1C701610" w14:textId="77777777" w:rsidR="00C4384E" w:rsidRDefault="001828C0">
      <w:pPr>
        <w:pStyle w:val="ListNumber1"/>
        <w:numPr>
          <w:ilvl w:val="0"/>
          <w:numId w:val="53"/>
        </w:numPr>
        <w:spacing w:after="120"/>
      </w:pPr>
      <w:r>
        <w:rPr>
          <w:b/>
        </w:rPr>
        <w:t>Subvencionabilidad de las transacciones:</w:t>
      </w:r>
      <w:r>
        <w:t xml:space="preserve"> el gasto ha sido determinado (validado y autorizado) de conformidad con las normas de subvencionabilidad aplicables, incluida la observancia de subvencionabilidad al nivel de los beneficiarios finales. </w:t>
      </w:r>
    </w:p>
    <w:p w14:paraId="130B2A19" w14:textId="77777777" w:rsidR="00C4384E" w:rsidRDefault="00AE1239">
      <w:pPr>
        <w:pStyle w:val="ListNumber1"/>
        <w:numPr>
          <w:ilvl w:val="0"/>
          <w:numId w:val="53"/>
        </w:numPr>
        <w:spacing w:after="120"/>
      </w:pPr>
      <w:r>
        <w:rPr>
          <w:b/>
        </w:rPr>
        <w:t>Realidad y medición:</w:t>
      </w:r>
      <w:r>
        <w:t xml:space="preserve"> las transacciones subyacentes existen y están correctamente determinadas.</w:t>
      </w:r>
    </w:p>
    <w:p w14:paraId="2E5AC318" w14:textId="2B13E5C5" w:rsidR="00C4384E" w:rsidRDefault="00B31E1E">
      <w:pPr>
        <w:pStyle w:val="ListNumber1"/>
        <w:numPr>
          <w:ilvl w:val="0"/>
          <w:numId w:val="53"/>
        </w:numPr>
        <w:spacing w:after="120"/>
      </w:pPr>
      <w:r>
        <w:rPr>
          <w:b/>
        </w:rPr>
        <w:t>Exactitud de los cálculos y de los pagos:</w:t>
      </w:r>
      <w:r>
        <w:t xml:space="preserve"> todos los cálculos se realizaron de acuerdo con las normas aplicables y se pagó el importe calculado.</w:t>
      </w:r>
      <w:r w:rsidR="00805BA2">
        <w:t xml:space="preserve"> </w:t>
      </w:r>
    </w:p>
    <w:p w14:paraId="6AFB4A88" w14:textId="77777777" w:rsidR="00C4384E" w:rsidRDefault="001828C0">
      <w:pPr>
        <w:pStyle w:val="ListNumber1"/>
        <w:numPr>
          <w:ilvl w:val="0"/>
          <w:numId w:val="53"/>
        </w:numPr>
        <w:spacing w:after="120"/>
      </w:pPr>
      <w:r>
        <w:rPr>
          <w:b/>
        </w:rPr>
        <w:t>Cumplimiento de otros requisitos reglamentarios:</w:t>
      </w:r>
      <w:r>
        <w:t xml:space="preserve"> se cumplen otros requisitos distintos de la subvencionabilidad.</w:t>
      </w:r>
    </w:p>
    <w:p w14:paraId="456722F1" w14:textId="3DE2F05A" w:rsidR="00C4384E" w:rsidRDefault="004747F8">
      <w:pPr>
        <w:tabs>
          <w:tab w:val="left" w:pos="2302"/>
        </w:tabs>
        <w:spacing w:after="120"/>
      </w:pPr>
      <w:r>
        <w:t xml:space="preserve">De hecho, deben identificarse los problemas potenciales que afectan a las afirmaciones </w:t>
      </w:r>
      <w:r w:rsidR="00805BA2">
        <w:t>anteriores,</w:t>
      </w:r>
      <w:r>
        <w:t xml:space="preserve"> así como los controles correspondientes que permiten mitigarlos. </w:t>
      </w:r>
    </w:p>
    <w:p w14:paraId="20B441CF" w14:textId="77777777" w:rsidR="00C4384E" w:rsidRDefault="004747F8">
      <w:pPr>
        <w:tabs>
          <w:tab w:val="left" w:pos="2302"/>
        </w:tabs>
        <w:spacing w:after="120"/>
      </w:pPr>
      <w:r>
        <w:t>Los problemas potenciales siguientes que podrían tener un efecto material en las afirmaciones pertinentes pueden tenerse en cuenta:</w:t>
      </w:r>
    </w:p>
    <w:p w14:paraId="3E4D55E6" w14:textId="682CF01C" w:rsidR="00C4384E" w:rsidRDefault="00674904">
      <w:pPr>
        <w:numPr>
          <w:ilvl w:val="1"/>
          <w:numId w:val="54"/>
        </w:numPr>
        <w:tabs>
          <w:tab w:val="left" w:pos="2302"/>
        </w:tabs>
        <w:spacing w:after="120"/>
      </w:pPr>
      <w:r>
        <w:t>existe una probabilidad de incorrección;</w:t>
      </w:r>
    </w:p>
    <w:p w14:paraId="37E53F22" w14:textId="1F044049" w:rsidR="00C4384E" w:rsidRDefault="00674904">
      <w:pPr>
        <w:numPr>
          <w:ilvl w:val="1"/>
          <w:numId w:val="54"/>
        </w:numPr>
        <w:tabs>
          <w:tab w:val="left" w:pos="2302"/>
        </w:tabs>
        <w:spacing w:after="120"/>
      </w:pPr>
      <w:r>
        <w:t>la incorrección potencial es de tal magnitud que podría dar lugar a una incorrección material.</w:t>
      </w:r>
    </w:p>
    <w:p w14:paraId="70B3C860" w14:textId="0122E965" w:rsidR="00C4384E" w:rsidRDefault="00674904">
      <w:pPr>
        <w:tabs>
          <w:tab w:val="left" w:pos="2302"/>
        </w:tabs>
        <w:spacing w:after="120"/>
      </w:pPr>
      <w:r>
        <w:t>A fin de identificar los controles pertinentes para la auditoría (sobre todo si el OC tiene previsto confiar en los controles), debe tenerse en cuenta lo siguiente:</w:t>
      </w:r>
    </w:p>
    <w:p w14:paraId="3C1B0097" w14:textId="33607600" w:rsidR="00C4384E" w:rsidRDefault="00674904">
      <w:pPr>
        <w:numPr>
          <w:ilvl w:val="1"/>
          <w:numId w:val="54"/>
        </w:numPr>
        <w:tabs>
          <w:tab w:val="left" w:pos="2302"/>
        </w:tabs>
        <w:spacing w:after="120"/>
      </w:pPr>
      <w:r>
        <w:lastRenderedPageBreak/>
        <w:t>los controles que mitiguen los riesgos importantes;</w:t>
      </w:r>
    </w:p>
    <w:p w14:paraId="72F2621D" w14:textId="169B9B38" w:rsidR="00C4384E" w:rsidRDefault="00674904">
      <w:pPr>
        <w:numPr>
          <w:ilvl w:val="1"/>
          <w:numId w:val="54"/>
        </w:numPr>
        <w:tabs>
          <w:tab w:val="left" w:pos="2302"/>
        </w:tabs>
        <w:spacing w:after="120"/>
      </w:pPr>
      <w:r>
        <w:t>los procesos muy automatizados y los controles de aplicación.</w:t>
      </w:r>
    </w:p>
    <w:p w14:paraId="57AAFAC1" w14:textId="77777777" w:rsidR="00C4384E" w:rsidRDefault="00C4384E">
      <w:pPr>
        <w:tabs>
          <w:tab w:val="left" w:pos="2302"/>
        </w:tabs>
        <w:spacing w:after="120"/>
        <w:ind w:left="1080"/>
      </w:pPr>
    </w:p>
    <w:p w14:paraId="5562A0A5" w14:textId="77777777" w:rsidR="00C4384E" w:rsidRDefault="004747F8">
      <w:pPr>
        <w:spacing w:after="120"/>
      </w:pPr>
      <w:r>
        <w:t xml:space="preserve">El OC debe tener en cuenta los diferentes tipos de controles en sus comprobaciones (véase la parte 3.3 del presente documento). </w:t>
      </w:r>
    </w:p>
    <w:p w14:paraId="43B9AE50" w14:textId="5DE1D999" w:rsidR="00C4384E" w:rsidRDefault="001828C0">
      <w:pPr>
        <w:rPr>
          <w:sz w:val="22"/>
          <w:szCs w:val="22"/>
        </w:rPr>
      </w:pPr>
      <w:r>
        <w:t>Para una parte del procedimiento de autorización (controles administrativos y sobre el terreno), estas pruebas pueden llevarse a cabo a través de un control de aplicación informática para el conjunto de las transacciones (por ejemplo, el sistema detecta solicitudes duplicadas). O, siempre que los controles informáticos generales sobre las actividades de mantenimiento, seguridad de la información y operaciones informáticas sean eficaces, el funcionamiento de un control de aplicación automatizado puede confirmarse mediante una comprobación del control de aplicación automatizado limitada a una transacción. En estos casos, se hará una prueba del control (prueba única) de un control de aplicación automatizado seleccionado en la aplicación informática. El OC debe explicar el método utilizado en su informe de certificación. Para las pruebas de los controles cruzados del SIGC y los controles automatizados/de aplicación, remítase a la metodología relativa a los controles cruzados del SIGC y la integridad de los datos (Ares(2017) 6225522 - 19.12.2017).</w:t>
      </w:r>
    </w:p>
    <w:p w14:paraId="4560FAC5" w14:textId="77777777" w:rsidR="00C4384E" w:rsidRDefault="00C454F7">
      <w:pPr>
        <w:spacing w:after="120"/>
      </w:pPr>
      <w:r>
        <w:t xml:space="preserve">La prueba del control dependerá del tipo y de la frecuencia del control (véase el cuadro incluido en la </w:t>
      </w:r>
      <w:r>
        <w:rPr>
          <w:b/>
          <w:bCs/>
        </w:rPr>
        <w:t>sección 5.3</w:t>
      </w:r>
      <w:r>
        <w:t>). Por ejemplo, la muestra sugerida en el caso de los controles diarios manuales o los controles efectuados muchas veces al día, cuando se esperan muy pocas excepciones o ninguna, es de 25 elementos.</w:t>
      </w:r>
    </w:p>
    <w:p w14:paraId="34812AE3" w14:textId="6BCF35CF" w:rsidR="00C4384E" w:rsidRDefault="00F90345">
      <w:pPr>
        <w:spacing w:after="120"/>
      </w:pPr>
      <w:r>
        <w:t xml:space="preserve">Aunque el objetivo de las pruebas de cumplimiento sea diferente del de las pruebas sustantivas, ambas podrán llevarse a cabo simultáneamente. La NIA 330 lo define como </w:t>
      </w:r>
      <w:r>
        <w:rPr>
          <w:b/>
          <w:bCs/>
        </w:rPr>
        <w:t>«prueba de doble propósito»</w:t>
      </w:r>
      <w:r>
        <w:t>. Cuando se utilice, el organismo de certificación debe basar la prueba de doble propósito en la valoración preliminar de la existencia de un riesgo aceptablemente bajo de que el índice de desviaciones observado en la población mediante los controles prescritos sea mayor que el índice máximo de desviaciones que el auditor está dispuesto a aceptar sin modificar el nivel de riesgo de control evaluado previsto</w:t>
      </w:r>
      <w:r>
        <w:rPr>
          <w:vertAlign w:val="superscript"/>
        </w:rPr>
        <w:footnoteReference w:id="27"/>
      </w:r>
      <w:r>
        <w:t xml:space="preserve">. Por ejemplo, el OC puede concebir y evaluar los resultados de una prueba para examinar una solicitud con el fin de determinar si ha sido aprobada y ofrecer evidencia sustantiva de auditoría de una transacción. Una prueba de doble propósito se concibe y evalúa teniendo en cuenta cada propósito de la misma por separado. Si bien se reconoce que esto podría constituir un uso eficiente de los recursos de auditoría, debe prestarse atención para analizar y documentar adecuadamente los resultados con el fin de distinguir claramente entre los diferentes objetivos de ambos tipos de pruebas. Todos los errores financieros encontrados en la prueba de doble propósito deben tenerse en cuenta como errores aleatorios en la extrapolación de los errores a las pruebas sustantivas, salvo si un error conocido se cuantifica a través de un trabajo adicional del OC. En el caso de </w:t>
      </w:r>
      <w:r>
        <w:lastRenderedPageBreak/>
        <w:t>las pruebas de cumplimiento y las pruebas sustantivas para la nueva verificación de los controles sobre el terreno, deben aplicarse pruebas de doble propósito.</w:t>
      </w:r>
    </w:p>
    <w:p w14:paraId="5A571FB4" w14:textId="77777777" w:rsidR="00C4384E" w:rsidRDefault="00C454F7">
      <w:pPr>
        <w:spacing w:after="120"/>
        <w:rPr>
          <w:b/>
        </w:rPr>
      </w:pPr>
      <w:r>
        <w:rPr>
          <w:b/>
        </w:rPr>
        <w:t>Rotación de controles:</w:t>
      </w:r>
    </w:p>
    <w:p w14:paraId="5B68230B" w14:textId="77777777" w:rsidR="00C4384E" w:rsidRDefault="00C454F7">
      <w:pPr>
        <w:spacing w:after="120"/>
      </w:pPr>
      <w:r>
        <w:t>El OC puede optar por una rotación de los controles o de la totalidad de las pruebas de controles de determinados regímenes o medidas en la población correspondiente. Puede hacerlo si se cumplen las condiciones siguientes:</w:t>
      </w:r>
    </w:p>
    <w:p w14:paraId="451530FE" w14:textId="77777777" w:rsidR="00C4384E" w:rsidRDefault="00C454F7">
      <w:pPr>
        <w:numPr>
          <w:ilvl w:val="0"/>
          <w:numId w:val="75"/>
        </w:numPr>
        <w:spacing w:after="120"/>
      </w:pPr>
      <w:r>
        <w:t>el SCI (período actual y anterior) ha funcionado eficazmente;</w:t>
      </w:r>
    </w:p>
    <w:p w14:paraId="59054B80" w14:textId="77777777" w:rsidR="00C4384E" w:rsidRDefault="00C454F7">
      <w:pPr>
        <w:numPr>
          <w:ilvl w:val="0"/>
          <w:numId w:val="75"/>
        </w:numPr>
        <w:spacing w:after="120"/>
      </w:pPr>
      <w:r>
        <w:t>el OC ha confirmado su conocimiento de los procesos/procedimientos y de los controles pertinentes en el período actual a través de pruebas de recorrido;</w:t>
      </w:r>
    </w:p>
    <w:p w14:paraId="3B2E556D" w14:textId="78134D61" w:rsidR="00C4384E" w:rsidRDefault="00C454F7">
      <w:pPr>
        <w:numPr>
          <w:ilvl w:val="0"/>
          <w:numId w:val="75"/>
        </w:numPr>
        <w:spacing w:after="120"/>
      </w:pPr>
      <w:r>
        <w:t>los procesos son rutinarios y no existen cambios importantes en el período actual;</w:t>
      </w:r>
    </w:p>
    <w:p w14:paraId="7B900DF6" w14:textId="01084252" w:rsidR="00C4384E" w:rsidRDefault="00C454F7">
      <w:pPr>
        <w:numPr>
          <w:ilvl w:val="0"/>
          <w:numId w:val="75"/>
        </w:numPr>
        <w:spacing w:after="120"/>
      </w:pPr>
      <w:r>
        <w:t>el período de rotación puede fijarse en tres años, pero en caso de un número elevado de diferentes regímenes/medidas en una población determinada, puede aumentarse a cinco años.</w:t>
      </w:r>
    </w:p>
    <w:p w14:paraId="60748EA0" w14:textId="012EE802" w:rsidR="00C4384E" w:rsidRDefault="004714B1">
      <w:pPr>
        <w:spacing w:after="120"/>
        <w:ind w:left="360"/>
      </w:pPr>
      <w:r>
        <w:t xml:space="preserve">Si el OC ha aplicado la rotación de las pruebas de control en años anteriores, la rotación de auditoría puede continuar durante la auditoría del ejercicio financiero de 2018. Se recomienda a los OC que reconsideren el plan de rotación en caso de que se produzcan cambios en el SCI del OP, así como en caso de que se apliquen nuevos regímenes/medidas y nuevas normas de subvencionabilidad. </w:t>
      </w:r>
    </w:p>
    <w:p w14:paraId="72907E7E" w14:textId="77777777" w:rsidR="00C4384E" w:rsidRDefault="00F90345">
      <w:pPr>
        <w:spacing w:after="120"/>
      </w:pPr>
      <w:r>
        <w:rPr>
          <w:b/>
        </w:rPr>
        <w:t>Resultado:</w:t>
      </w:r>
      <w:r>
        <w:t xml:space="preserve"> Una valoración de los errores detectados basada en las siguientes categorías:</w:t>
      </w:r>
    </w:p>
    <w:tbl>
      <w:tblPr>
        <w:tblW w:w="836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4435"/>
      </w:tblGrid>
      <w:tr w:rsidR="00C4384E" w14:paraId="580B1CFB" w14:textId="77777777">
        <w:tc>
          <w:tcPr>
            <w:tcW w:w="3928" w:type="dxa"/>
            <w:shd w:val="clear" w:color="auto" w:fill="auto"/>
          </w:tcPr>
          <w:p w14:paraId="2C5196F8" w14:textId="77777777" w:rsidR="00C4384E" w:rsidRDefault="00F90345">
            <w:pPr>
              <w:pStyle w:val="Text1"/>
              <w:spacing w:after="0"/>
              <w:ind w:left="0"/>
              <w:jc w:val="center"/>
              <w:rPr>
                <w:b/>
              </w:rPr>
            </w:pPr>
            <w:r>
              <w:rPr>
                <w:b/>
              </w:rPr>
              <w:t>Valoración de los procedimientos de control</w:t>
            </w:r>
          </w:p>
        </w:tc>
        <w:tc>
          <w:tcPr>
            <w:tcW w:w="4435" w:type="dxa"/>
          </w:tcPr>
          <w:p w14:paraId="511970D9" w14:textId="77777777" w:rsidR="00C4384E" w:rsidRDefault="00F90345">
            <w:pPr>
              <w:pStyle w:val="Text1"/>
              <w:spacing w:after="0"/>
              <w:ind w:left="0"/>
              <w:jc w:val="center"/>
              <w:rPr>
                <w:b/>
              </w:rPr>
            </w:pPr>
            <w:r>
              <w:rPr>
                <w:b/>
              </w:rPr>
              <w:t>Valoración de errores</w:t>
            </w:r>
          </w:p>
        </w:tc>
      </w:tr>
      <w:tr w:rsidR="00C4384E" w14:paraId="2792C55F" w14:textId="77777777">
        <w:tc>
          <w:tcPr>
            <w:tcW w:w="3928" w:type="dxa"/>
            <w:shd w:val="clear" w:color="auto" w:fill="auto"/>
          </w:tcPr>
          <w:p w14:paraId="3D63B575" w14:textId="77777777" w:rsidR="00C4384E" w:rsidRDefault="00F90345">
            <w:pPr>
              <w:pStyle w:val="Text1"/>
              <w:spacing w:after="0"/>
              <w:ind w:left="0"/>
              <w:jc w:val="left"/>
            </w:pPr>
            <w:r>
              <w:t>1. Funciona bien, solo se precisan pequeñas mejoras</w:t>
            </w:r>
          </w:p>
        </w:tc>
        <w:tc>
          <w:tcPr>
            <w:tcW w:w="4435" w:type="dxa"/>
          </w:tcPr>
          <w:p w14:paraId="31C32C99" w14:textId="0FB35999" w:rsidR="00C4384E" w:rsidRDefault="00F90345">
            <w:pPr>
              <w:pStyle w:val="Text1"/>
              <w:spacing w:after="0"/>
              <w:ind w:left="0"/>
            </w:pPr>
            <w:r>
              <w:t>No se encontraron excepciones/errores. O solo se encontraron excepciones/errores menores (formales o puntuales), que no afectaron considerablemente a la eficacia de los controles ni ocasionaron errores financieros.</w:t>
            </w:r>
          </w:p>
        </w:tc>
      </w:tr>
      <w:tr w:rsidR="00C4384E" w14:paraId="6188FB8E" w14:textId="77777777">
        <w:tc>
          <w:tcPr>
            <w:tcW w:w="3928" w:type="dxa"/>
            <w:shd w:val="clear" w:color="auto" w:fill="auto"/>
          </w:tcPr>
          <w:p w14:paraId="44AA948B" w14:textId="77777777" w:rsidR="00C4384E" w:rsidRDefault="00F90345">
            <w:pPr>
              <w:pStyle w:val="Text1"/>
              <w:spacing w:after="0"/>
              <w:ind w:left="0"/>
              <w:jc w:val="left"/>
            </w:pPr>
            <w:r>
              <w:t xml:space="preserve">2. Funciona, pero se precisan algunas mejoras </w:t>
            </w:r>
          </w:p>
        </w:tc>
        <w:tc>
          <w:tcPr>
            <w:tcW w:w="4435" w:type="dxa"/>
          </w:tcPr>
          <w:p w14:paraId="6B9C2D76" w14:textId="76F6942C" w:rsidR="00C4384E" w:rsidRDefault="00F90345">
            <w:pPr>
              <w:pStyle w:val="Text1"/>
              <w:spacing w:after="0"/>
              <w:ind w:left="0"/>
            </w:pPr>
            <w:r>
              <w:t>Solo se encontraron excepciones/errores menores, que no afectaron considerablemente a la eficacia de los controles. O si estas excepciones/errores menores afectaron considerablemente a la eficacia de los controles, los controles permanentes del OP las detectaron y el mecanismo de autocorrección del OP funcionó.</w:t>
            </w:r>
          </w:p>
        </w:tc>
      </w:tr>
      <w:tr w:rsidR="00C4384E" w14:paraId="1EAC004C" w14:textId="77777777">
        <w:tc>
          <w:tcPr>
            <w:tcW w:w="3928" w:type="dxa"/>
            <w:shd w:val="clear" w:color="auto" w:fill="auto"/>
          </w:tcPr>
          <w:p w14:paraId="5F2761CF" w14:textId="77777777" w:rsidR="00C4384E" w:rsidRDefault="00F90345">
            <w:pPr>
              <w:pStyle w:val="Text1"/>
              <w:spacing w:after="0"/>
              <w:ind w:left="0"/>
              <w:jc w:val="left"/>
            </w:pPr>
            <w:r>
              <w:t>3. Funciona parcialmente; se precisan mejoras considerables</w:t>
            </w:r>
          </w:p>
        </w:tc>
        <w:tc>
          <w:tcPr>
            <w:tcW w:w="4435" w:type="dxa"/>
          </w:tcPr>
          <w:p w14:paraId="4BC6A4C5" w14:textId="35AA1F52" w:rsidR="00C4384E" w:rsidRDefault="00F90345">
            <w:pPr>
              <w:pStyle w:val="Text1"/>
              <w:spacing w:after="0"/>
              <w:ind w:left="0"/>
            </w:pPr>
            <w:r>
              <w:t>Se encontraron excepciones/errores moderados, que afectaron considerablemente a la eficacia de los controles. Y solo una parte de esos errores moderados fue detectada por los controles permanentes del OP y corregida por el propio OP.</w:t>
            </w:r>
          </w:p>
        </w:tc>
      </w:tr>
      <w:tr w:rsidR="00C4384E" w14:paraId="7BB01F81" w14:textId="77777777">
        <w:tc>
          <w:tcPr>
            <w:tcW w:w="3928" w:type="dxa"/>
            <w:shd w:val="clear" w:color="auto" w:fill="auto"/>
          </w:tcPr>
          <w:p w14:paraId="47941835" w14:textId="77777777" w:rsidR="00C4384E" w:rsidRDefault="00F90345">
            <w:pPr>
              <w:pStyle w:val="Text1"/>
              <w:spacing w:after="0"/>
              <w:ind w:left="0"/>
              <w:jc w:val="left"/>
            </w:pPr>
            <w:r>
              <w:t>4. No funciona</w:t>
            </w:r>
          </w:p>
        </w:tc>
        <w:tc>
          <w:tcPr>
            <w:tcW w:w="4435" w:type="dxa"/>
          </w:tcPr>
          <w:p w14:paraId="177196BA" w14:textId="77777777" w:rsidR="00C4384E" w:rsidRDefault="00010C8F">
            <w:pPr>
              <w:pStyle w:val="Text1"/>
              <w:spacing w:after="0"/>
              <w:ind w:left="0"/>
            </w:pPr>
            <w:r>
              <w:t>Se encontraron porcentajes elevados de excepciones/errores que no fueron detectados por el sistema de control interno del OP.</w:t>
            </w:r>
          </w:p>
        </w:tc>
      </w:tr>
    </w:tbl>
    <w:p w14:paraId="2EB59213" w14:textId="77777777" w:rsidR="00C4384E" w:rsidRDefault="00C4384E">
      <w:pPr>
        <w:spacing w:after="120"/>
      </w:pPr>
    </w:p>
    <w:p w14:paraId="06B1A046" w14:textId="69025789" w:rsidR="00C4384E" w:rsidRDefault="00F90345">
      <w:pPr>
        <w:spacing w:after="120"/>
      </w:pPr>
      <w:r>
        <w:lastRenderedPageBreak/>
        <w:t>La definición de errores menores, moderados e importantes se corresponde con la definición de desviaciones menores, moderadas e importantes que figura en la sección</w:t>
      </w:r>
      <w:r w:rsidR="004C779D">
        <w:t> </w:t>
      </w:r>
      <w:r>
        <w:t>11.2.</w:t>
      </w:r>
    </w:p>
    <w:p w14:paraId="675E47D6" w14:textId="77777777" w:rsidR="00C4384E" w:rsidRDefault="00C4384E">
      <w:pPr>
        <w:spacing w:after="120"/>
      </w:pPr>
    </w:p>
    <w:p w14:paraId="26F6D59A" w14:textId="77777777" w:rsidR="00C4384E" w:rsidRDefault="002A39CF">
      <w:pPr>
        <w:pStyle w:val="Heading2"/>
      </w:pPr>
      <w:bookmarkStart w:id="58" w:name="_Toc16667640"/>
      <w:r>
        <w:t>11.4 Resultados de la valoración del sistema de control interno</w:t>
      </w:r>
      <w:bookmarkEnd w:id="58"/>
    </w:p>
    <w:p w14:paraId="666D4E42" w14:textId="07E24446" w:rsidR="00C4384E" w:rsidRDefault="00F90345">
      <w:pPr>
        <w:spacing w:after="120"/>
      </w:pPr>
      <w:r>
        <w:t>Tras las tres etapas antes mencionadas, el OC tendrá que llegar a una conclusión sobre la valoración de los procedimientos de control interno. El cuadro que figura a continuación representa un posible ejemplo para este ejercicio:</w:t>
      </w:r>
    </w:p>
    <w:tbl>
      <w:tblPr>
        <w:tblStyle w:val="TableGrid"/>
        <w:tblW w:w="9004" w:type="dxa"/>
        <w:tblLook w:val="00A0" w:firstRow="1" w:lastRow="0" w:firstColumn="1" w:lastColumn="0" w:noHBand="0" w:noVBand="0"/>
      </w:tblPr>
      <w:tblGrid>
        <w:gridCol w:w="1817"/>
        <w:gridCol w:w="1456"/>
        <w:gridCol w:w="2682"/>
        <w:gridCol w:w="1630"/>
        <w:gridCol w:w="1456"/>
      </w:tblGrid>
      <w:tr w:rsidR="00C4384E" w14:paraId="395ED44C" w14:textId="77777777" w:rsidTr="004C779D">
        <w:tc>
          <w:tcPr>
            <w:tcW w:w="1774" w:type="dxa"/>
          </w:tcPr>
          <w:p w14:paraId="0A60279A" w14:textId="77777777" w:rsidR="00C4384E" w:rsidRDefault="00F90345">
            <w:pPr>
              <w:spacing w:after="120"/>
              <w:rPr>
                <w:b/>
              </w:rPr>
            </w:pPr>
            <w:r>
              <w:rPr>
                <w:b/>
              </w:rPr>
              <w:t>Procedimiento de control</w:t>
            </w:r>
          </w:p>
        </w:tc>
        <w:tc>
          <w:tcPr>
            <w:tcW w:w="1595" w:type="dxa"/>
          </w:tcPr>
          <w:p w14:paraId="25DBE875" w14:textId="77777777" w:rsidR="00C4384E" w:rsidRDefault="00F90345">
            <w:pPr>
              <w:spacing w:after="120"/>
              <w:rPr>
                <w:b/>
              </w:rPr>
            </w:pPr>
            <w:r>
              <w:rPr>
                <w:b/>
              </w:rPr>
              <w:t>Valoración inicial (3.1)</w:t>
            </w:r>
          </w:p>
        </w:tc>
        <w:tc>
          <w:tcPr>
            <w:tcW w:w="2618" w:type="dxa"/>
          </w:tcPr>
          <w:p w14:paraId="00719C1C" w14:textId="77777777" w:rsidR="00C4384E" w:rsidRDefault="00F90345">
            <w:pPr>
              <w:spacing w:after="120"/>
              <w:rPr>
                <w:b/>
              </w:rPr>
            </w:pPr>
            <w:r>
              <w:rPr>
                <w:b/>
              </w:rPr>
              <w:t>Resultado de la revisión de los procedimientos (3.2)</w:t>
            </w:r>
          </w:p>
        </w:tc>
        <w:tc>
          <w:tcPr>
            <w:tcW w:w="1593" w:type="dxa"/>
          </w:tcPr>
          <w:p w14:paraId="217E9C37" w14:textId="77777777" w:rsidR="00C4384E" w:rsidRDefault="00F90345">
            <w:pPr>
              <w:spacing w:after="120"/>
              <w:rPr>
                <w:b/>
              </w:rPr>
            </w:pPr>
            <w:r>
              <w:rPr>
                <w:b/>
              </w:rPr>
              <w:t>Resultados de las pruebas de cumplimiento (3.3)</w:t>
            </w:r>
          </w:p>
        </w:tc>
        <w:tc>
          <w:tcPr>
            <w:tcW w:w="1424" w:type="dxa"/>
          </w:tcPr>
          <w:p w14:paraId="113BACBF" w14:textId="77777777" w:rsidR="00C4384E" w:rsidRDefault="00F90345">
            <w:pPr>
              <w:spacing w:after="120"/>
              <w:rPr>
                <w:b/>
              </w:rPr>
            </w:pPr>
            <w:r>
              <w:rPr>
                <w:b/>
              </w:rPr>
              <w:t>Valoración final</w:t>
            </w:r>
          </w:p>
        </w:tc>
      </w:tr>
      <w:tr w:rsidR="00C4384E" w14:paraId="4A30F2EA" w14:textId="77777777" w:rsidTr="004C779D">
        <w:tc>
          <w:tcPr>
            <w:tcW w:w="1774" w:type="dxa"/>
          </w:tcPr>
          <w:p w14:paraId="06032C96" w14:textId="77777777" w:rsidR="00C4384E" w:rsidRDefault="001828C0">
            <w:pPr>
              <w:spacing w:after="120"/>
              <w:rPr>
                <w:b/>
              </w:rPr>
            </w:pPr>
            <w:r>
              <w:rPr>
                <w:b/>
              </w:rPr>
              <w:t>Autorización de pago – controles administrativos</w:t>
            </w:r>
          </w:p>
        </w:tc>
        <w:tc>
          <w:tcPr>
            <w:tcW w:w="1595" w:type="dxa"/>
          </w:tcPr>
          <w:p w14:paraId="11E9148E" w14:textId="165AAA82" w:rsidR="00C4384E" w:rsidRDefault="00F90345" w:rsidP="004C779D">
            <w:pPr>
              <w:spacing w:after="120"/>
            </w:pPr>
            <w:r>
              <w:t>Funciona bien</w:t>
            </w:r>
          </w:p>
        </w:tc>
        <w:tc>
          <w:tcPr>
            <w:tcW w:w="2618" w:type="dxa"/>
          </w:tcPr>
          <w:p w14:paraId="35C64F52" w14:textId="00096DF5" w:rsidR="00C4384E" w:rsidRDefault="00826AFD">
            <w:pPr>
              <w:spacing w:after="120"/>
            </w:pPr>
            <w:r>
              <w:t>Se encontraron excepciones/desviaciones menores, el procedimiento de control del OP las detectó</w:t>
            </w:r>
          </w:p>
        </w:tc>
        <w:tc>
          <w:tcPr>
            <w:tcW w:w="1593" w:type="dxa"/>
          </w:tcPr>
          <w:p w14:paraId="13DDDE6C" w14:textId="77777777" w:rsidR="00C4384E" w:rsidRDefault="00F90345">
            <w:pPr>
              <w:spacing w:after="120"/>
            </w:pPr>
            <w:r>
              <w:t>No se encontró ningún error.</w:t>
            </w:r>
          </w:p>
        </w:tc>
        <w:tc>
          <w:tcPr>
            <w:tcW w:w="1424" w:type="dxa"/>
          </w:tcPr>
          <w:p w14:paraId="41AAA2B6" w14:textId="77777777" w:rsidR="00C4384E" w:rsidRDefault="00F90345">
            <w:pPr>
              <w:spacing w:after="120"/>
            </w:pPr>
            <w:r>
              <w:t>Funciona</w:t>
            </w:r>
          </w:p>
        </w:tc>
      </w:tr>
      <w:tr w:rsidR="00C4384E" w14:paraId="1C5CF2A8" w14:textId="77777777" w:rsidTr="004C779D">
        <w:tc>
          <w:tcPr>
            <w:tcW w:w="1774" w:type="dxa"/>
          </w:tcPr>
          <w:p w14:paraId="52E3C9D5" w14:textId="77777777" w:rsidR="00C4384E" w:rsidRDefault="001828C0">
            <w:pPr>
              <w:spacing w:after="120"/>
              <w:rPr>
                <w:b/>
              </w:rPr>
            </w:pPr>
            <w:r>
              <w:rPr>
                <w:b/>
              </w:rPr>
              <w:t>Autorización de pago – controles sobre el terreno</w:t>
            </w:r>
          </w:p>
        </w:tc>
        <w:tc>
          <w:tcPr>
            <w:tcW w:w="1595" w:type="dxa"/>
          </w:tcPr>
          <w:p w14:paraId="07C2CD85" w14:textId="77777777" w:rsidR="00C4384E" w:rsidRDefault="00F90345">
            <w:pPr>
              <w:spacing w:after="120"/>
            </w:pPr>
            <w:r>
              <w:t>Funciona parcialmente</w:t>
            </w:r>
          </w:p>
        </w:tc>
        <w:tc>
          <w:tcPr>
            <w:tcW w:w="2618" w:type="dxa"/>
          </w:tcPr>
          <w:p w14:paraId="57531253" w14:textId="0E3DBE3D" w:rsidR="00C4384E" w:rsidRDefault="00F90345">
            <w:pPr>
              <w:spacing w:after="120"/>
            </w:pPr>
            <w:r>
              <w:t>Se encontraron excepciones/desviaciones moderadas, el procedimiento de control del OP las detectó</w:t>
            </w:r>
          </w:p>
        </w:tc>
        <w:tc>
          <w:tcPr>
            <w:tcW w:w="1593" w:type="dxa"/>
          </w:tcPr>
          <w:p w14:paraId="28F2DE09" w14:textId="0CAA13D5" w:rsidR="00C4384E" w:rsidRDefault="00F90345">
            <w:pPr>
              <w:spacing w:after="120"/>
            </w:pPr>
            <w:r>
              <w:t>Se encontraron errores moderados, solo algunos de ellos fueron detectados por los controles del OP</w:t>
            </w:r>
          </w:p>
        </w:tc>
        <w:tc>
          <w:tcPr>
            <w:tcW w:w="1424" w:type="dxa"/>
          </w:tcPr>
          <w:p w14:paraId="083CB79F" w14:textId="77777777" w:rsidR="00C4384E" w:rsidRDefault="00F90345">
            <w:pPr>
              <w:spacing w:after="120"/>
            </w:pPr>
            <w:r>
              <w:t>Funciona parcialmente</w:t>
            </w:r>
          </w:p>
        </w:tc>
      </w:tr>
    </w:tbl>
    <w:p w14:paraId="34D5CABC" w14:textId="77777777" w:rsidR="00C4384E" w:rsidRDefault="00C4384E">
      <w:pPr>
        <w:spacing w:after="120"/>
      </w:pPr>
    </w:p>
    <w:p w14:paraId="08CF4E84" w14:textId="12E079F2" w:rsidR="00C4384E" w:rsidRDefault="00F90345">
      <w:pPr>
        <w:spacing w:after="120"/>
      </w:pPr>
      <w:r>
        <w:t>La valoración final debe ajustarse siempre a la peor valoración del resultado de la revisión de los procedimientos de control (</w:t>
      </w:r>
      <w:r w:rsidR="00805BA2">
        <w:t>sección 11.2</w:t>
      </w:r>
      <w:r>
        <w:t>) y del resultado de las pruebas de cumplimiento (sección 11.3).</w:t>
      </w:r>
    </w:p>
    <w:p w14:paraId="1403C49E" w14:textId="77777777" w:rsidR="00C4384E" w:rsidRDefault="00F90345">
      <w:r>
        <w:t>En esta fase, el OC debe decidir si los parámetros de las pruebas sustantivas deben ajustarse debido a las desviaciones y errores importantes encontrados en la prueba de los procedimientos de control interno.</w:t>
      </w:r>
    </w:p>
    <w:p w14:paraId="6F9AB0BF" w14:textId="77777777" w:rsidR="00C4384E" w:rsidRDefault="00C4384E">
      <w:pPr>
        <w:spacing w:after="120"/>
      </w:pPr>
    </w:p>
    <w:p w14:paraId="1C7B76F1" w14:textId="77777777" w:rsidR="00C4384E" w:rsidRDefault="002455E9">
      <w:pPr>
        <w:pStyle w:val="Heading1"/>
        <w:numPr>
          <w:ilvl w:val="0"/>
          <w:numId w:val="74"/>
        </w:numPr>
      </w:pPr>
      <w:bookmarkStart w:id="59" w:name="_Toc16667641"/>
      <w:r>
        <w:t>Pruebas sustantivas</w:t>
      </w:r>
      <w:bookmarkEnd w:id="59"/>
    </w:p>
    <w:p w14:paraId="478EB03A" w14:textId="77777777" w:rsidR="00C4384E" w:rsidRDefault="007B6F5A">
      <w:pPr>
        <w:pStyle w:val="Heading2"/>
      </w:pPr>
      <w:bookmarkStart w:id="60" w:name="_Toc16667642"/>
      <w:r>
        <w:t>12.1 Objetivo de las pruebas sustantivas</w:t>
      </w:r>
      <w:bookmarkEnd w:id="60"/>
    </w:p>
    <w:p w14:paraId="480B6F25" w14:textId="07503506" w:rsidR="00C4384E" w:rsidRDefault="002455E9">
      <w:pPr>
        <w:spacing w:after="120"/>
      </w:pPr>
      <w:r>
        <w:t xml:space="preserve">Los procedimientos de auditoría para la validación de la legalidad y regularidad del gasto deben incluir </w:t>
      </w:r>
      <w:r>
        <w:rPr>
          <w:b/>
          <w:bCs/>
        </w:rPr>
        <w:t>procedimientos sustantivos de auditoría</w:t>
      </w:r>
      <w:r>
        <w:t>:</w:t>
      </w:r>
      <w:r>
        <w:rPr>
          <w:b/>
        </w:rPr>
        <w:t xml:space="preserve"> </w:t>
      </w:r>
      <w:r>
        <w:t>una prueba de detalle y procedimientos analíticos. Los procedimientos analíticos se explican en la sección 13 - Conciliación.</w:t>
      </w:r>
    </w:p>
    <w:p w14:paraId="79B3C29E" w14:textId="71E1C7FB" w:rsidR="00C4384E" w:rsidRDefault="00203155">
      <w:pPr>
        <w:spacing w:after="120"/>
        <w:rPr>
          <w:b/>
        </w:rPr>
      </w:pPr>
      <w:r>
        <w:rPr>
          <w:b/>
        </w:rPr>
        <w:lastRenderedPageBreak/>
        <w:t>Para las poblaciones FEAGA/Feader SIGC: la prueba de detalle en lo que atañe a la legalidad y la regularidad debe centrarse en elementos (transacciones operativas) que fueron objeto de un control sobre el terreno aleatorio y están incluidos en los datos de control y/o los resultados del control y que fueron pagados (y por tanto incluidos también en los estados financieros). Para las poblaciones FEAGA/Feader no SIGC: la prueba de detalle en lo que atañe a la legalidad y la regularidad debe centrarse en elementos (transacciones operativas) que están incluidos en los datos de control del OP (relativos al ejercicio financiero auditado) y que fueron pagados (y por tanto incluidos también en los estados financieros).</w:t>
      </w:r>
    </w:p>
    <w:p w14:paraId="003E21FC" w14:textId="7DC1CE75" w:rsidR="00C4384E" w:rsidRDefault="00366BB1">
      <w:pPr>
        <w:spacing w:after="120"/>
      </w:pPr>
      <w:r>
        <w:t xml:space="preserve">Las pruebas sustantivas de </w:t>
      </w:r>
      <w:r>
        <w:rPr>
          <w:b/>
          <w:bCs/>
        </w:rPr>
        <w:t>las transacciones operativas</w:t>
      </w:r>
      <w:r>
        <w:t xml:space="preserve"> deben abarcar el procedimiento para la autorización de los pagos hasta la inclusión de los resultados de los controles en los datos de control del OP y, en el caso del FEAGA/Feader SIGC, en las estadísticas de control/informe de control. Deben incluir la verificación de que (lista no exhaustiva): </w:t>
      </w:r>
    </w:p>
    <w:p w14:paraId="6AAA7A50" w14:textId="29011E63" w:rsidR="00C4384E" w:rsidRDefault="00366BB1">
      <w:pPr>
        <w:numPr>
          <w:ilvl w:val="0"/>
          <w:numId w:val="58"/>
        </w:numPr>
        <w:spacing w:after="120"/>
      </w:pPr>
      <w:r>
        <w:t>la recepción, el registro de las solicitudes y los controles administrativos funcionaron de manera eficaz: las solicitudes se han procesado de acuerdo con los procedimientos existentes (verificación de la subvencionabilidad de la solicitud y de las condiciones que deben cumplirse para efectuar los pagos, incluida, cuando proceda, la existencia de compromisos, la existencia de activos físicos</w:t>
      </w:r>
      <w:r>
        <w:rPr>
          <w:rStyle w:val="FootnoteReference"/>
        </w:rPr>
        <w:footnoteReference w:id="28"/>
      </w:r>
      <w:r>
        <w:t>);</w:t>
      </w:r>
    </w:p>
    <w:p w14:paraId="292350FE" w14:textId="74D0CD4F" w:rsidR="00C4384E" w:rsidRDefault="00366BB1">
      <w:pPr>
        <w:numPr>
          <w:ilvl w:val="0"/>
          <w:numId w:val="58"/>
        </w:numPr>
        <w:spacing w:after="120"/>
      </w:pPr>
      <w:r>
        <w:t>los datos han sido correctamente registrados y procesados completamente para su autorización;</w:t>
      </w:r>
    </w:p>
    <w:p w14:paraId="4AE6E0C9" w14:textId="75BEBD07" w:rsidR="00C4384E" w:rsidRDefault="00366BB1">
      <w:pPr>
        <w:numPr>
          <w:ilvl w:val="0"/>
          <w:numId w:val="58"/>
        </w:numPr>
        <w:spacing w:after="120"/>
      </w:pPr>
      <w:r>
        <w:t>los controles (cruzados) administrativos fueron exhaustivos y funcionaron de manera adecuada;</w:t>
      </w:r>
    </w:p>
    <w:p w14:paraId="164A67EC" w14:textId="48B6BBD5" w:rsidR="00C4384E" w:rsidRDefault="00366BB1">
      <w:pPr>
        <w:numPr>
          <w:ilvl w:val="0"/>
          <w:numId w:val="58"/>
        </w:numPr>
        <w:spacing w:after="120"/>
      </w:pPr>
      <w:r>
        <w:t>los resultados de los controles sobre el terreno fueron correctamente procesados y adecuadamente establecidos;</w:t>
      </w:r>
    </w:p>
    <w:p w14:paraId="3F818799" w14:textId="224FCED7" w:rsidR="00C4384E" w:rsidRDefault="00366BB1">
      <w:pPr>
        <w:numPr>
          <w:ilvl w:val="0"/>
          <w:numId w:val="58"/>
        </w:numPr>
        <w:spacing w:after="120"/>
      </w:pPr>
      <w:r>
        <w:t>el importe pagable fue calculado correctamente, teniendo en cuenta los resultados de los controles administrativos, los controles sobre el terreno</w:t>
      </w:r>
      <w:r>
        <w:rPr>
          <w:rStyle w:val="FootnoteReference"/>
        </w:rPr>
        <w:footnoteReference w:id="29"/>
      </w:r>
      <w:r>
        <w:t xml:space="preserve"> y las reducciones, exclusiones y penalizaciones resultantes;</w:t>
      </w:r>
    </w:p>
    <w:p w14:paraId="673BE1A1" w14:textId="680B05E9" w:rsidR="00C4384E" w:rsidRDefault="00366BB1">
      <w:pPr>
        <w:numPr>
          <w:ilvl w:val="0"/>
          <w:numId w:val="58"/>
        </w:numPr>
        <w:spacing w:after="120"/>
      </w:pPr>
      <w:r>
        <w:t xml:space="preserve">Los datos de control y los resultados correctos han sido incluidos en el sistema del OP y en el caso del FEAGA/Feader SIGC en las estadísticas de control presentadas a la Comisión. </w:t>
      </w:r>
    </w:p>
    <w:p w14:paraId="7F4BD0A6" w14:textId="77777777" w:rsidR="00C4384E" w:rsidRDefault="00366BB1">
      <w:pPr>
        <w:spacing w:after="120"/>
      </w:pPr>
      <w:r>
        <w:t xml:space="preserve">Cuando proceda, estas pruebas podrán consistir en una evaluación y pruebas de controles integrados en los sistemas de información asociados al proceso. Por lo tanto, para la nueva verificación de los controles administrativos en el marco del SIGC como parte de </w:t>
      </w:r>
      <w:r>
        <w:lastRenderedPageBreak/>
        <w:t>las pruebas sustantivas, el OC podría utilizar la metodología de auditoría sobre los controles cruzados del SIGC y la integridad de los datos.</w:t>
      </w:r>
    </w:p>
    <w:p w14:paraId="1A90777A" w14:textId="09D8C2C3" w:rsidR="00C4384E" w:rsidRDefault="001378F2">
      <w:pPr>
        <w:spacing w:after="120"/>
      </w:pPr>
      <w:r>
        <w:t xml:space="preserve">Los controles administrativos y sobre el terreno efectuados por el OP deben determinar el cumplimiento de todos los criterios de admisibilidad, compromisos, otras obligaciones, etc. Por consiguiente, el OC debe verificar de nuevo todos los controles efectuados por el OP (o los que debería haber efectuado el OP) sobre las transacciones seleccionadas. Por ejemplo, en el caso de los regímenes o medidas basados en la superficie, la nueva verificación del OC de los controles sobre el terreno del OP no debe limitarse únicamente a una nueva medición, sino que debería abarcar otros controles sobre compromisos, actividades, etc. </w:t>
      </w:r>
    </w:p>
    <w:p w14:paraId="334450DF" w14:textId="77777777" w:rsidR="00C4384E" w:rsidRDefault="007B6F5A">
      <w:pPr>
        <w:pStyle w:val="Heading2"/>
      </w:pPr>
      <w:bookmarkStart w:id="61" w:name="_Toc16667643"/>
      <w:r>
        <w:t>12.2 Conceptos generales</w:t>
      </w:r>
      <w:bookmarkEnd w:id="61"/>
    </w:p>
    <w:p w14:paraId="5EDF54C6" w14:textId="77777777" w:rsidR="00C4384E" w:rsidRDefault="002455E9">
      <w:pPr>
        <w:rPr>
          <w:b/>
        </w:rPr>
      </w:pPr>
      <w:r>
        <w:rPr>
          <w:b/>
        </w:rPr>
        <w:t>Población/Estratificación</w:t>
      </w:r>
    </w:p>
    <w:p w14:paraId="38C420FF" w14:textId="58BDDB1B" w:rsidR="00C4384E" w:rsidRDefault="00195902">
      <w:r>
        <w:t>En lo que atañe al FEAGA/Feader SIGC, la población a efectos de muestreo debe incluir todos los importes declarados (a partir de las solicitudes admisibles) que son seleccionados para un control sobre el terreno aleatorio por el OP. En el caso del FEAGA/Feader no SIGC, la población de muestreo debe incluir todos los pagos (si el OC considera que no hay ningún elemento de limitación temporal para el FEAGA no SIGC) o todas las solicitudes admisibles que deben abonarse en el ejercicio financiero auditado. Si el OC quiere planificar sus procedimientos de auditoría en varias etapas, también puede iniciar el muestreo sobre la base de las solicitudes admisibles o las declaraciones mensuales/trimestrales. En ese caso, el OC deberá ajustar su muestra posteriormente, teniendo en cuenta los gastos reales determinados como resultado de los controles del OP que fueron pagados durante el ejercicio financiero.</w:t>
      </w:r>
    </w:p>
    <w:p w14:paraId="5732B425" w14:textId="05577EFC" w:rsidR="00C4384E" w:rsidRDefault="00187FDE">
      <w:r>
        <w:t xml:space="preserve">Para el objetivo de auditoría n.º 2, el OC debe emitir una opinión sobre la legalidad y regularidad del gasto con respecto al Fondo, así como sobre el porcentaje de error notificado por el OP en la declaración sobre la gestión. En la declaración sobre la gestión el organismo pagador notifica los porcentajes de error correspondientes a las </w:t>
      </w:r>
      <w:r>
        <w:rPr>
          <w:b/>
          <w:bCs/>
        </w:rPr>
        <w:t>poblaciones</w:t>
      </w:r>
      <w:r>
        <w:t xml:space="preserve"> principales:</w:t>
      </w:r>
    </w:p>
    <w:p w14:paraId="4F35E3A8" w14:textId="7290CF79" w:rsidR="00C4384E" w:rsidRDefault="00187FDE">
      <w:pPr>
        <w:numPr>
          <w:ilvl w:val="0"/>
          <w:numId w:val="66"/>
        </w:numPr>
        <w:spacing w:after="120"/>
      </w:pPr>
      <w:r>
        <w:t>FEAGA SIGC contemplada en el anexo I del Reglamento (UE) n.º 1307/2013,</w:t>
      </w:r>
    </w:p>
    <w:p w14:paraId="616B734E" w14:textId="77777777" w:rsidR="00C4384E" w:rsidRDefault="00187FDE">
      <w:pPr>
        <w:numPr>
          <w:ilvl w:val="0"/>
          <w:numId w:val="64"/>
        </w:numPr>
      </w:pPr>
      <w:r>
        <w:t>FEAGA no SIGC (cualesquiera otros regímenes de ayuda en el ámbito del FEAGA no cubiertos por el SIGC),</w:t>
      </w:r>
    </w:p>
    <w:p w14:paraId="723357EA" w14:textId="4D8C9416" w:rsidR="00C4384E" w:rsidRDefault="00187FDE">
      <w:pPr>
        <w:numPr>
          <w:ilvl w:val="0"/>
          <w:numId w:val="64"/>
        </w:numPr>
      </w:pPr>
      <w:r>
        <w:t>Feader SIGC contemplada en los artículos 28, 29, 30 31 y etc. del Reglamento (UE) n.º 1305/2013,</w:t>
      </w:r>
    </w:p>
    <w:p w14:paraId="36C0B162" w14:textId="77777777" w:rsidR="00C4384E" w:rsidRDefault="00187FDE">
      <w:pPr>
        <w:numPr>
          <w:ilvl w:val="0"/>
          <w:numId w:val="64"/>
        </w:numPr>
      </w:pPr>
      <w:r>
        <w:t>Feader no SIGC (cualesquiera otras medidas en el ámbito del Feader no cubiertas por el SIGC, a las que se hace referencia en el Reglamento (UE) n.º 1305/2013).</w:t>
      </w:r>
    </w:p>
    <w:p w14:paraId="1961BC5E" w14:textId="64020F43" w:rsidR="00C4384E" w:rsidRDefault="00187FDE">
      <w:r>
        <w:t xml:space="preserve">Sin embargo, los controles se planifican y se llevan a cabo por regímenes y medidas importantes o grupo de medidas. Por consiguiente, se recomienda que el OC use la </w:t>
      </w:r>
      <w:r>
        <w:rPr>
          <w:b/>
          <w:bCs/>
        </w:rPr>
        <w:t>estratificación</w:t>
      </w:r>
      <w:r>
        <w:t xml:space="preserve"> en las cuatro poblaciones antes citadas con respecto a los planes de control del organismo pagador, o sobre la base de otras consideraciones:</w:t>
      </w:r>
    </w:p>
    <w:p w14:paraId="55842BBA" w14:textId="77777777" w:rsidR="00C4384E" w:rsidRDefault="00240285">
      <w:pPr>
        <w:numPr>
          <w:ilvl w:val="0"/>
          <w:numId w:val="60"/>
        </w:numPr>
      </w:pPr>
      <w:r>
        <w:t>FEAGA SIGC: pagos por superficie, primas por animales.</w:t>
      </w:r>
    </w:p>
    <w:p w14:paraId="4A8E66A5" w14:textId="0F1A5C76" w:rsidR="00C4384E" w:rsidRDefault="00240285">
      <w:pPr>
        <w:numPr>
          <w:ilvl w:val="0"/>
          <w:numId w:val="60"/>
        </w:numPr>
      </w:pPr>
      <w:r>
        <w:t xml:space="preserve">FEAGA no SIGC: por régimen (por ejemplo, el almacenamiento público en el ámbito del FEAGA cubierto por no SIGC, al que se hace referencia en el Reglamento (UE) </w:t>
      </w:r>
      <w:r>
        <w:lastRenderedPageBreak/>
        <w:t>n.º 1308/2013 y en el Reglamento Delegado (UE) n.º 906/2014 de la Comisión debe ser un estrato distinto).</w:t>
      </w:r>
    </w:p>
    <w:p w14:paraId="5404AD3E" w14:textId="77777777" w:rsidR="00C4384E" w:rsidRDefault="00240285">
      <w:pPr>
        <w:numPr>
          <w:ilvl w:val="0"/>
          <w:numId w:val="60"/>
        </w:numPr>
      </w:pPr>
      <w:r>
        <w:t>Feader SIGC: no necesario o por medida.</w:t>
      </w:r>
    </w:p>
    <w:p w14:paraId="5277138A" w14:textId="77777777" w:rsidR="00C4384E" w:rsidRDefault="00240285">
      <w:pPr>
        <w:numPr>
          <w:ilvl w:val="0"/>
          <w:numId w:val="60"/>
        </w:numPr>
      </w:pPr>
      <w:r>
        <w:t>Feader no SIGC: no necesario o por medida.</w:t>
      </w:r>
    </w:p>
    <w:p w14:paraId="3D35842D" w14:textId="69DE2E06" w:rsidR="00C4384E" w:rsidRDefault="00680A04">
      <w:r>
        <w:t>La finalidad de la estratificación y, por lo tanto, la realización (selección de la muestra y evaluación de errores) puede diferir como sigue:</w:t>
      </w:r>
    </w:p>
    <w:p w14:paraId="491C9388" w14:textId="5399C28D" w:rsidR="00C4384E" w:rsidRDefault="00680A04">
      <w:pPr>
        <w:numPr>
          <w:ilvl w:val="0"/>
          <w:numId w:val="67"/>
        </w:numPr>
      </w:pPr>
      <w:r>
        <w:t xml:space="preserve">En lo que atañe al FEAGA SIGC, Feader SIGC y Feader no SIGC, se recomienda utilizar la estratificación de la población para garantizar que se lleva a cabo la nueva verificación de los controles administrativos y sobre el terreno para cada medida significativa en la población. En este caso, la estratificación con el mismo método de muestreo utilizado para cada estrato y la distribución de la muestra entre los estratos es proporcional al importe solicitado/gasto representado por los estratos. Si se utiliza el método de muestreo estadístico, puede realizarse una valoración global de los errores estadísticos con respecto a la población. </w:t>
      </w:r>
    </w:p>
    <w:p w14:paraId="6854926F" w14:textId="7F262538" w:rsidR="00C4384E" w:rsidRDefault="008559AA">
      <w:pPr>
        <w:numPr>
          <w:ilvl w:val="0"/>
          <w:numId w:val="67"/>
        </w:numPr>
      </w:pPr>
      <w:r>
        <w:t>La estratificación también puede estar motivada por otras consideraciones: por ejemplo, el auditor espera encontrar un nivel diferente de errores (por ejemplo, superior) en una parte de la población, por lo que se utilizarán diferentes métodos o parámetros de muestreo para cada estrato. Por ejemplo, para los estratos con mayor grado de riesgo se establecerá una muestra de mayor tamaño. Este caso específico se produce cuando el OC solo puede llegar a una conclusión con respecto a cada estrato en lo que atañe al objetivo de auditoría n.º 2 para la población estratificada correspondiente. No obstante, en lo que atañe al objetivo de auditoría n.º 2, el OC puede extraer sus conclusiones sin establecer un porcentaje de error consolidado con respecto a la población, ya que los resultados con respecto al estrato son comparables con los resultados del OP con respecto a esos estratos. Este método puede utilizarse particularmente para la población FEAGA no SIGC y para las otras poblaciones también si el OC tiene intención de confirmar determinadas medidas o regímenes a efectos de la reducción del porcentaje de control de conformidad con el artículo 41 del Reglamento (UE) n.º 908/2014, y, por lo tanto, debe respetarse un tamaño mínimo de la muestra por régimen/medida.</w:t>
      </w:r>
    </w:p>
    <w:p w14:paraId="0F8297D9" w14:textId="1291BE3E" w:rsidR="00C4384E" w:rsidRDefault="005467E1">
      <w:pPr>
        <w:numPr>
          <w:ilvl w:val="0"/>
          <w:numId w:val="67"/>
        </w:numPr>
      </w:pPr>
      <w:r>
        <w:t>Si la población incluye transacciones atípicas: elementos por encima del intervalo de muestreo (elementos fundamentales), se recomienda utilizar la estratificación para estos elementos. Los elementos de gran valor pueden ser probados al 100 % y el resto de la población será probada con el método de muestreo estadístico seleccionado. Los errores encontrados en los elementos de gran valor serán pues añadidos como errores conocidos al límite superior de error calculado a partir de la muestra estadística y se incluirán en el error total calculado (véase más adelante).</w:t>
      </w:r>
    </w:p>
    <w:p w14:paraId="20082C69" w14:textId="44BF8F65" w:rsidR="00C4384E" w:rsidRDefault="006C3848">
      <w:pPr>
        <w:pStyle w:val="Text1"/>
        <w:spacing w:after="120"/>
        <w:ind w:left="0"/>
        <w:rPr>
          <w:i/>
        </w:rPr>
      </w:pPr>
      <w:r>
        <w:t xml:space="preserve">«Población </w:t>
      </w:r>
      <w:r w:rsidRPr="00805BA2">
        <w:rPr>
          <w:i/>
        </w:rPr>
        <w:t>de minimis</w:t>
      </w:r>
      <w:r>
        <w:t>»:</w:t>
      </w:r>
      <w:r w:rsidR="00805BA2">
        <w:t xml:space="preserve"> </w:t>
      </w:r>
      <w:r>
        <w:t xml:space="preserve">No es necesario establecer una población separada para las pruebas sustantivas en las condiciones que se indican a continuación </w:t>
      </w:r>
      <w:r>
        <w:rPr>
          <w:i/>
          <w:iCs/>
        </w:rPr>
        <w:t>(y que deben cumplirse de forma simultánea)</w:t>
      </w:r>
      <w:r>
        <w:t>:</w:t>
      </w:r>
    </w:p>
    <w:p w14:paraId="749C840B" w14:textId="6C541F71" w:rsidR="00C4384E" w:rsidRDefault="006C3848">
      <w:pPr>
        <w:pStyle w:val="Text1"/>
        <w:numPr>
          <w:ilvl w:val="0"/>
          <w:numId w:val="65"/>
        </w:numPr>
        <w:spacing w:after="120"/>
      </w:pPr>
      <w:r>
        <w:t xml:space="preserve">la población representa </w:t>
      </w:r>
      <w:r>
        <w:rPr>
          <w:b/>
          <w:bCs/>
        </w:rPr>
        <w:t>menos del 2 %</w:t>
      </w:r>
      <w:r>
        <w:t xml:space="preserve"> del gasto bruto total anual (por Fondo), denominado umbral </w:t>
      </w:r>
      <w:r>
        <w:rPr>
          <w:i/>
          <w:iCs/>
        </w:rPr>
        <w:t>de minimis</w:t>
      </w:r>
      <w:r>
        <w:t>, evitando de este modo invertir un esfuerzo de auditoría innecesario en importes irrelevantes;</w:t>
      </w:r>
    </w:p>
    <w:p w14:paraId="33829A46" w14:textId="2A93F53B" w:rsidR="00C4384E" w:rsidRDefault="006C3848">
      <w:pPr>
        <w:pStyle w:val="Text1"/>
        <w:numPr>
          <w:ilvl w:val="0"/>
          <w:numId w:val="65"/>
        </w:numPr>
        <w:spacing w:after="120"/>
      </w:pPr>
      <w:r>
        <w:t xml:space="preserve">el riesgo valorado de incorrección material es mínimo o bajo para la población correspondiente. Si en el informe anual de actividades (IAA) se consignan </w:t>
      </w:r>
      <w:r>
        <w:lastRenderedPageBreak/>
        <w:t>constataciones de conformidad para una medida y/o una reserva con un plan de acción conexo en curso, las medidas en cuestión y, por lo tanto, la población correspondiente deberían ser consideradas de riesgo. Por lo tanto, en el presente caso, la norma de minimis no puede aplicarse.</w:t>
      </w:r>
      <w:r w:rsidR="00805BA2">
        <w:t xml:space="preserve"> </w:t>
      </w:r>
    </w:p>
    <w:p w14:paraId="34654812" w14:textId="72471541" w:rsidR="00C4384E" w:rsidRDefault="002823AF">
      <w:pPr>
        <w:pStyle w:val="Text1"/>
        <w:spacing w:after="120"/>
        <w:ind w:left="0"/>
      </w:pPr>
      <w:r>
        <w:t xml:space="preserve">Con el fin de evaluar el sistema de control interno, incluidos los procesos y procedimientos, se recomienda al OC que revise los procedimientos fundamentales y realice pruebas de recorrido. Además, a los efectos de las pruebas de conformidad, el OC debe verificar los controles (incluida la nueva verificación de los controles sobre el terreno) de al menos una transacción. El OC podría aplicar la rotación de las pruebas de controles, tal como se explica en la sección 5.3. </w:t>
      </w:r>
    </w:p>
    <w:p w14:paraId="5F8766CC" w14:textId="27CE61EF" w:rsidR="00C4384E" w:rsidRDefault="002823AF" w:rsidP="004C779D">
      <w:pPr>
        <w:pStyle w:val="Text1"/>
        <w:spacing w:after="120"/>
        <w:ind w:left="0"/>
      </w:pPr>
      <w:r>
        <w:t xml:space="preserve">Los procedimientos de auditoría antes mencionados sobre el sistema de control interno, así como las conciliaciones de las estadísticas de control pertinentes, aportarán la base para la opinión del OC sobre los resultados del control y la declaración sobre la gestión y complementarán la opinión que debe facilitarse con respecto al Fondo sobre el funcionamiento del sistema de control interno y sobre la legalidad y regularidad del gasto. </w:t>
      </w:r>
    </w:p>
    <w:p w14:paraId="687F8EB4" w14:textId="1971E40B" w:rsidR="00C4384E" w:rsidRDefault="009B19D5">
      <w:pPr>
        <w:rPr>
          <w:b/>
        </w:rPr>
      </w:pPr>
      <w:r>
        <w:rPr>
          <w:b/>
        </w:rPr>
        <w:t>Población de muestreo - Representatividad</w:t>
      </w:r>
    </w:p>
    <w:p w14:paraId="00926D21" w14:textId="77777777" w:rsidR="00C4384E" w:rsidRDefault="00622F70">
      <w:r>
        <w:t>Para el objetivo de auditoría n.º 2, habrá que diferenciar la población de muestreo de la población general para la cual se tendrá en consideración la evaluación global (resultados).</w:t>
      </w:r>
    </w:p>
    <w:p w14:paraId="0C714762" w14:textId="77777777" w:rsidR="00C4384E" w:rsidRDefault="0014770E">
      <w:r>
        <w:t>Se considera que los errores detectados en la muestra aleatoria (o pertinente) de controles sobre el terreno del OP (procedentes tanto de los controles administrativos como sobre el terreno) darán lugar al porcentaje de error más representativo de la población.</w:t>
      </w:r>
    </w:p>
    <w:p w14:paraId="70CC3D83" w14:textId="6EA55A80" w:rsidR="00C4384E" w:rsidRDefault="0014770E">
      <w:r>
        <w:t>Si se constata que la muestra aleatoria (o pertinente) de controles sobre el terreno del OP es representativa, el método de muestreo y de selección utilizado garantizará la representatividad de la muestra y, por consiguiente, la representatividad de los resultados del resto de la población. En este caso, el OC también puede utilizar esta muestra del OP para extraer su propia muestra y llegar a una conclusión en lo que atañe al objetivo de auditoría n.º 2.</w:t>
      </w:r>
    </w:p>
    <w:p w14:paraId="6660B7CC" w14:textId="43BFB274" w:rsidR="00C4384E" w:rsidRDefault="0014770E">
      <w:r>
        <w:t>Por lo tanto, la planificación de la auditoría para el objetivo de auditoría n.º 2 debe incluir un procedimiento de auditoría que aborde el examen de la representatividad de la muestra de controles sobre el terreno del OP en lo que atañe a las poblaciones FEAGA/Feader SIGC: la muestra aleatoria de controles sobre el terreno del OP debe ser la base y, por lo tanto, la población de muestreo para el OC. Con el fin de valorar la representatividad de la muestra aleatoria de los controles sobre el terreno del OP, se recomienda al OC que verifique que:</w:t>
      </w:r>
      <w:r w:rsidR="004C779D">
        <w:t xml:space="preserve"> </w:t>
      </w:r>
    </w:p>
    <w:p w14:paraId="2777F03E" w14:textId="77777777" w:rsidR="00C4384E" w:rsidRDefault="00D8245F">
      <w:pPr>
        <w:pStyle w:val="ListParagraph"/>
        <w:numPr>
          <w:ilvl w:val="0"/>
          <w:numId w:val="112"/>
        </w:numPr>
      </w:pPr>
      <w:r>
        <w:lastRenderedPageBreak/>
        <w:t>la muestra del OP se selecciona de conformidad con la legislación, normas y directrices pertinentes</w:t>
      </w:r>
      <w:r>
        <w:rPr>
          <w:rStyle w:val="FootnoteReference"/>
        </w:rPr>
        <w:footnoteReference w:id="30"/>
      </w:r>
      <w:r>
        <w:t>, incluida la representatividad</w:t>
      </w:r>
      <w:r>
        <w:rPr>
          <w:rStyle w:val="FootnoteReference"/>
        </w:rPr>
        <w:footnoteReference w:id="31"/>
      </w:r>
      <w:r>
        <w:t>;</w:t>
      </w:r>
    </w:p>
    <w:p w14:paraId="3F4839EA" w14:textId="77777777" w:rsidR="00C4384E" w:rsidRDefault="00D8245F">
      <w:pPr>
        <w:pStyle w:val="ListParagraph"/>
        <w:numPr>
          <w:ilvl w:val="0"/>
          <w:numId w:val="112"/>
        </w:numPr>
      </w:pPr>
      <w:r>
        <w:t>es completamente aleatoria (es decir, imparcial).</w:t>
      </w:r>
    </w:p>
    <w:p w14:paraId="50E2931C" w14:textId="554FA08E" w:rsidR="00C4384E" w:rsidRDefault="00BB66CD">
      <w:r>
        <w:t>Al extraer su propia muestra, el OC deberá verificar que no está sesgada y es representativa de la muestra aleatoria de los controles sobre el terreno del OP.</w:t>
      </w:r>
    </w:p>
    <w:p w14:paraId="1F326F7E" w14:textId="6ACF56ED" w:rsidR="00C4384E" w:rsidRDefault="007C3693">
      <w:r>
        <w:t xml:space="preserve">En caso de que el OC no puede confirmar la representatividad de la muestra aleatoria de los controles sobre el terreno del OP (es decir, que se extrajo de acuerdo con la legislación y las normas y/o que es aleatoria), el OC debe emitir una opinión de auditoría con salvedades sobre la legalidad y regularidad del gasto de la población afectada. </w:t>
      </w:r>
    </w:p>
    <w:p w14:paraId="6CEBF1D6" w14:textId="6F420123" w:rsidR="00C4384E" w:rsidRDefault="004D2102">
      <w:r>
        <w:t xml:space="preserve">En el caso del FEAGA/Feader no SIGC, todos los importes pagados en el ejercicio financiero auditado por el OP deben constituir la base de muestreo para el OC. Por lo tanto, el OC debe garantizar que todas las solicitudes/todos los pagos fueron objeto de muestreo. Para facilitar la distribución del trabajo de auditoría a lo largo del año, el OC puede empezar con una estimación de los gastos reales, que deben determinarse como resultado de los controles del OP, que deben pagarse en el ejercicio financiero. Si no, también es posible proceder al muestreo de los regímenes no SIGC a partir de las declaraciones mensuales/trimestrales. </w:t>
      </w:r>
    </w:p>
    <w:p w14:paraId="32A9A05F" w14:textId="77777777" w:rsidR="00C4384E" w:rsidRDefault="002455E9">
      <w:pPr>
        <w:rPr>
          <w:b/>
        </w:rPr>
      </w:pPr>
      <w:r>
        <w:rPr>
          <w:b/>
        </w:rPr>
        <w:t>Unidad de muestreo</w:t>
      </w:r>
    </w:p>
    <w:p w14:paraId="307A1948" w14:textId="523280F2" w:rsidR="00C4384E" w:rsidRDefault="00366BB1">
      <w:r>
        <w:t xml:space="preserve">La unidad de muestreo debe basarse en las transacciones operativas. En el caso del objetivo de auditoría n.º 2, el OC debe llegar a una conclusión sobre la legalidad y regularidad del gasto. Por lo tanto, el OC ha de vincular la transacción comprobada al importe establecido en el sistema del OP sobre la base de los datos de control y, en el caso de las poblaciones FEAGA/Feader SIGC, al importe comunicado en las estadísticas/informes de control y al pago efectivo. En lo que atañe al SIGC, para determinar el tamaño de la muestra se recomienda la utilización de los pagos estimados, pero el muestreo real debe ajustarse a la unidad de muestreo de los controles sobre el terreno aleatorios del OP (por ejemplo, si la unidad de muestreo del OP es el solicitante/beneficiario, el OC debe utilizar el mismo enfoque). En las poblaciones no SIGC, el OC puede basar su muestreo en los importes pagados (especialmente en el caso del Feader no SIGC), pero, tal como se ha indicado anteriormente, los pagos estimados sobre la base de los importes solicitados también pueden servir como punto de partida. </w:t>
      </w:r>
    </w:p>
    <w:p w14:paraId="57289E8B" w14:textId="3878B318" w:rsidR="00C4384E" w:rsidRDefault="00D67140">
      <w:r>
        <w:lastRenderedPageBreak/>
        <w:t>En lo que se refiere al SIGC, en caso de que el OP seleccione aleatoriamente un beneficiario o solicitud y controle sobre el terreno todos los regímenes o medidas objeto de solicitud [en consonancia con el método en cascada establecido en el artículo 34 del Reglamento (UE) n.º 809/2014], la muestra del OC debe diseñarse de la misma manera.</w:t>
      </w:r>
      <w:r w:rsidR="00805BA2">
        <w:t xml:space="preserve"> </w:t>
      </w:r>
    </w:p>
    <w:p w14:paraId="4C572DF6" w14:textId="77777777" w:rsidR="00C4384E" w:rsidRDefault="00570126">
      <w:r>
        <w:t xml:space="preserve">El OC debe adoptar las salvaguardas apropiadas para garantizar que no se revela su muestra al OP antes de que este efectúe sus controles sobre el terreno. </w:t>
      </w:r>
    </w:p>
    <w:p w14:paraId="478B0CAF" w14:textId="77777777" w:rsidR="00C4384E" w:rsidRDefault="002455E9">
      <w:pPr>
        <w:rPr>
          <w:b/>
        </w:rPr>
      </w:pPr>
      <w:r>
        <w:rPr>
          <w:b/>
        </w:rPr>
        <w:t>Método de muestreo</w:t>
      </w:r>
    </w:p>
    <w:p w14:paraId="3C727901" w14:textId="76899236" w:rsidR="00C4384E" w:rsidRDefault="00C63702">
      <w:r>
        <w:t>Para una población de muestreo superior a 200 transacciones, debe utilizarse un método de muestreo estadístico. Se propone utilizar:</w:t>
      </w:r>
    </w:p>
    <w:p w14:paraId="0E98F6A1" w14:textId="77777777" w:rsidR="00C4384E" w:rsidRDefault="002455E9">
      <w:pPr>
        <w:numPr>
          <w:ilvl w:val="0"/>
          <w:numId w:val="61"/>
        </w:numPr>
      </w:pPr>
      <w:r>
        <w:t>el muestreo aleatorio simple (MAS), o</w:t>
      </w:r>
    </w:p>
    <w:p w14:paraId="1D3A3B1C" w14:textId="529DC0D3" w:rsidR="00C4384E" w:rsidRDefault="0014770E">
      <w:pPr>
        <w:numPr>
          <w:ilvl w:val="0"/>
          <w:numId w:val="61"/>
        </w:numPr>
      </w:pPr>
      <w:r>
        <w:t>el enfoque estándar del MUS o el enfoque conservador del MUM, si se considera más adecuado.</w:t>
      </w:r>
    </w:p>
    <w:p w14:paraId="5DFA52A0" w14:textId="640B5686" w:rsidR="00C4384E" w:rsidRDefault="002455E9">
      <w:r>
        <w:t>Una explicación detallada de los métodos que deben utilizarse figura en el anexo 2. Algunos conceptos generales explicados a continuación se refieren únicamente al muestreo estadístico.</w:t>
      </w:r>
    </w:p>
    <w:p w14:paraId="67409977" w14:textId="6EC15CA2" w:rsidR="00C4384E" w:rsidRDefault="00C63702">
      <w:pPr>
        <w:spacing w:after="120"/>
      </w:pPr>
      <w:r>
        <w:t>En caso de que el número de transacciones operativas realizadas en una población sea inferior a 200, se recomienda recurrir a un muestreo no estadístico. Los detalles al respecto figuran en el anexo 2. El método de muestreo no estadístico recomendado es el muestreo aleatorio.</w:t>
      </w:r>
    </w:p>
    <w:p w14:paraId="344C662A" w14:textId="77777777" w:rsidR="00C4384E" w:rsidRDefault="00D73D55">
      <w:r>
        <w:t>Cuando se utilice la estratificación [sobre todo cuando se base en otras consideraciones, tal como se menciona en el punto (2) anterior], la definición del número de transacciones debe realizarse con respecto al estrato. De este modo, la necesidad de un muestreo estadístico se determinará con respecto al estrato. Será así especialmente en el caso de la población FEAGA no SIGC.</w:t>
      </w:r>
    </w:p>
    <w:p w14:paraId="71F81D5D" w14:textId="77777777" w:rsidR="00C4384E" w:rsidRDefault="008C50B9">
      <w:r>
        <w:t>No obstante, en todos los demás casos debe utilizarse un método de muestreo estadístico, ya que el ofrece resultados que son representativos de la población comprobada.</w:t>
      </w:r>
    </w:p>
    <w:p w14:paraId="40512C36" w14:textId="3969D109" w:rsidR="00C4384E" w:rsidRDefault="00B23A35">
      <w:r>
        <w:t>El muestreo integrado puede utilizarse cuando sea posible para utilizar eficientemente los recursos de auditoría y para mejorar la eficiencia, pero sin comprometer la elaboración de informes por separado en virtud de los objetivos de auditoría. Por tanto, una transacción puede utilizarse para todos los procedimientos de auditoría de la legalidad y regularidad: comprobación de la legalidad y regularidad del gasto, opinión sobre la declaración sobre la gestión y las estadísticas de control, certificación del porcentaje de error a efectos del artículo 41 del Reglamento (UE) n.º 908/2014. Por otra parte, si se considera adecuado, el OC puede utilizar la misma transacción para las pruebas de auditoría en virtud de los distintos objetivos de auditoría. Además, la misma transacción puede utilizarse para las pruebas de cumplimiento y las pruebas sustantivas (prueba de doble propósito), tal como se explicó en la sección 11 anterior.</w:t>
      </w:r>
    </w:p>
    <w:p w14:paraId="0519E84A" w14:textId="77777777" w:rsidR="00C4384E" w:rsidRDefault="002455E9">
      <w:pPr>
        <w:rPr>
          <w:b/>
        </w:rPr>
      </w:pPr>
      <w:r>
        <w:rPr>
          <w:b/>
        </w:rPr>
        <w:t>Materialidad – Error/incorrección tolerable (IT)</w:t>
      </w:r>
    </w:p>
    <w:p w14:paraId="4DF11C19" w14:textId="77777777" w:rsidR="00C4384E" w:rsidRDefault="00A96D66">
      <w:pPr>
        <w:pStyle w:val="Text1"/>
        <w:spacing w:after="120"/>
        <w:ind w:left="0"/>
      </w:pPr>
      <w:r>
        <w:t>La materialidad, así como el error tolerable, se fija en el 2 % del importe solicitado con respecto a la población/estrato: con respecto a las estadísticas de control/informe de control.</w:t>
      </w:r>
    </w:p>
    <w:p w14:paraId="35CFD448" w14:textId="5843DBCE" w:rsidR="00C4384E" w:rsidRDefault="002455E9">
      <w:pPr>
        <w:rPr>
          <w:b/>
        </w:rPr>
      </w:pPr>
      <w:r>
        <w:rPr>
          <w:b/>
        </w:rPr>
        <w:lastRenderedPageBreak/>
        <w:t>Nivel de confianza, error anticipado, precisión, variabilidad</w:t>
      </w:r>
    </w:p>
    <w:p w14:paraId="37B4ADC7" w14:textId="16BB1AB4" w:rsidR="00C4384E" w:rsidRDefault="00355062">
      <w:r>
        <w:t>Estos conceptos deben interpretarse según se explica en la sección 6.2.</w:t>
      </w:r>
    </w:p>
    <w:p w14:paraId="297B897B" w14:textId="77777777" w:rsidR="00C4384E" w:rsidRDefault="002455E9">
      <w:pPr>
        <w:rPr>
          <w:b/>
        </w:rPr>
      </w:pPr>
      <w:r>
        <w:rPr>
          <w:b/>
        </w:rPr>
        <w:t>Tamaño de la muestra</w:t>
      </w:r>
    </w:p>
    <w:p w14:paraId="0355F387" w14:textId="4046D925" w:rsidR="00C4384E" w:rsidRDefault="002455E9">
      <w:r>
        <w:t xml:space="preserve">El tamaño de la muestra para el </w:t>
      </w:r>
      <w:r>
        <w:rPr>
          <w:b/>
          <w:bCs/>
        </w:rPr>
        <w:t>muestreo estadístico</w:t>
      </w:r>
      <w:r>
        <w:t xml:space="preserve"> debe determinarse utilizando los parámetros antes mencionados: población, nivel de confianza, precisión, error tolerable, error anticipado y variabilidad en función del método de muestreo utilizado. La utilización de un método de muestreo diferente, incluida una estimación de la desviación estándar (sobre una muestra piloto) puede ocasionar un nivel diferente de tamaños de la muestra. Independientemente del método de muestreo utilizado por los OC, para la auditoría de la legalidad y regularidad del gasto deben respetarse los siguientes tamaños mínimos de la muestra por población:</w:t>
      </w:r>
    </w:p>
    <w:tbl>
      <w:tblPr>
        <w:tblW w:w="7951" w:type="dxa"/>
        <w:tblInd w:w="4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5"/>
        <w:gridCol w:w="1560"/>
        <w:gridCol w:w="1473"/>
        <w:gridCol w:w="1530"/>
        <w:gridCol w:w="1503"/>
      </w:tblGrid>
      <w:tr w:rsidR="00C4384E" w14:paraId="28EC4A8C" w14:textId="77777777" w:rsidTr="004C779D">
        <w:trPr>
          <w:trHeight w:val="841"/>
        </w:trPr>
        <w:tc>
          <w:tcPr>
            <w:tcW w:w="1885" w:type="dxa"/>
            <w:shd w:val="clear" w:color="auto" w:fill="auto"/>
          </w:tcPr>
          <w:p w14:paraId="37E99107" w14:textId="3DE3C2C9" w:rsidR="00C4384E" w:rsidRDefault="004D6DC9" w:rsidP="004C779D">
            <w:pPr>
              <w:pStyle w:val="Text1"/>
              <w:spacing w:before="2" w:after="2"/>
              <w:ind w:left="0"/>
              <w:jc w:val="center"/>
              <w:rPr>
                <w:b/>
                <w:sz w:val="22"/>
                <w:szCs w:val="22"/>
              </w:rPr>
            </w:pPr>
            <w:r>
              <w:rPr>
                <w:b/>
                <w:sz w:val="22"/>
                <w:szCs w:val="22"/>
              </w:rPr>
              <w:t>Garantía</w:t>
            </w:r>
            <w:r w:rsidR="004C779D">
              <w:rPr>
                <w:b/>
                <w:sz w:val="22"/>
                <w:szCs w:val="22"/>
              </w:rPr>
              <w:t xml:space="preserve"> </w:t>
            </w:r>
            <w:r>
              <w:rPr>
                <w:b/>
                <w:sz w:val="22"/>
                <w:szCs w:val="22"/>
              </w:rPr>
              <w:t xml:space="preserve">del sistema </w:t>
            </w:r>
          </w:p>
        </w:tc>
        <w:tc>
          <w:tcPr>
            <w:tcW w:w="1560" w:type="dxa"/>
            <w:shd w:val="clear" w:color="auto" w:fill="FBD4B4"/>
          </w:tcPr>
          <w:p w14:paraId="166D78DC" w14:textId="2A3F89D5" w:rsidR="00C4384E" w:rsidRDefault="004D6DC9">
            <w:pPr>
              <w:pStyle w:val="Text1"/>
              <w:spacing w:before="2" w:after="2"/>
              <w:ind w:left="0"/>
              <w:jc w:val="center"/>
              <w:rPr>
                <w:sz w:val="22"/>
                <w:szCs w:val="22"/>
              </w:rPr>
            </w:pPr>
            <w:r>
              <w:rPr>
                <w:sz w:val="22"/>
                <w:szCs w:val="22"/>
              </w:rPr>
              <w:t>Elevada</w:t>
            </w:r>
            <w:r w:rsidR="004C779D">
              <w:rPr>
                <w:sz w:val="22"/>
                <w:szCs w:val="22"/>
              </w:rPr>
              <w:t xml:space="preserve"> </w:t>
            </w:r>
            <w:r>
              <w:rPr>
                <w:sz w:val="22"/>
                <w:szCs w:val="22"/>
              </w:rPr>
              <w:t>/</w:t>
            </w:r>
            <w:r w:rsidR="004C779D">
              <w:rPr>
                <w:sz w:val="22"/>
                <w:szCs w:val="22"/>
              </w:rPr>
              <w:t xml:space="preserve"> </w:t>
            </w:r>
            <w:r>
              <w:rPr>
                <w:sz w:val="22"/>
                <w:szCs w:val="22"/>
              </w:rPr>
              <w:t>Moderada</w:t>
            </w:r>
          </w:p>
        </w:tc>
        <w:tc>
          <w:tcPr>
            <w:tcW w:w="1473" w:type="dxa"/>
            <w:shd w:val="clear" w:color="auto" w:fill="FBD4B4"/>
          </w:tcPr>
          <w:p w14:paraId="00C2560F" w14:textId="77777777" w:rsidR="00C4384E" w:rsidRDefault="004D6DC9">
            <w:pPr>
              <w:pStyle w:val="Text1"/>
              <w:spacing w:before="2" w:after="2"/>
              <w:ind w:left="0"/>
              <w:jc w:val="center"/>
              <w:rPr>
                <w:sz w:val="22"/>
                <w:szCs w:val="22"/>
              </w:rPr>
            </w:pPr>
            <w:r>
              <w:rPr>
                <w:sz w:val="22"/>
                <w:szCs w:val="22"/>
              </w:rPr>
              <w:t>Media</w:t>
            </w:r>
          </w:p>
        </w:tc>
        <w:tc>
          <w:tcPr>
            <w:tcW w:w="1530" w:type="dxa"/>
            <w:shd w:val="clear" w:color="auto" w:fill="FBD4B4"/>
          </w:tcPr>
          <w:p w14:paraId="3A6C3186" w14:textId="77777777" w:rsidR="00C4384E" w:rsidRDefault="004D6DC9">
            <w:pPr>
              <w:pStyle w:val="Text1"/>
              <w:spacing w:before="2" w:after="2"/>
              <w:ind w:left="0"/>
              <w:jc w:val="center"/>
              <w:rPr>
                <w:sz w:val="22"/>
                <w:szCs w:val="22"/>
              </w:rPr>
            </w:pPr>
            <w:r>
              <w:rPr>
                <w:sz w:val="22"/>
                <w:szCs w:val="22"/>
              </w:rPr>
              <w:t>Media baja</w:t>
            </w:r>
          </w:p>
        </w:tc>
        <w:tc>
          <w:tcPr>
            <w:tcW w:w="1503" w:type="dxa"/>
            <w:shd w:val="clear" w:color="auto" w:fill="FBD4B4"/>
          </w:tcPr>
          <w:p w14:paraId="63B4C4BC" w14:textId="77777777" w:rsidR="00C4384E" w:rsidRDefault="004D6DC9">
            <w:pPr>
              <w:pStyle w:val="Text1"/>
              <w:spacing w:before="2" w:after="2"/>
              <w:ind w:left="0"/>
              <w:jc w:val="center"/>
              <w:rPr>
                <w:sz w:val="22"/>
                <w:szCs w:val="22"/>
              </w:rPr>
            </w:pPr>
            <w:r>
              <w:rPr>
                <w:sz w:val="22"/>
                <w:szCs w:val="22"/>
              </w:rPr>
              <w:t>Baja</w:t>
            </w:r>
          </w:p>
        </w:tc>
      </w:tr>
      <w:tr w:rsidR="00C4384E" w14:paraId="7D10877C" w14:textId="77777777" w:rsidTr="004C779D">
        <w:tc>
          <w:tcPr>
            <w:tcW w:w="1885" w:type="dxa"/>
            <w:shd w:val="clear" w:color="auto" w:fill="auto"/>
          </w:tcPr>
          <w:p w14:paraId="0BF4A611" w14:textId="77777777" w:rsidR="00C4384E" w:rsidRDefault="004D6DC9">
            <w:pPr>
              <w:pStyle w:val="Text1"/>
              <w:spacing w:before="2" w:after="2"/>
              <w:ind w:left="0"/>
              <w:jc w:val="center"/>
              <w:rPr>
                <w:b/>
                <w:sz w:val="22"/>
                <w:szCs w:val="22"/>
              </w:rPr>
            </w:pPr>
            <w:r>
              <w:rPr>
                <w:b/>
                <w:sz w:val="22"/>
                <w:szCs w:val="22"/>
              </w:rPr>
              <w:t>RA</w:t>
            </w:r>
          </w:p>
        </w:tc>
        <w:tc>
          <w:tcPr>
            <w:tcW w:w="1560" w:type="dxa"/>
          </w:tcPr>
          <w:p w14:paraId="43939F69" w14:textId="77777777" w:rsidR="00C4384E" w:rsidRDefault="004D6DC9">
            <w:pPr>
              <w:pStyle w:val="Text1"/>
              <w:spacing w:before="2" w:after="2"/>
              <w:ind w:left="0"/>
              <w:jc w:val="center"/>
              <w:rPr>
                <w:sz w:val="22"/>
                <w:szCs w:val="22"/>
              </w:rPr>
            </w:pPr>
            <w:r>
              <w:rPr>
                <w:sz w:val="22"/>
                <w:szCs w:val="22"/>
              </w:rPr>
              <w:t>5 %</w:t>
            </w:r>
          </w:p>
        </w:tc>
        <w:tc>
          <w:tcPr>
            <w:tcW w:w="1473" w:type="dxa"/>
            <w:shd w:val="clear" w:color="auto" w:fill="auto"/>
          </w:tcPr>
          <w:p w14:paraId="115752B1" w14:textId="77777777" w:rsidR="00C4384E" w:rsidRDefault="004D6DC9">
            <w:pPr>
              <w:pStyle w:val="Text1"/>
              <w:spacing w:before="2" w:after="2"/>
              <w:ind w:left="0"/>
              <w:jc w:val="center"/>
              <w:rPr>
                <w:sz w:val="22"/>
                <w:szCs w:val="22"/>
              </w:rPr>
            </w:pPr>
            <w:r>
              <w:rPr>
                <w:sz w:val="22"/>
                <w:szCs w:val="22"/>
              </w:rPr>
              <w:t>5 %</w:t>
            </w:r>
          </w:p>
        </w:tc>
        <w:tc>
          <w:tcPr>
            <w:tcW w:w="1530" w:type="dxa"/>
            <w:shd w:val="clear" w:color="auto" w:fill="auto"/>
          </w:tcPr>
          <w:p w14:paraId="5E0C1815" w14:textId="77777777" w:rsidR="00C4384E" w:rsidRDefault="004D6DC9">
            <w:pPr>
              <w:pStyle w:val="Text1"/>
              <w:spacing w:before="2" w:after="2"/>
              <w:ind w:left="0"/>
              <w:jc w:val="center"/>
              <w:rPr>
                <w:sz w:val="22"/>
                <w:szCs w:val="22"/>
              </w:rPr>
            </w:pPr>
            <w:r>
              <w:rPr>
                <w:sz w:val="22"/>
                <w:szCs w:val="22"/>
              </w:rPr>
              <w:t>5 %</w:t>
            </w:r>
          </w:p>
        </w:tc>
        <w:tc>
          <w:tcPr>
            <w:tcW w:w="1503" w:type="dxa"/>
            <w:shd w:val="clear" w:color="auto" w:fill="auto"/>
          </w:tcPr>
          <w:p w14:paraId="1104B7EC" w14:textId="77777777" w:rsidR="00C4384E" w:rsidRDefault="004D6DC9">
            <w:pPr>
              <w:pStyle w:val="Text1"/>
              <w:spacing w:before="2" w:after="2"/>
              <w:ind w:left="0"/>
              <w:jc w:val="center"/>
              <w:rPr>
                <w:sz w:val="22"/>
                <w:szCs w:val="22"/>
              </w:rPr>
            </w:pPr>
            <w:r>
              <w:rPr>
                <w:sz w:val="22"/>
                <w:szCs w:val="22"/>
              </w:rPr>
              <w:t>5 %</w:t>
            </w:r>
          </w:p>
        </w:tc>
      </w:tr>
      <w:tr w:rsidR="00C4384E" w14:paraId="1FC35868" w14:textId="77777777" w:rsidTr="004C779D">
        <w:tc>
          <w:tcPr>
            <w:tcW w:w="1885" w:type="dxa"/>
            <w:shd w:val="clear" w:color="auto" w:fill="auto"/>
          </w:tcPr>
          <w:p w14:paraId="7E2AAD6F" w14:textId="77777777" w:rsidR="00C4384E" w:rsidRDefault="004D6DC9">
            <w:pPr>
              <w:pStyle w:val="Text1"/>
              <w:spacing w:before="2" w:after="2"/>
              <w:ind w:left="0"/>
              <w:jc w:val="center"/>
              <w:rPr>
                <w:b/>
                <w:sz w:val="20"/>
              </w:rPr>
            </w:pPr>
            <w:r>
              <w:rPr>
                <w:b/>
                <w:sz w:val="20"/>
              </w:rPr>
              <w:t>Nivel de confianza de las pruebas sustantivas</w:t>
            </w:r>
          </w:p>
        </w:tc>
        <w:tc>
          <w:tcPr>
            <w:tcW w:w="1560" w:type="dxa"/>
          </w:tcPr>
          <w:p w14:paraId="464C723C" w14:textId="77777777" w:rsidR="00C4384E" w:rsidRDefault="004D6DC9">
            <w:pPr>
              <w:pStyle w:val="Text1"/>
              <w:spacing w:before="2" w:after="2"/>
              <w:ind w:left="0"/>
              <w:jc w:val="center"/>
              <w:rPr>
                <w:b/>
                <w:sz w:val="22"/>
                <w:szCs w:val="22"/>
              </w:rPr>
            </w:pPr>
            <w:r>
              <w:rPr>
                <w:b/>
                <w:sz w:val="22"/>
                <w:szCs w:val="22"/>
              </w:rPr>
              <w:t>Al menos el 60 %</w:t>
            </w:r>
          </w:p>
        </w:tc>
        <w:tc>
          <w:tcPr>
            <w:tcW w:w="1473" w:type="dxa"/>
            <w:shd w:val="clear" w:color="auto" w:fill="auto"/>
          </w:tcPr>
          <w:p w14:paraId="7DC74BD3" w14:textId="77777777" w:rsidR="00C4384E" w:rsidRDefault="004D6DC9">
            <w:pPr>
              <w:pStyle w:val="Text1"/>
              <w:spacing w:before="2" w:after="2"/>
              <w:ind w:left="0"/>
              <w:jc w:val="center"/>
              <w:rPr>
                <w:b/>
                <w:sz w:val="22"/>
                <w:szCs w:val="22"/>
              </w:rPr>
            </w:pPr>
            <w:r>
              <w:rPr>
                <w:b/>
                <w:sz w:val="22"/>
                <w:szCs w:val="22"/>
              </w:rPr>
              <w:t>70 %</w:t>
            </w:r>
          </w:p>
          <w:p w14:paraId="61B4CA4C" w14:textId="77777777" w:rsidR="00C4384E" w:rsidRDefault="004D6DC9">
            <w:pPr>
              <w:pStyle w:val="Text1"/>
              <w:spacing w:before="2" w:after="2"/>
              <w:ind w:left="0"/>
              <w:jc w:val="center"/>
              <w:rPr>
                <w:b/>
                <w:sz w:val="22"/>
                <w:szCs w:val="22"/>
              </w:rPr>
            </w:pPr>
            <w:r>
              <w:rPr>
                <w:b/>
                <w:sz w:val="22"/>
                <w:szCs w:val="22"/>
              </w:rPr>
              <w:t>(Media)</w:t>
            </w:r>
          </w:p>
        </w:tc>
        <w:tc>
          <w:tcPr>
            <w:tcW w:w="1530" w:type="dxa"/>
            <w:shd w:val="clear" w:color="auto" w:fill="auto"/>
          </w:tcPr>
          <w:p w14:paraId="6FC1AE22" w14:textId="77777777" w:rsidR="00C4384E" w:rsidRDefault="004D6DC9">
            <w:pPr>
              <w:pStyle w:val="Text1"/>
              <w:spacing w:before="2" w:after="2"/>
              <w:ind w:left="0"/>
              <w:jc w:val="center"/>
              <w:rPr>
                <w:b/>
                <w:sz w:val="22"/>
                <w:szCs w:val="22"/>
              </w:rPr>
            </w:pPr>
            <w:r>
              <w:rPr>
                <w:b/>
                <w:sz w:val="22"/>
                <w:szCs w:val="22"/>
              </w:rPr>
              <w:t>80 %</w:t>
            </w:r>
          </w:p>
          <w:p w14:paraId="74423719" w14:textId="77777777" w:rsidR="00C4384E" w:rsidRDefault="004D6DC9">
            <w:pPr>
              <w:pStyle w:val="Text1"/>
              <w:spacing w:before="2" w:after="2"/>
              <w:ind w:left="0"/>
              <w:jc w:val="center"/>
              <w:rPr>
                <w:b/>
                <w:sz w:val="22"/>
                <w:szCs w:val="22"/>
              </w:rPr>
            </w:pPr>
            <w:r>
              <w:rPr>
                <w:b/>
                <w:sz w:val="22"/>
                <w:szCs w:val="22"/>
              </w:rPr>
              <w:t>(Media alta)</w:t>
            </w:r>
          </w:p>
        </w:tc>
        <w:tc>
          <w:tcPr>
            <w:tcW w:w="1503" w:type="dxa"/>
            <w:shd w:val="clear" w:color="auto" w:fill="auto"/>
          </w:tcPr>
          <w:p w14:paraId="2B48B7E3" w14:textId="77777777" w:rsidR="00C4384E" w:rsidRDefault="004D6DC9">
            <w:pPr>
              <w:pStyle w:val="Text1"/>
              <w:spacing w:before="2" w:after="2"/>
              <w:ind w:left="0"/>
              <w:jc w:val="center"/>
              <w:rPr>
                <w:b/>
                <w:sz w:val="22"/>
                <w:szCs w:val="22"/>
              </w:rPr>
            </w:pPr>
            <w:r>
              <w:rPr>
                <w:b/>
                <w:sz w:val="22"/>
                <w:szCs w:val="22"/>
              </w:rPr>
              <w:t>Superior o igual al 90 %</w:t>
            </w:r>
          </w:p>
        </w:tc>
      </w:tr>
      <w:tr w:rsidR="00C4384E" w14:paraId="47031F29" w14:textId="77777777" w:rsidTr="004C779D">
        <w:tc>
          <w:tcPr>
            <w:tcW w:w="1885" w:type="dxa"/>
            <w:shd w:val="clear" w:color="auto" w:fill="auto"/>
          </w:tcPr>
          <w:p w14:paraId="24235890" w14:textId="77777777" w:rsidR="00C4384E" w:rsidRDefault="00366BB1">
            <w:pPr>
              <w:pStyle w:val="Text1"/>
              <w:spacing w:before="2" w:after="2"/>
              <w:ind w:left="0"/>
              <w:jc w:val="center"/>
              <w:rPr>
                <w:b/>
                <w:sz w:val="20"/>
              </w:rPr>
            </w:pPr>
            <w:r>
              <w:rPr>
                <w:b/>
                <w:sz w:val="20"/>
              </w:rPr>
              <w:t>Tamaño mínimo de la muestra</w:t>
            </w:r>
          </w:p>
        </w:tc>
        <w:tc>
          <w:tcPr>
            <w:tcW w:w="1560" w:type="dxa"/>
          </w:tcPr>
          <w:p w14:paraId="7B094A6D" w14:textId="77777777" w:rsidR="00C4384E" w:rsidRDefault="00366BB1">
            <w:pPr>
              <w:pStyle w:val="Text1"/>
              <w:spacing w:before="2" w:after="2"/>
              <w:ind w:left="0"/>
              <w:jc w:val="center"/>
              <w:rPr>
                <w:b/>
                <w:sz w:val="22"/>
                <w:szCs w:val="22"/>
              </w:rPr>
            </w:pPr>
            <w:r>
              <w:rPr>
                <w:b/>
                <w:sz w:val="22"/>
                <w:szCs w:val="22"/>
              </w:rPr>
              <w:t>Calculado con MAS o MUM estándar o conservador, pero con 30 elementos como mínimo</w:t>
            </w:r>
          </w:p>
        </w:tc>
        <w:tc>
          <w:tcPr>
            <w:tcW w:w="1473" w:type="dxa"/>
            <w:shd w:val="clear" w:color="auto" w:fill="auto"/>
          </w:tcPr>
          <w:p w14:paraId="2E7927B1" w14:textId="77777777" w:rsidR="00C4384E" w:rsidRDefault="00366BB1">
            <w:pPr>
              <w:pStyle w:val="Text1"/>
              <w:spacing w:before="2" w:after="2"/>
              <w:ind w:left="0"/>
              <w:jc w:val="center"/>
              <w:rPr>
                <w:b/>
                <w:sz w:val="22"/>
                <w:szCs w:val="22"/>
              </w:rPr>
            </w:pPr>
            <w:r>
              <w:rPr>
                <w:b/>
                <w:sz w:val="22"/>
                <w:szCs w:val="22"/>
              </w:rPr>
              <w:t>Calculado con MAS o MUM estándar o conservador, pero con 30 elementos como mínimo</w:t>
            </w:r>
          </w:p>
        </w:tc>
        <w:tc>
          <w:tcPr>
            <w:tcW w:w="1530" w:type="dxa"/>
            <w:shd w:val="clear" w:color="auto" w:fill="auto"/>
          </w:tcPr>
          <w:p w14:paraId="78F480F2" w14:textId="77777777" w:rsidR="00C4384E" w:rsidRDefault="00366BB1">
            <w:pPr>
              <w:pStyle w:val="Text1"/>
              <w:spacing w:before="2" w:after="2"/>
              <w:ind w:left="0"/>
              <w:jc w:val="center"/>
              <w:rPr>
                <w:b/>
                <w:sz w:val="22"/>
                <w:szCs w:val="22"/>
              </w:rPr>
            </w:pPr>
            <w:r>
              <w:rPr>
                <w:b/>
                <w:sz w:val="22"/>
                <w:szCs w:val="22"/>
              </w:rPr>
              <w:t>Calculado con MAS o MUM estándar o conservador, pero con 30 elementos como mínimo</w:t>
            </w:r>
          </w:p>
        </w:tc>
        <w:tc>
          <w:tcPr>
            <w:tcW w:w="1503" w:type="dxa"/>
            <w:shd w:val="clear" w:color="auto" w:fill="auto"/>
          </w:tcPr>
          <w:p w14:paraId="5703C756" w14:textId="77777777" w:rsidR="00C4384E" w:rsidRDefault="00366BB1">
            <w:pPr>
              <w:pStyle w:val="Text1"/>
              <w:spacing w:before="2" w:after="2"/>
              <w:ind w:left="0"/>
              <w:jc w:val="center"/>
              <w:rPr>
                <w:b/>
                <w:sz w:val="22"/>
                <w:szCs w:val="22"/>
              </w:rPr>
            </w:pPr>
            <w:r>
              <w:rPr>
                <w:b/>
                <w:sz w:val="22"/>
                <w:szCs w:val="22"/>
              </w:rPr>
              <w:t>Calculado con MAS o MUM estándar o conservador, pero con 30 elementos como mínimo</w:t>
            </w:r>
          </w:p>
        </w:tc>
      </w:tr>
    </w:tbl>
    <w:p w14:paraId="5DCF3778" w14:textId="77777777" w:rsidR="00C4384E" w:rsidRDefault="00C4384E">
      <w:pPr>
        <w:pStyle w:val="Text1"/>
        <w:spacing w:after="120"/>
        <w:ind w:left="0"/>
      </w:pPr>
    </w:p>
    <w:p w14:paraId="718FCCAF" w14:textId="77777777" w:rsidR="00C4384E" w:rsidRDefault="003A4AC4">
      <w:pPr>
        <w:pStyle w:val="Text1"/>
        <w:spacing w:after="120"/>
        <w:ind w:left="0"/>
      </w:pPr>
      <w:r>
        <w:t>La determinación del tamaño de la muestra se basa en todos los casos en el nivel de garantía establecido teniendo en cuenta la garantía del sistema de acuerdo con la sección 4.2. Considerando que pueden aplicarse diferentes tipos de estratificación para las pruebas sustantivas, la definición del tamaño de la muestra para las pruebas sustantivas puede variar como sigue:</w:t>
      </w:r>
    </w:p>
    <w:p w14:paraId="34AC4A77" w14:textId="5B6D747C" w:rsidR="00C4384E" w:rsidRDefault="002455E9">
      <w:pPr>
        <w:pStyle w:val="Text1"/>
        <w:numPr>
          <w:ilvl w:val="0"/>
          <w:numId w:val="62"/>
        </w:numPr>
        <w:spacing w:after="120"/>
      </w:pPr>
      <w:r>
        <w:t xml:space="preserve">En el caso del FEAGA/Feader SIGC y del Feader no SIGC [con estratificación en virtud del punto (1) anterior]: determinar si debe utilizarse el método de muestreo estadístico en función de la población de muestreo. Si debe utilizarse el método de muestreo estadístico, determinar el tamaño global de la muestra con el método de muestreo seleccionado. Los elementos deben ser seleccionados aleatoriamente a partir de la población de la muestra. Lo mismo se aplica en caso de que se utilice el muestreo no estadístico. En ambos casos, para una mejor representatividad, podrían tenerse en cuenta la estratificación y la determinación del tamaño de la muestra por estrato. </w:t>
      </w:r>
    </w:p>
    <w:p w14:paraId="50B1787E" w14:textId="4495D3B9" w:rsidR="00C4384E" w:rsidRDefault="0095463C">
      <w:pPr>
        <w:pStyle w:val="Text1"/>
        <w:numPr>
          <w:ilvl w:val="0"/>
          <w:numId w:val="62"/>
        </w:numPr>
        <w:spacing w:after="120"/>
      </w:pPr>
      <w:r>
        <w:t>En el caso de la población FEAGA no SIGC y si se utiliza la estratificación sobre la base de otra consideración [en virtud del punto (2) anterior], por ejemplo, si en el caso de algunas medidas debe respetarse un tamaño mínimo de la muestra para la confirmación de las medidas a los fines del artículo 41 del Reglamento de Ejecución (UE) n.º 908/2014 de la Comisión:</w:t>
      </w:r>
    </w:p>
    <w:p w14:paraId="43685BA1" w14:textId="602A857F" w:rsidR="00C4384E" w:rsidRDefault="002455E9">
      <w:pPr>
        <w:pStyle w:val="Text1"/>
        <w:numPr>
          <w:ilvl w:val="1"/>
          <w:numId w:val="62"/>
        </w:numPr>
        <w:spacing w:after="120"/>
      </w:pPr>
      <w:r>
        <w:t>determinar todos los estratos,</w:t>
      </w:r>
    </w:p>
    <w:p w14:paraId="159011DF" w14:textId="5677BC2D" w:rsidR="00C4384E" w:rsidRDefault="002455E9">
      <w:pPr>
        <w:pStyle w:val="Text1"/>
        <w:numPr>
          <w:ilvl w:val="1"/>
          <w:numId w:val="62"/>
        </w:numPr>
        <w:spacing w:after="120"/>
      </w:pPr>
      <w:r>
        <w:lastRenderedPageBreak/>
        <w:t>determinar el tamaño de la muestra por estrato, de conformidad con la sección 4.2, en función del método de muestreo seleccionado.</w:t>
      </w:r>
    </w:p>
    <w:p w14:paraId="530A5E72" w14:textId="68805F53" w:rsidR="00C4384E" w:rsidRDefault="002455E9">
      <w:pPr>
        <w:pStyle w:val="Text1"/>
        <w:spacing w:after="120"/>
        <w:ind w:left="0"/>
      </w:pPr>
      <w:r>
        <w:t xml:space="preserve">En ambos casos puede ser necesario realizar un ajuste final en función de los importes realmente pagados. Dado que el OC debe verificar la legalidad y la regularidad de los gastos y comienza sus trabajos sobre la base de los importes solicitados, será necesario proceder a una comprobación final de la muestra a este respecto. En esta fase, si el OC debe adaptar su muestra y hacer un muestreo adicional para sustituir los elementos que no han sido pagados, no podrá verificar de nuevo los controles sobre el terreno de estos elementos suplementarios. Estas comprobaciones deberán llevarse a cabo sobre una base documental (legalidad y regularidad principalmente basadas en controles administrativos). En caso de que solo deban sustituirse algunos elementos, el OC puede verificar si, con el nuevo cálculo del nivel de confianza para el tamaño de la muestra más pequeño relativo a los importes realmente pagados, pueden obtenerse resultados concluyentes en consonancia con la supuesta garantía del </w:t>
      </w:r>
      <w:r w:rsidR="00805BA2">
        <w:t>sistema.</w:t>
      </w:r>
    </w:p>
    <w:p w14:paraId="4FD60B5D" w14:textId="221CA7E0" w:rsidR="00C4384E" w:rsidRDefault="00D67140">
      <w:pPr>
        <w:pStyle w:val="Text1"/>
        <w:spacing w:after="120"/>
        <w:ind w:left="0"/>
      </w:pPr>
      <w:r>
        <w:t xml:space="preserve">Además, en lo que atañe a las poblaciones no SIGC, se recomienda que el OC disponga de una muestra con un tamaño mínimo de treinta controles sobre el terreno para una nueva verificación, en caso de que deba utilizarse el método de muestreo estadístico para la población en cuestión. Si en la muestra inicialmente extraída, hay menos de treinta controles sobre el terreno, el OC debería seleccionar aleatoriamente otros controles hasta alcanzar los treinta. La selección adicional debe extraerse de </w:t>
      </w:r>
      <w:r>
        <w:rPr>
          <w:b/>
          <w:bCs/>
        </w:rPr>
        <w:t>todos</w:t>
      </w:r>
      <w:r>
        <w:t xml:space="preserve"> los controles sobre el terreno de la población específica. Los errores resultantes de los elementos suplementarios deben añadirse al error extrapolado resultante de la muestra estadística. También se recomienda que, en caso de que el OC seleccione un elemento vinculado únicamente a un control ex post o a un control sobre el terreno suplementario relacionado con la ecologización, en el contexto del artículo 26, apartado 4, del Reglamento (UE) n.º 809/2014, este elemento sea contabilizado además de los treinta elementos seleccionados para una nueva verificación sobre el terreno. </w:t>
      </w:r>
    </w:p>
    <w:p w14:paraId="617EC15B" w14:textId="4C749335" w:rsidR="00C4384E" w:rsidRDefault="00566D43">
      <w:r>
        <w:t>En caso de que la muestra aleatoria de controles sobre el terreno del OP</w:t>
      </w:r>
      <w:r>
        <w:rPr>
          <w:rStyle w:val="FootnoteReference"/>
        </w:rPr>
        <w:footnoteReference w:id="32"/>
      </w:r>
      <w:r>
        <w:t xml:space="preserve"> para una población específica sea una pequeña población (es decir, menos de 200 transacciones), puede utilizarse un muestreo no estadístico. El tamaño de la muestra en el caso del </w:t>
      </w:r>
      <w:r>
        <w:rPr>
          <w:b/>
          <w:bCs/>
        </w:rPr>
        <w:t>muestreo no estadístico</w:t>
      </w:r>
      <w:r>
        <w:t xml:space="preserve"> puede variar entre 1 y 40 transacciones en función de la garantía valorada del sistema (véase el anexo 2, sección 4.1. Muestreo sobre pequeñas poblaciones de transacciones operativas). </w:t>
      </w:r>
    </w:p>
    <w:p w14:paraId="0330131C" w14:textId="77777777" w:rsidR="00C4384E" w:rsidRDefault="00192AE9">
      <w:pPr>
        <w:rPr>
          <w:b/>
        </w:rPr>
      </w:pPr>
      <w:r>
        <w:rPr>
          <w:b/>
        </w:rPr>
        <w:t>Muestreo en dos etapas</w:t>
      </w:r>
    </w:p>
    <w:p w14:paraId="6659C30E" w14:textId="68D7D559" w:rsidR="00C4384E" w:rsidRDefault="00192AE9">
      <w:pPr>
        <w:pStyle w:val="ListNumberLevel2"/>
        <w:numPr>
          <w:ilvl w:val="0"/>
          <w:numId w:val="0"/>
        </w:numPr>
        <w:spacing w:after="0"/>
      </w:pPr>
      <w:r>
        <w:t xml:space="preserve">En general, todos los gastos declarados por las transacciones seleccionadas deben someterse a una auditoría. No obstante, en caso de que deban verificarse un gran número de facturas o documentos equivalentes (por ejemplo, facturas en el caso de las medidas no SIGC y parcelas en el caso de las medidas SIGC), podría aplicarse el muestreo en dos etapas. En cada transacción seleccionada, debe calcularse un tamaño adecuado para la muestra y los errores detectados en esa muestra deben ser, en primer lugar, extrapolados al valor de la transacción. A continuación, esa transacción con el error determinado con </w:t>
      </w:r>
      <w:r>
        <w:lastRenderedPageBreak/>
        <w:t xml:space="preserve">respecto a la transacción debe ser extrapolada al conjunto de la población (si no se trata de un error conocido o de elementos fundamentales comprobados separadamente). Para disponer de información más detallada, véase el anexo 2 de la presente directriz. </w:t>
      </w:r>
    </w:p>
    <w:p w14:paraId="4911EE35" w14:textId="77777777" w:rsidR="00C4384E" w:rsidRDefault="00C4384E">
      <w:pPr>
        <w:rPr>
          <w:b/>
        </w:rPr>
      </w:pPr>
    </w:p>
    <w:p w14:paraId="4FEC492F" w14:textId="77777777" w:rsidR="00C4384E" w:rsidRDefault="00A30DD5">
      <w:pPr>
        <w:rPr>
          <w:b/>
        </w:rPr>
      </w:pPr>
      <w:r>
        <w:rPr>
          <w:b/>
        </w:rPr>
        <w:t>Evaluación de los resultados de la muestra</w:t>
      </w:r>
    </w:p>
    <w:p w14:paraId="36C0796D" w14:textId="77777777" w:rsidR="00C4384E" w:rsidRDefault="002455E9">
      <w:pPr>
        <w:rPr>
          <w:b/>
        </w:rPr>
      </w:pPr>
      <w:r>
        <w:rPr>
          <w:b/>
        </w:rPr>
        <w:t>Error total extrapolado (Índice de incumplimiento) - Límite superior de error/Error total – Trabajo adicional</w:t>
      </w:r>
    </w:p>
    <w:p w14:paraId="10FF0CEA" w14:textId="77777777" w:rsidR="00C4384E" w:rsidRDefault="00A30DD5">
      <w:pPr>
        <w:autoSpaceDE w:val="0"/>
        <w:autoSpaceDN w:val="0"/>
        <w:adjustRightInd w:val="0"/>
        <w:spacing w:after="0"/>
        <w:jc w:val="left"/>
      </w:pPr>
      <w:r>
        <w:t>De conformidad con la NIA 530, el OC debe evaluar:</w:t>
      </w:r>
    </w:p>
    <w:p w14:paraId="239F16F8" w14:textId="0A4A855F" w:rsidR="00C4384E" w:rsidRDefault="00A30DD5">
      <w:pPr>
        <w:pStyle w:val="ListNumberLevel2"/>
        <w:numPr>
          <w:ilvl w:val="1"/>
          <w:numId w:val="106"/>
        </w:numPr>
        <w:spacing w:after="0"/>
      </w:pPr>
      <w:r>
        <w:t xml:space="preserve">los resultados de la muestra: para la evaluación de los resultados de las pruebas sustantivas realizadas según el método de muestreo estadístico, el OC tendrá que establecer el error total extrapolado y el límite superior de error, y </w:t>
      </w:r>
    </w:p>
    <w:p w14:paraId="2940F725" w14:textId="45A20D2C" w:rsidR="00C4384E" w:rsidRDefault="00A30DD5">
      <w:pPr>
        <w:pStyle w:val="ListNumberLevel2"/>
        <w:numPr>
          <w:ilvl w:val="1"/>
          <w:numId w:val="106"/>
        </w:numPr>
        <w:spacing w:after="0"/>
      </w:pPr>
      <w:r>
        <w:t>si la utilización del muestreo de auditoría ha proporcionado una base razonable para</w:t>
      </w:r>
    </w:p>
    <w:p w14:paraId="3C56121F" w14:textId="77777777" w:rsidR="00C4384E" w:rsidRDefault="00A30DD5">
      <w:r>
        <w:t xml:space="preserve">las conclusiones sobre la población que ha sido comprobada. </w:t>
      </w:r>
    </w:p>
    <w:p w14:paraId="4D01F445" w14:textId="49B9542A" w:rsidR="00C4384E" w:rsidRDefault="002455E9">
      <w:r>
        <w:t>El error total extrapolado (ETE) se obtiene mediante extrapolación, extendiendo los errores aleatorios identificados en la muestra al conjunto de la población/estrato. Corresponde al error más probable (EMP) en la terminología del MUM. En el caso del objetivo de auditoría n.º 2, corresponde al porcentaje de incumplimiento extrapolado (PIE).</w:t>
      </w:r>
    </w:p>
    <w:p w14:paraId="5F04E011" w14:textId="77777777" w:rsidR="00C4384E" w:rsidRDefault="002455E9">
      <w:r>
        <w:t>El límite superior de error (LSE) o el porcentaje de incumplimiento superior extrapolado (ISE) es la suma del error extrapolado y de la precisión (riesgo de muestreo).</w:t>
      </w:r>
    </w:p>
    <w:p w14:paraId="5914E6AF" w14:textId="65DEB59C" w:rsidR="00C4384E" w:rsidRDefault="002455E9">
      <w:r>
        <w:t>El OC debe valorar la correlación del ETE y del LSE con la materialidad (IT). Pueden darse los siguientes supuestos:</w:t>
      </w:r>
    </w:p>
    <w:p w14:paraId="11E2A0BE" w14:textId="77777777" w:rsidR="00C4384E" w:rsidRDefault="00BC71AB">
      <w:pPr>
        <w:pStyle w:val="Text1"/>
        <w:numPr>
          <w:ilvl w:val="0"/>
          <w:numId w:val="62"/>
        </w:numPr>
        <w:spacing w:after="120"/>
      </w:pPr>
      <w:r>
        <w:t xml:space="preserve">el PIE o el EMP superan la materialidad. Puede concluirse que el riesgo de deficiencias de control que pueden causar un riesgo para el Fondo es material y que el riesgo máximo corresponde al PIE + precisión = ISE. </w:t>
      </w:r>
    </w:p>
    <w:p w14:paraId="3E3D5258" w14:textId="77777777" w:rsidR="00C4384E" w:rsidRDefault="002455E9">
      <w:pPr>
        <w:pStyle w:val="Text1"/>
        <w:numPr>
          <w:ilvl w:val="0"/>
          <w:numId w:val="62"/>
        </w:numPr>
        <w:spacing w:after="120"/>
      </w:pPr>
      <w:r>
        <w:t>Tanto el PIE (ETE/EMP) como el ISE (LSE) están por debajo de la materialidad. Puede afirmarse que, en el riesgo de muestreo especificado, no existe ningún riesgo material para el sistema de gestión y control ni para el Fondo, respectivamente. El riesgo máximo es el LSE.</w:t>
      </w:r>
    </w:p>
    <w:p w14:paraId="518CD215" w14:textId="4B14DA3E" w:rsidR="00C4384E" w:rsidRDefault="00BC71AB">
      <w:pPr>
        <w:pStyle w:val="Text1"/>
        <w:numPr>
          <w:ilvl w:val="0"/>
          <w:numId w:val="62"/>
        </w:numPr>
        <w:spacing w:after="120"/>
      </w:pPr>
      <w:r>
        <w:t xml:space="preserve">El PIE (ETE o EMP) son inferiores a la materialidad y el ISE (LSE) supera la materialidad. Los resultados del muestreo no confirman el supuesto inicial de la auditoría del OC. </w:t>
      </w:r>
    </w:p>
    <w:p w14:paraId="226460D9" w14:textId="77777777" w:rsidR="00C4384E" w:rsidRDefault="00715DFF">
      <w:pPr>
        <w:autoSpaceDE w:val="0"/>
        <w:autoSpaceDN w:val="0"/>
        <w:adjustRightInd w:val="0"/>
        <w:spacing w:after="0"/>
        <w:jc w:val="left"/>
      </w:pPr>
      <w:r>
        <w:t xml:space="preserve">Si el OC concluye que el muestreo de auditoría no ha proporcionado una base razonable para alcanzar conclusiones sobre la población que ha sido comprobada, puede: </w:t>
      </w:r>
    </w:p>
    <w:p w14:paraId="7FE429EA" w14:textId="66C1EBA3" w:rsidR="00C4384E" w:rsidRDefault="00715DFF">
      <w:pPr>
        <w:pStyle w:val="ListNumberLevel2"/>
        <w:numPr>
          <w:ilvl w:val="0"/>
          <w:numId w:val="111"/>
        </w:numPr>
        <w:spacing w:after="0"/>
        <w:ind w:left="1418" w:hanging="284"/>
      </w:pPr>
      <w:r>
        <w:t>solicitar a la dirección que investigue las incorrecciones identificadas y la posibilidad de que existan incorrecciones adicionales, y que realice cualquier ajuste que resulte necesario;</w:t>
      </w:r>
    </w:p>
    <w:p w14:paraId="6F28E1FA" w14:textId="2F096B91" w:rsidR="00C4384E" w:rsidRDefault="00715DFF">
      <w:pPr>
        <w:pStyle w:val="ListNumberLevel2"/>
        <w:numPr>
          <w:ilvl w:val="1"/>
          <w:numId w:val="106"/>
        </w:numPr>
        <w:spacing w:after="0"/>
      </w:pPr>
      <w:r>
        <w:t>adaptar la naturaleza, calendario y alcance de los procedimientos de auditoría adicionales</w:t>
      </w:r>
    </w:p>
    <w:p w14:paraId="0E722A49" w14:textId="77777777" w:rsidR="00C4384E" w:rsidRDefault="00715DFF">
      <w:pPr>
        <w:pStyle w:val="ListNumberLevel2"/>
        <w:numPr>
          <w:ilvl w:val="0"/>
          <w:numId w:val="0"/>
        </w:numPr>
        <w:spacing w:after="0"/>
        <w:ind w:left="1080"/>
      </w:pPr>
      <w:r>
        <w:t>para alcanzar de la mejor manera la garantía requerida.</w:t>
      </w:r>
    </w:p>
    <w:p w14:paraId="4CCCECBD" w14:textId="77777777" w:rsidR="00C4384E" w:rsidRDefault="00C4384E">
      <w:pPr>
        <w:pStyle w:val="ListNumberLevel2"/>
        <w:numPr>
          <w:ilvl w:val="0"/>
          <w:numId w:val="0"/>
        </w:numPr>
        <w:spacing w:after="0"/>
      </w:pPr>
    </w:p>
    <w:p w14:paraId="6CA2EDAB" w14:textId="77777777" w:rsidR="00C4384E" w:rsidRDefault="0062174E">
      <w:pPr>
        <w:pStyle w:val="ListNumberLevel2"/>
        <w:numPr>
          <w:ilvl w:val="0"/>
          <w:numId w:val="0"/>
        </w:numPr>
        <w:spacing w:after="0"/>
      </w:pPr>
      <w:r>
        <w:t>Pueden tomarse en consideración las siguientes maneras de proceder:</w:t>
      </w:r>
    </w:p>
    <w:p w14:paraId="41849F40" w14:textId="6AA1E2C1" w:rsidR="00C4384E" w:rsidRDefault="002455E9">
      <w:pPr>
        <w:pStyle w:val="Text1"/>
        <w:numPr>
          <w:ilvl w:val="1"/>
          <w:numId w:val="62"/>
        </w:numPr>
        <w:spacing w:after="120"/>
      </w:pPr>
      <w:r>
        <w:lastRenderedPageBreak/>
        <w:t>Comprobar si con un nivel de confianza diferente los resultados del muestreo corroborarían el supuesto inicial de la auditoría y, por lo tanto, el OC podría obtener aún resultados concluyentes sobre la base del trabajo efectuado.</w:t>
      </w:r>
    </w:p>
    <w:p w14:paraId="17DE23E8" w14:textId="177074B7" w:rsidR="00C4384E" w:rsidRDefault="002455E9">
      <w:pPr>
        <w:pStyle w:val="Text1"/>
        <w:numPr>
          <w:ilvl w:val="1"/>
          <w:numId w:val="62"/>
        </w:numPr>
        <w:spacing w:after="120"/>
      </w:pPr>
      <w:r>
        <w:t>Verificar si algunos de los errores aleatorios no pueden ser considerados errores del sistema, y por lo tanto sobre la base de algún trabajo adicional podría establecerse un error conocido.</w:t>
      </w:r>
    </w:p>
    <w:p w14:paraId="401443F6" w14:textId="503A5E8E" w:rsidR="00C4384E" w:rsidRDefault="002455E9">
      <w:pPr>
        <w:pStyle w:val="Text1"/>
        <w:numPr>
          <w:ilvl w:val="1"/>
          <w:numId w:val="62"/>
        </w:numPr>
        <w:spacing w:after="120"/>
      </w:pPr>
      <w:r>
        <w:t>Ver si con pruebas suplementarias (aumentando el nivel de confianza o el error anticipado) y reduciendo el riesgo de muestreo puede alcanzarse un resultado concluyente.</w:t>
      </w:r>
    </w:p>
    <w:p w14:paraId="6480158C" w14:textId="41D38D4D" w:rsidR="00C4384E" w:rsidRDefault="002455E9">
      <w:pPr>
        <w:pStyle w:val="Text1"/>
        <w:numPr>
          <w:ilvl w:val="1"/>
          <w:numId w:val="62"/>
        </w:numPr>
        <w:spacing w:after="120"/>
      </w:pPr>
      <w:r>
        <w:t>Aplicar procedimientos de auditoría alternativos para obtener una garantía suplementaria.</w:t>
      </w:r>
    </w:p>
    <w:p w14:paraId="20C78C41" w14:textId="2D416CF8" w:rsidR="00C4384E" w:rsidRDefault="002455E9">
      <w:r>
        <w:t xml:space="preserve">En lo que atañe al muestreo adicional y al nuevo cálculo del nivel de confianza, véase el anexo 2. También debe considerarse que en esta fase existe una limitación para la nueva verificación de los controles sobre el terreno. Puede haber casos en los que los diferentes métodos de evaluación de errores en virtud del MAS ofrezcan resultados considerablemente diferentes. Este tipo de situaciones se explica en el anexo 2. </w:t>
      </w:r>
    </w:p>
    <w:p w14:paraId="225C5EC6" w14:textId="4D7538B5" w:rsidR="00C4384E" w:rsidRDefault="00B83DD2">
      <w:r>
        <w:t>El índice de incumplimiento total (IIT) es la suma del ISE (LSE) y de los errores conocidos (incluidos los resultantes de la muestra suplementaria de los pagos). En la formulación de la conclusión final de la opinión de auditoría, el nivel del índice de incumplimiento total debe ser indicativo.</w:t>
      </w:r>
    </w:p>
    <w:p w14:paraId="4CAC9E82" w14:textId="77777777" w:rsidR="00C4384E" w:rsidRDefault="002455E9">
      <w:pPr>
        <w:pStyle w:val="Text1"/>
        <w:spacing w:after="120"/>
        <w:ind w:left="0"/>
      </w:pPr>
      <w:r>
        <w:t>Para el método de muestreo no estadístico, solo puede calcularse el índice de incumplimiento extrapolado. En este caso, el índice de incumplimiento extrapolado se determina mediante la suma de las diferencias identificadas entre los valores consignados y auditados y la división del error total por el valor total de los elementos controlados. Este índice de incumplimiento extrapolado debe compararse con la materialidad para la conclusión del OC en lo que atañe al alcance del error en la población.</w:t>
      </w:r>
    </w:p>
    <w:p w14:paraId="1549AD22" w14:textId="77777777" w:rsidR="00C4384E" w:rsidRDefault="00C4384E">
      <w:pPr>
        <w:spacing w:after="120"/>
      </w:pPr>
    </w:p>
    <w:p w14:paraId="4683A4E7" w14:textId="77777777" w:rsidR="00C4384E" w:rsidRDefault="002455E9">
      <w:pPr>
        <w:pStyle w:val="Heading1"/>
        <w:numPr>
          <w:ilvl w:val="0"/>
          <w:numId w:val="74"/>
        </w:numPr>
      </w:pPr>
      <w:bookmarkStart w:id="62" w:name="_Toc16667644"/>
      <w:r>
        <w:t>Conciliaciones – procedimientos analíticos</w:t>
      </w:r>
      <w:bookmarkEnd w:id="62"/>
    </w:p>
    <w:p w14:paraId="435A0A8F" w14:textId="74E4772E" w:rsidR="00C4384E" w:rsidRDefault="002455E9">
      <w:pPr>
        <w:spacing w:after="120"/>
      </w:pPr>
      <w:r>
        <w:t>Para que el OC pueda llegar a una conclusión sobre la legalidad y regularidad del gasto (objetivo de auditoría n.º 2), deberá conciliar:</w:t>
      </w:r>
    </w:p>
    <w:p w14:paraId="7053E537" w14:textId="5B2BD8E9" w:rsidR="00C4384E" w:rsidRDefault="0089442B">
      <w:pPr>
        <w:numPr>
          <w:ilvl w:val="0"/>
          <w:numId w:val="68"/>
        </w:numPr>
        <w:spacing w:after="120"/>
      </w:pPr>
      <w:r>
        <w:t>las estadísticas de control con la base de datos del organismo pagador,</w:t>
      </w:r>
    </w:p>
    <w:p w14:paraId="5D8D63F1" w14:textId="30507D62" w:rsidR="00C4384E" w:rsidRDefault="0089442B">
      <w:pPr>
        <w:numPr>
          <w:ilvl w:val="0"/>
          <w:numId w:val="68"/>
        </w:numPr>
        <w:spacing w:after="120"/>
      </w:pPr>
      <w:r>
        <w:t>la declaración sobre la gestión con los datos subyacentes correspondientes.</w:t>
      </w:r>
    </w:p>
    <w:p w14:paraId="14400339" w14:textId="77777777" w:rsidR="00C4384E" w:rsidRDefault="00922E30">
      <w:pPr>
        <w:spacing w:after="120"/>
      </w:pPr>
      <w:r>
        <w:t>También debe verificar el estado actual de ejecución de todos los planes de acción que se ocupan de las constataciones de conformidad que suscitaron reservas en la declaración de gestión de la DG AGRI en el IAA.</w:t>
      </w:r>
    </w:p>
    <w:p w14:paraId="76C8600B" w14:textId="77777777" w:rsidR="00C4384E" w:rsidRDefault="007B6F5A">
      <w:pPr>
        <w:pStyle w:val="Heading2"/>
      </w:pPr>
      <w:bookmarkStart w:id="63" w:name="_Toc16667645"/>
      <w:r>
        <w:t>13.1 Estadísticas de control</w:t>
      </w:r>
      <w:bookmarkEnd w:id="63"/>
    </w:p>
    <w:p w14:paraId="00198AFF" w14:textId="79053170" w:rsidR="00C4384E" w:rsidRDefault="0089442B">
      <w:pPr>
        <w:spacing w:after="120"/>
      </w:pPr>
      <w:r>
        <w:t>En lo que atañe a las estadísticas de control, el trabajo debe incluir:</w:t>
      </w:r>
    </w:p>
    <w:p w14:paraId="6EF61BFF" w14:textId="24B3FB7B" w:rsidR="00C4384E" w:rsidRDefault="00366BB1">
      <w:pPr>
        <w:numPr>
          <w:ilvl w:val="0"/>
          <w:numId w:val="69"/>
        </w:numPr>
        <w:spacing w:after="120"/>
      </w:pPr>
      <w:r>
        <w:t>la revisión de las estadísticas del FEAGA SIGC, de acuerdo con el Reglamento (UE) n.º 809/2014 de la Comisión;</w:t>
      </w:r>
    </w:p>
    <w:p w14:paraId="729CEACA" w14:textId="3AACD177" w:rsidR="00C4384E" w:rsidRDefault="00366BB1">
      <w:pPr>
        <w:numPr>
          <w:ilvl w:val="0"/>
          <w:numId w:val="69"/>
        </w:numPr>
        <w:spacing w:after="120"/>
      </w:pPr>
      <w:r>
        <w:t xml:space="preserve">la revisión de las medidas de desarrollo rural y de las estadísticas de control de la asistencia técnica, de acuerdo con el Reglamento (UE) n.º 809/2014 de la Comisión. </w:t>
      </w:r>
    </w:p>
    <w:p w14:paraId="08E83741" w14:textId="77777777" w:rsidR="00C4384E" w:rsidRDefault="00366BB1">
      <w:pPr>
        <w:numPr>
          <w:ilvl w:val="0"/>
          <w:numId w:val="69"/>
        </w:numPr>
        <w:spacing w:after="120"/>
      </w:pPr>
      <w:r>
        <w:lastRenderedPageBreak/>
        <w:t xml:space="preserve">los regímenes de apoyo en el sector vitivinícola contemplados en los artículos 46 y 47 del Reglamento (UE) n.º 1308/2013, según el Reglamento (UE) n.º 809/2014 de la Comisión. </w:t>
      </w:r>
    </w:p>
    <w:p w14:paraId="4F9C736E" w14:textId="57467D16" w:rsidR="00C4384E" w:rsidRDefault="0089442B">
      <w:pPr>
        <w:spacing w:after="120"/>
      </w:pPr>
      <w:r>
        <w:t>Las conciliaciones deben abarcar lo siguiente:</w:t>
      </w:r>
    </w:p>
    <w:p w14:paraId="4005335B" w14:textId="77777777" w:rsidR="00C4384E" w:rsidRDefault="0089442B">
      <w:pPr>
        <w:numPr>
          <w:ilvl w:val="0"/>
          <w:numId w:val="69"/>
        </w:numPr>
        <w:spacing w:after="120"/>
        <w:rPr>
          <w:bCs/>
        </w:rPr>
      </w:pPr>
      <w:r>
        <w:t xml:space="preserve">si el OP ha compilado y conciliado correctamente las estadísticas de control a los datos registrados en los sistemas de información, y si se dispone de una pista de auditoría suficiente: puede extraerse una conclusión positiva en ese sentido si la discrepancia global entre la información proporcionada en el cuestionario remitido a los servicios de la Comisión y los datos incluidos en los sistemas de información no supera el 2 % del importe abonado según conste en la base de datos; y </w:t>
      </w:r>
    </w:p>
    <w:p w14:paraId="228FEF38" w14:textId="77777777" w:rsidR="00C4384E" w:rsidRDefault="0089442B">
      <w:pPr>
        <w:numPr>
          <w:ilvl w:val="0"/>
          <w:numId w:val="69"/>
        </w:numPr>
        <w:spacing w:after="120"/>
        <w:rPr>
          <w:bCs/>
        </w:rPr>
      </w:pPr>
      <w:r>
        <w:t xml:space="preserve">si, a partir de los informes de inspección sobre el terreno, la información en los sistemas es revisada y valorada como exacta: puede alcanzarse una conclusión positiva a este respecto en caso de que la discrepancia entre los datos notificados y la información incluida en los sistemas de información no supere el 2 % del importe abonado de acuerdo con dichos datos para la muestra de informes en cuestión. </w:t>
      </w:r>
    </w:p>
    <w:p w14:paraId="06D903ED" w14:textId="0CF4C586" w:rsidR="00C4384E" w:rsidRDefault="002A5AE1">
      <w:pPr>
        <w:spacing w:after="120"/>
        <w:rPr>
          <w:bCs/>
        </w:rPr>
      </w:pPr>
      <w:r>
        <w:t>Este procedimiento analítico puede basarse en los procedimientos de auditoría aplicados para la valoración del sistema de control interno y las pruebas sustantivas. No se exige ningún muestreo adicional a menos que así lo decida el OC basándose en su criterio profesional. No obstante, las transacciones sometidas a pruebas sustantivas de la legalidad y regularidad deben ser objeto de seguimiento hasta los datos de control para que el OC pueda verificar si han sido comunicados los importes correctos resultantes de los controles sobre el terreno. En lo que atañe a las poblaciones no SIGC, los informes de inspección sobre el terreno examinados por el OC para el ejercicio financiero auditado pueden no estar relacionados con las estadísticas de control/los informes de control en cuestión para la declaración sobre la gestión. No obstante, basándose en el trabajo que debe efectuarse según lo descrito anteriormente, el OC deberá obtener garantías respecto a la fiabilidad de los datos de control incluidos en los sistemas del OP. Por lo tanto, estos resultados definirán la garantía que podrá obtenerse de las estadísticas de control/los informes de control y de los porcentajes de error notificados en la declaración sobre la gestión.</w:t>
      </w:r>
    </w:p>
    <w:p w14:paraId="76548720" w14:textId="77777777" w:rsidR="00C4384E" w:rsidRDefault="0089442B">
      <w:pPr>
        <w:spacing w:after="120"/>
        <w:rPr>
          <w:bCs/>
        </w:rPr>
      </w:pPr>
      <w:r>
        <w:t>Las estadísticas de control referentes a las medidas FEAGA no SIGC (no vinculadas al objetivo de auditoría n.º 2):</w:t>
      </w:r>
    </w:p>
    <w:p w14:paraId="23D0D5A1" w14:textId="6DD47C56" w:rsidR="00C4384E" w:rsidRDefault="0089442B">
      <w:pPr>
        <w:numPr>
          <w:ilvl w:val="0"/>
          <w:numId w:val="69"/>
        </w:numPr>
        <w:spacing w:after="120"/>
        <w:rPr>
          <w:bCs/>
        </w:rPr>
      </w:pPr>
      <w:r>
        <w:t xml:space="preserve">Deberán notificarse los controles a los que se refieren el artículo 80, apartado 1, del Reglamento (UE) n.º 1306/2013 y el capítulo IV, sección 2, artículos 42 a 47, del Reglamento de Ejecución (UE) n.º 908/2014 de la </w:t>
      </w:r>
      <w:r w:rsidR="00805BA2">
        <w:t>Comisión,</w:t>
      </w:r>
      <w:r>
        <w:t xml:space="preserve"> así como el seguimiento de los resultados de dichos controles por parte del OP.</w:t>
      </w:r>
    </w:p>
    <w:p w14:paraId="1DA056D6" w14:textId="4639A84F" w:rsidR="00C4384E" w:rsidRDefault="0089442B">
      <w:pPr>
        <w:spacing w:after="120"/>
      </w:pPr>
      <w:r>
        <w:t>El examen debe incluir las conclusiones (sobre posibles irregularidades) del servicio específico comunicadas al OP con el fin de comprobar si este realiza un seguimiento adecuado de todos los casos notificados, o bien debe proporcionarse una justificación en aquellos casos en los que el OP hubiera decidido no proceder a la recuperación o no adoptar medida alguna.</w:t>
      </w:r>
    </w:p>
    <w:p w14:paraId="2B2FFEF3" w14:textId="77777777" w:rsidR="00C4384E" w:rsidRDefault="007B6F5A">
      <w:pPr>
        <w:pStyle w:val="Heading2"/>
      </w:pPr>
      <w:bookmarkStart w:id="64" w:name="_Toc16667646"/>
      <w:r>
        <w:t>13.2 Procedimientos analíticos con respecto a la declaración sobre la gestión</w:t>
      </w:r>
      <w:bookmarkEnd w:id="64"/>
    </w:p>
    <w:p w14:paraId="6B547463" w14:textId="2CFAA715" w:rsidR="00C4384E" w:rsidRDefault="002A5AE1">
      <w:pPr>
        <w:spacing w:after="120"/>
      </w:pPr>
      <w:r>
        <w:t>El trabajo debe comprender las siguientes etapas:</w:t>
      </w:r>
    </w:p>
    <w:p w14:paraId="2201D814" w14:textId="412CE405" w:rsidR="00C4384E" w:rsidRDefault="002A5AE1">
      <w:pPr>
        <w:numPr>
          <w:ilvl w:val="0"/>
          <w:numId w:val="70"/>
        </w:numPr>
        <w:spacing w:after="120"/>
      </w:pPr>
      <w:r>
        <w:t>Verificar que la información incluida en la declaración sobre la gestión concuerda con los datos subyacentes, bases de datos, informes, sistema, etc.</w:t>
      </w:r>
    </w:p>
    <w:p w14:paraId="3BCB3023" w14:textId="671A0A9A" w:rsidR="00C4384E" w:rsidRDefault="001479D2">
      <w:pPr>
        <w:numPr>
          <w:ilvl w:val="0"/>
          <w:numId w:val="70"/>
        </w:numPr>
        <w:spacing w:after="120"/>
      </w:pPr>
      <w:r>
        <w:lastRenderedPageBreak/>
        <w:t>Comprobar si los porcentajes de error incluidos en el anexo II de la declaración sobre la gestión concuerdan con los resultados incluidos en los datos de control.</w:t>
      </w:r>
    </w:p>
    <w:p w14:paraId="7D028361" w14:textId="6D15B0AD" w:rsidR="00C4384E" w:rsidRDefault="001479D2">
      <w:pPr>
        <w:numPr>
          <w:ilvl w:val="0"/>
          <w:numId w:val="70"/>
        </w:numPr>
        <w:spacing w:after="120"/>
      </w:pPr>
      <w:r>
        <w:t>Verificar si los anexos III y IV contienen información correcta en lo que atañe al seguimiento y la situación de las constataciones de conformidad y si tales anexos están completos.</w:t>
      </w:r>
    </w:p>
    <w:p w14:paraId="64772A2E" w14:textId="77777777" w:rsidR="00C4384E" w:rsidRDefault="00C4384E">
      <w:pPr>
        <w:spacing w:after="0"/>
        <w:jc w:val="left"/>
      </w:pPr>
    </w:p>
    <w:p w14:paraId="4A9A0FFC" w14:textId="77777777" w:rsidR="00C4384E" w:rsidRDefault="007B6F5A">
      <w:pPr>
        <w:pStyle w:val="Heading2"/>
      </w:pPr>
      <w:bookmarkStart w:id="65" w:name="_Toc16667647"/>
      <w:r>
        <w:t>13.3 Procedimientos analíticos con respecto a los planes de acción</w:t>
      </w:r>
      <w:bookmarkEnd w:id="65"/>
    </w:p>
    <w:p w14:paraId="13641842" w14:textId="77777777" w:rsidR="00C4384E" w:rsidRDefault="001479D2">
      <w:pPr>
        <w:spacing w:after="120"/>
      </w:pPr>
      <w:r>
        <w:t>Los planes de acción motivados por las constataciones de conformidad que hayan dado lugar a la formulación de reservas en la declaración de gestión de la DG AGRI incluida en el IAA deben tener una incidencia en la planificación de los procedimientos de auditoría del OC (véase la sección 12.1). En cuanto a los procedimientos analíticos, el OC puede verificar:</w:t>
      </w:r>
    </w:p>
    <w:p w14:paraId="02034A10" w14:textId="77777777" w:rsidR="00C4384E" w:rsidRDefault="00022F5A">
      <w:pPr>
        <w:numPr>
          <w:ilvl w:val="0"/>
          <w:numId w:val="71"/>
        </w:numPr>
        <w:spacing w:after="120"/>
      </w:pPr>
      <w:r>
        <w:t>si el plan de acción se elaboró cuando era necesario,</w:t>
      </w:r>
    </w:p>
    <w:p w14:paraId="533CF020" w14:textId="77777777" w:rsidR="00C4384E" w:rsidRDefault="00022F5A">
      <w:pPr>
        <w:numPr>
          <w:ilvl w:val="0"/>
          <w:numId w:val="71"/>
        </w:numPr>
        <w:spacing w:after="120"/>
      </w:pPr>
      <w:r>
        <w:t>si el plan de acción se ejecutó de acuerdo con el calendario previsto,</w:t>
      </w:r>
    </w:p>
    <w:p w14:paraId="63D4CAD3" w14:textId="77777777" w:rsidR="00C4384E" w:rsidRDefault="00022F5A">
      <w:pPr>
        <w:numPr>
          <w:ilvl w:val="0"/>
          <w:numId w:val="71"/>
        </w:numPr>
        <w:spacing w:after="120"/>
      </w:pPr>
      <w:r>
        <w:t>si las medidas correctoras previstas en el plan de acción subsanarán las deficiencias incluidas en las constataciones de conformidad.</w:t>
      </w:r>
    </w:p>
    <w:p w14:paraId="7575F144" w14:textId="77777777" w:rsidR="00C4384E" w:rsidRDefault="00C4384E">
      <w:pPr>
        <w:pStyle w:val="Text1"/>
        <w:spacing w:after="120"/>
        <w:ind w:left="0"/>
      </w:pPr>
    </w:p>
    <w:p w14:paraId="48B5BE21" w14:textId="5D9620D4" w:rsidR="00C4384E" w:rsidRDefault="00192AE9">
      <w:pPr>
        <w:pStyle w:val="Text1"/>
        <w:spacing w:after="120"/>
        <w:ind w:left="0"/>
      </w:pPr>
      <w:r>
        <w:t>Para una parte de estos procedimientos analíticos, las pruebas adecuadas de los sistemas informáticos pueden desempeñar un papel fundamental.</w:t>
      </w:r>
    </w:p>
    <w:p w14:paraId="0AC0F5AD" w14:textId="77777777" w:rsidR="00C4384E" w:rsidRDefault="00C4384E">
      <w:pPr>
        <w:pStyle w:val="Text1"/>
        <w:spacing w:after="120"/>
        <w:ind w:left="0"/>
      </w:pPr>
    </w:p>
    <w:p w14:paraId="279D975C" w14:textId="77777777" w:rsidR="00C4384E" w:rsidRDefault="002455E9">
      <w:pPr>
        <w:pStyle w:val="Heading1"/>
        <w:numPr>
          <w:ilvl w:val="0"/>
          <w:numId w:val="74"/>
        </w:numPr>
      </w:pPr>
      <w:bookmarkStart w:id="66" w:name="_Toc16667648"/>
      <w:r>
        <w:t>Categorización y consolidación de errores</w:t>
      </w:r>
      <w:bookmarkEnd w:id="66"/>
      <w:r>
        <w:t xml:space="preserve"> </w:t>
      </w:r>
    </w:p>
    <w:p w14:paraId="63C47006" w14:textId="77777777" w:rsidR="00C4384E" w:rsidRDefault="007B6F5A">
      <w:pPr>
        <w:pStyle w:val="Heading2"/>
      </w:pPr>
      <w:bookmarkStart w:id="67" w:name="_Toc16667649"/>
      <w:r>
        <w:t>14.1 Categorización de errores</w:t>
      </w:r>
      <w:bookmarkEnd w:id="67"/>
    </w:p>
    <w:p w14:paraId="020A7A96" w14:textId="43CCF2B3" w:rsidR="00C4384E" w:rsidRDefault="002455E9">
      <w:pPr>
        <w:pStyle w:val="Text1"/>
        <w:spacing w:after="120"/>
        <w:ind w:left="0"/>
      </w:pPr>
      <w:r>
        <w:t>Con respecto a la auditoría de la legalidad y regularidad del gasto (objetivo de auditoría n.º 2) debe utilizarse la siguiente categorización de los errores:</w:t>
      </w:r>
    </w:p>
    <w:p w14:paraId="670D8F40" w14:textId="77777777" w:rsidR="00C4384E" w:rsidRDefault="002455E9">
      <w:pPr>
        <w:pStyle w:val="Text1"/>
        <w:numPr>
          <w:ilvl w:val="0"/>
          <w:numId w:val="62"/>
        </w:numPr>
        <w:spacing w:after="120"/>
      </w:pPr>
      <w:r>
        <w:t>En función de la condición de desviación:</w:t>
      </w:r>
    </w:p>
    <w:p w14:paraId="0E3D8464" w14:textId="1B0903BC" w:rsidR="00C4384E" w:rsidRDefault="003B1E98">
      <w:pPr>
        <w:pStyle w:val="ListDash2"/>
        <w:numPr>
          <w:ilvl w:val="1"/>
          <w:numId w:val="62"/>
        </w:numPr>
        <w:spacing w:after="120"/>
      </w:pPr>
      <w:r>
        <w:t xml:space="preserve">En el caso del índice de incumplimiento, la condición de desviación corresponde a la </w:t>
      </w:r>
      <w:r>
        <w:rPr>
          <w:b/>
          <w:bCs/>
        </w:rPr>
        <w:t>diferencia entre el importe validado por el OP y el importe validado por el OC</w:t>
      </w:r>
      <w:r>
        <w:t xml:space="preserve"> en su nueva verificación de los controles administrativos y sobre el terreno antes de que se apliquen las penalizaciones.</w:t>
      </w:r>
    </w:p>
    <w:p w14:paraId="690C974A" w14:textId="77777777" w:rsidR="00C4384E" w:rsidRDefault="003B1E98">
      <w:pPr>
        <w:pStyle w:val="ListDash2"/>
        <w:numPr>
          <w:ilvl w:val="1"/>
          <w:numId w:val="62"/>
        </w:numPr>
        <w:spacing w:after="120"/>
      </w:pPr>
      <w:r>
        <w:t xml:space="preserve">Otras </w:t>
      </w:r>
      <w:r>
        <w:rPr>
          <w:b/>
          <w:bCs/>
        </w:rPr>
        <w:t>desviaciones</w:t>
      </w:r>
      <w:r>
        <w:t xml:space="preserve"> o errores identificados, que por naturaleza </w:t>
      </w:r>
      <w:r>
        <w:rPr>
          <w:b/>
          <w:bCs/>
        </w:rPr>
        <w:t>seguirían siendo formales</w:t>
      </w:r>
      <w:r>
        <w:t>: por ejemplo, errores manifiestos cometidos por el solicitante o errores formales existentes en el procedimiento del OP (el pago es realmente correcto en lo que respecta a su importe, pero corresponde a una transacción en la que uno o más controles fallaron - por ejemplo, el pago no se autorizó en el nivel correcto).</w:t>
      </w:r>
    </w:p>
    <w:p w14:paraId="2314DD1B" w14:textId="77777777" w:rsidR="00C4384E" w:rsidRDefault="002455E9">
      <w:pPr>
        <w:pStyle w:val="Text1"/>
        <w:numPr>
          <w:ilvl w:val="0"/>
          <w:numId w:val="62"/>
        </w:numPr>
        <w:spacing w:after="120"/>
      </w:pPr>
      <w:r>
        <w:t>En función de la naturaleza del error</w:t>
      </w:r>
    </w:p>
    <w:p w14:paraId="72732BDF" w14:textId="77777777" w:rsidR="00C4384E" w:rsidRDefault="003B1E98">
      <w:pPr>
        <w:pStyle w:val="Text1"/>
        <w:spacing w:after="120"/>
        <w:ind w:left="283"/>
      </w:pPr>
      <w:r>
        <w:t>En lo que atañe a los errores sistémicos, conocidos y aleatorios, véase la sección 8.1.</w:t>
      </w:r>
    </w:p>
    <w:p w14:paraId="47670CC3" w14:textId="77777777" w:rsidR="00C4384E" w:rsidRDefault="002455E9">
      <w:pPr>
        <w:pStyle w:val="Text1"/>
        <w:numPr>
          <w:ilvl w:val="0"/>
          <w:numId w:val="62"/>
        </w:numPr>
        <w:spacing w:after="120"/>
      </w:pPr>
      <w:r>
        <w:t>En función del procedimiento de auditoría en el que se detecta la desviación:</w:t>
      </w:r>
    </w:p>
    <w:p w14:paraId="57616D54" w14:textId="77777777" w:rsidR="00C4384E" w:rsidRDefault="002455E9">
      <w:pPr>
        <w:pStyle w:val="ListDash2"/>
        <w:numPr>
          <w:ilvl w:val="1"/>
          <w:numId w:val="62"/>
        </w:numPr>
        <w:spacing w:after="120"/>
      </w:pPr>
      <w:r>
        <w:rPr>
          <w:b/>
        </w:rPr>
        <w:lastRenderedPageBreak/>
        <w:t>«Desviaciones de las pruebas de los procedimientos de control y de las pruebas de cumplimiento»</w:t>
      </w:r>
      <w:r>
        <w:t>: Para la interpretación del número de desviaciones y errores detectados durante la valoración del sistema de control interno, véase la sección 12. Los errores aleatorios detectados en pruebas de doble propósito deben tenerse en cuenta en el índice de incumplimiento.</w:t>
      </w:r>
    </w:p>
    <w:p w14:paraId="4FAC1D36" w14:textId="77777777" w:rsidR="00C4384E" w:rsidRDefault="002455E9">
      <w:pPr>
        <w:pStyle w:val="ListDash2"/>
        <w:numPr>
          <w:ilvl w:val="1"/>
          <w:numId w:val="62"/>
        </w:numPr>
        <w:spacing w:after="120"/>
        <w:rPr>
          <w:b/>
        </w:rPr>
      </w:pPr>
      <w:r>
        <w:rPr>
          <w:b/>
        </w:rPr>
        <w:t>«Índice de incumplimiento – II», el índice de incumplimiento extrapolado total del muestreo estadístico o no estadístico:</w:t>
      </w:r>
      <w:r>
        <w:t xml:space="preserve"> en el ámbito del objetivo de auditoría n.º 2 para todas las transacciones incluidas en las pruebas sustantivas, con independencia de su estado de autorización y del impacto financiero conexo constatado durante la validación de las operaciones o la autorización. Su objetivo es estimar el impacto financiero potencial de los defectos en los controles de subvencionabilidad esenciales aplicados por el OP (a saber, controles administrativos y sobre el terreno, antes de aplicar cualquier penalización). La evaluación debe basarse en el importe del gasto determinado tras los controles de los OP, compilado en la base de datos/los registros y pagado (véase el anexo 5). </w:t>
      </w:r>
    </w:p>
    <w:p w14:paraId="18E97776" w14:textId="77777777" w:rsidR="00C4384E" w:rsidRDefault="002455E9">
      <w:pPr>
        <w:pStyle w:val="ListDash2"/>
        <w:numPr>
          <w:ilvl w:val="1"/>
          <w:numId w:val="62"/>
        </w:numPr>
        <w:spacing w:after="120"/>
        <w:rPr>
          <w:b/>
        </w:rPr>
      </w:pPr>
      <w:r>
        <w:rPr>
          <w:b/>
        </w:rPr>
        <w:t>«Desviaciones de la conciliación»:</w:t>
      </w:r>
      <w:r>
        <w:t xml:space="preserve"> los errores encontrados durante los procedimientos de conciliación/analíticos.</w:t>
      </w:r>
      <w:r>
        <w:rPr>
          <w:b/>
        </w:rPr>
        <w:t xml:space="preserve"> </w:t>
      </w:r>
    </w:p>
    <w:p w14:paraId="4F98B159" w14:textId="77777777" w:rsidR="00C4384E" w:rsidRDefault="007B6F5A">
      <w:pPr>
        <w:pStyle w:val="Heading2"/>
      </w:pPr>
      <w:bookmarkStart w:id="68" w:name="_Toc16667650"/>
      <w:r>
        <w:t>14.2 Consolidación de errores</w:t>
      </w:r>
      <w:bookmarkEnd w:id="68"/>
      <w:r>
        <w:t xml:space="preserve"> </w:t>
      </w:r>
    </w:p>
    <w:p w14:paraId="2FD8881D" w14:textId="2887A70D" w:rsidR="00C4384E" w:rsidRDefault="002455E9">
      <w:pPr>
        <w:autoSpaceDE w:val="0"/>
        <w:autoSpaceDN w:val="0"/>
        <w:adjustRightInd w:val="0"/>
        <w:spacing w:after="120"/>
      </w:pPr>
      <w:r>
        <w:t>Para su conclusión sobre el objetivo de auditoría n.º 2, la mejor estimación del OC del riesgo máximo de errores en la población es la suma del error total de las pruebas sustantivas (ISE + errores conocidos) y de cualesquiera errores relacionados con los datos incluidos en las estadísticas de control/informe de control pero encontrados fuera de la muestra sustantiva: por ejemplo, los errores encontrados durante las pruebas sustantivas (si no se utilizaron pruebas de doble propósito y, por consiguiente, no están incluidas todavía), las desviaciones de la conciliación. El OC debe explicar claramente de qué modo la evaluación del índice de incumplimiento consolidado con respecto a la población influye en las opiniones de auditoría.</w:t>
      </w:r>
    </w:p>
    <w:p w14:paraId="20EA7FC7" w14:textId="7AD84220" w:rsidR="00C4384E" w:rsidRDefault="00A703EE">
      <w:pPr>
        <w:autoSpaceDE w:val="0"/>
        <w:autoSpaceDN w:val="0"/>
        <w:adjustRightInd w:val="0"/>
        <w:spacing w:after="120"/>
      </w:pPr>
      <w:r>
        <w:t>Esta consolidación es aplicable cuando no se utiliza ninguna estratificación de la población o cuando se utiliza la estratificación descrita en la sección 12.2, punto 1), y para los estratos que están siendo comprobados por métodos estadísticos.</w:t>
      </w:r>
    </w:p>
    <w:p w14:paraId="5F34B475" w14:textId="556DBCFC" w:rsidR="00C4384E" w:rsidRDefault="00D774F9">
      <w:pPr>
        <w:autoSpaceDE w:val="0"/>
        <w:autoSpaceDN w:val="0"/>
        <w:adjustRightInd w:val="0"/>
        <w:spacing w:after="120"/>
      </w:pPr>
      <w:r>
        <w:t xml:space="preserve">Si se utiliza la estratificación descrita en la sección 12.2, punto 2), y especialmente en el caso de la población FEAGA no SIGC, el OC puede decidir valorar el índice de incumplimiento extrapolado total con respecto a cada estrato para elaborar su conclusión. </w:t>
      </w:r>
    </w:p>
    <w:p w14:paraId="03FBCB11" w14:textId="77777777" w:rsidR="00C4384E" w:rsidRDefault="00D774F9">
      <w:pPr>
        <w:autoSpaceDE w:val="0"/>
        <w:autoSpaceDN w:val="0"/>
        <w:adjustRightInd w:val="0"/>
        <w:spacing w:after="120"/>
      </w:pPr>
      <w:r>
        <w:t>Si la mayor parte de la población fue comprobada estadísticamente en el marco de un estrato y por motivos específicos solo fueron definidos uno o dos estratos suplementarios, para los cuales se recurrió a un método de muestreo diferente, el OC puede establecer un índice de incumplimiento total consolidado con respecto a la población sumando el ISE resultante de la muestra estadística y los errores totales extrapolados (índice de incumplimiento) de las demás muestras, si se considera necesario evaluar el riesgo máximo con respecto a la población.</w:t>
      </w:r>
    </w:p>
    <w:p w14:paraId="6DAA077E" w14:textId="77777777" w:rsidR="00C4384E" w:rsidRDefault="00A76925">
      <w:pPr>
        <w:autoSpaceDE w:val="0"/>
        <w:autoSpaceDN w:val="0"/>
        <w:adjustRightInd w:val="0"/>
        <w:spacing w:after="120"/>
      </w:pPr>
      <w:r>
        <w:t xml:space="preserve">En el caso del SIGC, el índice de incumplimiento que se establece sobre la base de los controles sobre el terreno aleatorios debe extrapolarse a todos los gastos para establecer el nivel global de riesgo (véase el anexo 5.1) que a su vez se compara con el umbral de materialidad. </w:t>
      </w:r>
    </w:p>
    <w:p w14:paraId="2EEE4F15" w14:textId="77777777" w:rsidR="00C4384E" w:rsidRDefault="002455E9">
      <w:pPr>
        <w:pStyle w:val="Heading1"/>
        <w:numPr>
          <w:ilvl w:val="0"/>
          <w:numId w:val="74"/>
        </w:numPr>
      </w:pPr>
      <w:bookmarkStart w:id="69" w:name="_Toc16667651"/>
      <w:r>
        <w:lastRenderedPageBreak/>
        <w:t>Conclusión con respecto al objetivo de auditoría n.º 2</w:t>
      </w:r>
      <w:bookmarkEnd w:id="69"/>
    </w:p>
    <w:p w14:paraId="075C9819" w14:textId="5E35D42D" w:rsidR="00C4384E" w:rsidRDefault="00805BA2">
      <w:pPr>
        <w:pStyle w:val="Heading2"/>
        <w:numPr>
          <w:ilvl w:val="1"/>
          <w:numId w:val="74"/>
        </w:numPr>
        <w:ind w:left="851" w:hanging="425"/>
      </w:pPr>
      <w:r>
        <w:t xml:space="preserve"> </w:t>
      </w:r>
      <w:bookmarkStart w:id="70" w:name="_Toc16667652"/>
      <w:r w:rsidR="00373A56">
        <w:t>Evaluar la suficiencia y la idoneidad de la evidencia de auditoría</w:t>
      </w:r>
      <w:bookmarkEnd w:id="70"/>
    </w:p>
    <w:p w14:paraId="0643A4CB" w14:textId="10293FA7" w:rsidR="00C4384E" w:rsidRDefault="00373A56">
      <w:r>
        <w:t>Sobre la base de los procedimientos de auditoría utilizados y la evidencia de auditoría obtenida, el OC debe evaluar antes de la conclusión de la auditoría si las valoraciones de los riesgos de incorrección material con respecto a la afirmación siguen siendo apropiadas. El OC debe determinar si se ha obtenido evidencia de auditoría apropiada suficiente. Al formular una opinión, el OC debe tener en cuenta toda la evidencia de auditoría pertinente. Si el OC no ha obtenido evidencia de auditoría apropiada suficiente con respecto a una afirmación material, debe intentar obtener otras evidencias de auditoría. Si el OC no puede obtener evidencia de auditoría apropiada suficiente, debe emitir una opinión con salvedades o una abstención de opinión.</w:t>
      </w:r>
    </w:p>
    <w:p w14:paraId="6C15AB94" w14:textId="77777777" w:rsidR="00C4384E" w:rsidRDefault="002455E9">
      <w:pPr>
        <w:autoSpaceDE w:val="0"/>
        <w:autoSpaceDN w:val="0"/>
        <w:adjustRightInd w:val="0"/>
        <w:spacing w:after="120"/>
      </w:pPr>
      <w:r>
        <w:t>La conclusión sobre la legalidad y regularidad del gasto cuyo reembolso ha sido solicitado a la Comisión debe fundamentarse en:</w:t>
      </w:r>
    </w:p>
    <w:p w14:paraId="16643093" w14:textId="60057F28" w:rsidR="00C4384E" w:rsidRDefault="002455E9">
      <w:pPr>
        <w:numPr>
          <w:ilvl w:val="0"/>
          <w:numId w:val="63"/>
        </w:numPr>
        <w:autoSpaceDE w:val="0"/>
        <w:autoSpaceDN w:val="0"/>
        <w:adjustRightInd w:val="0"/>
        <w:spacing w:after="120"/>
      </w:pPr>
      <w:r>
        <w:t>la valoración de los procedimientos de control interno de las funciones determinadas del OP (autorización de los pagos),</w:t>
      </w:r>
    </w:p>
    <w:p w14:paraId="1CA828C8" w14:textId="4DEBFBAB" w:rsidR="00C4384E" w:rsidRDefault="002455E9">
      <w:pPr>
        <w:numPr>
          <w:ilvl w:val="0"/>
          <w:numId w:val="63"/>
        </w:numPr>
        <w:autoSpaceDE w:val="0"/>
        <w:autoSpaceDN w:val="0"/>
        <w:adjustRightInd w:val="0"/>
        <w:spacing w:after="120"/>
      </w:pPr>
      <w:r>
        <w:t>los resultados de las pruebas sustantivas (error total extrapolado, índice de incumplimiento, límite superior de error), y</w:t>
      </w:r>
    </w:p>
    <w:p w14:paraId="7A314F07" w14:textId="77777777" w:rsidR="00C4384E" w:rsidRDefault="00511D7D">
      <w:pPr>
        <w:numPr>
          <w:ilvl w:val="0"/>
          <w:numId w:val="63"/>
        </w:numPr>
        <w:autoSpaceDE w:val="0"/>
        <w:autoSpaceDN w:val="0"/>
        <w:adjustRightInd w:val="0"/>
        <w:spacing w:after="120"/>
      </w:pPr>
      <w:r>
        <w:t>el índice de incumplimiento consolidado, que incluye los errores conocidos y las desviaciones de conciliación resultantes del trabajo de conciliación.</w:t>
      </w:r>
    </w:p>
    <w:p w14:paraId="50B1BF98" w14:textId="77777777" w:rsidR="00C4384E" w:rsidRDefault="002455E9">
      <w:pPr>
        <w:autoSpaceDE w:val="0"/>
        <w:autoSpaceDN w:val="0"/>
        <w:adjustRightInd w:val="0"/>
        <w:spacing w:after="120"/>
      </w:pPr>
      <w:r>
        <w:t xml:space="preserve">El cuadro siguiente ofrece una descripción general de los principales supuestos. </w:t>
      </w:r>
    </w:p>
    <w:p w14:paraId="4E101464" w14:textId="77777777" w:rsidR="00C4384E" w:rsidRDefault="00F12A6E">
      <w:pPr>
        <w:pStyle w:val="ZDGName"/>
      </w:pPr>
      <w:r>
        <w:br w:type="page"/>
      </w:r>
    </w:p>
    <w:p w14:paraId="59EB28ED" w14:textId="77777777" w:rsidR="00C4384E" w:rsidRDefault="00C4384E">
      <w:pPr>
        <w:autoSpaceDE w:val="0"/>
        <w:autoSpaceDN w:val="0"/>
        <w:adjustRightInd w:val="0"/>
        <w:spacing w:after="120"/>
      </w:pPr>
    </w:p>
    <w:p w14:paraId="2D8DFBD1" w14:textId="77777777" w:rsidR="00C4384E" w:rsidRDefault="00C4384E">
      <w:pPr>
        <w:autoSpaceDE w:val="0"/>
        <w:autoSpaceDN w:val="0"/>
        <w:adjustRightInd w:val="0"/>
        <w:spacing w:after="120"/>
      </w:pPr>
    </w:p>
    <w:tbl>
      <w:tblPr>
        <w:tblW w:w="8897" w:type="dxa"/>
        <w:tblBorders>
          <w:insideH w:val="single" w:sz="4" w:space="0" w:color="FFFFFF"/>
        </w:tblBorders>
        <w:tblLayout w:type="fixed"/>
        <w:tblLook w:val="04A0" w:firstRow="1" w:lastRow="0" w:firstColumn="1" w:lastColumn="0" w:noHBand="0" w:noVBand="1"/>
      </w:tblPr>
      <w:tblGrid>
        <w:gridCol w:w="2802"/>
        <w:gridCol w:w="3436"/>
        <w:gridCol w:w="2659"/>
      </w:tblGrid>
      <w:tr w:rsidR="00C4384E" w14:paraId="0C5A64E0" w14:textId="77777777" w:rsidTr="006F4E0D">
        <w:trPr>
          <w:trHeight w:val="851"/>
        </w:trPr>
        <w:tc>
          <w:tcPr>
            <w:tcW w:w="2802" w:type="dxa"/>
            <w:tcBorders>
              <w:top w:val="nil"/>
              <w:left w:val="nil"/>
              <w:bottom w:val="single" w:sz="4" w:space="0" w:color="FFFFFF"/>
              <w:right w:val="nil"/>
            </w:tcBorders>
            <w:shd w:val="clear" w:color="auto" w:fill="B6DDE8"/>
            <w:vAlign w:val="center"/>
          </w:tcPr>
          <w:p w14:paraId="3B025419" w14:textId="77777777" w:rsidR="00C4384E" w:rsidRDefault="00537ACD">
            <w:pPr>
              <w:autoSpaceDE w:val="0"/>
              <w:autoSpaceDN w:val="0"/>
              <w:adjustRightInd w:val="0"/>
              <w:spacing w:after="0" w:line="276" w:lineRule="auto"/>
              <w:jc w:val="center"/>
              <w:rPr>
                <w:b/>
                <w:bCs/>
                <w:sz w:val="22"/>
                <w:szCs w:val="22"/>
              </w:rPr>
            </w:pPr>
            <w:r>
              <w:br w:type="page"/>
            </w:r>
            <w:r>
              <w:rPr>
                <w:b/>
                <w:bCs/>
                <w:sz w:val="22"/>
                <w:szCs w:val="22"/>
              </w:rPr>
              <w:t>Valoración del SCI para los procedimientos de control determinados</w:t>
            </w:r>
          </w:p>
        </w:tc>
        <w:tc>
          <w:tcPr>
            <w:tcW w:w="3436" w:type="dxa"/>
            <w:tcBorders>
              <w:top w:val="nil"/>
              <w:left w:val="nil"/>
              <w:bottom w:val="single" w:sz="4" w:space="0" w:color="FFFFFF"/>
              <w:right w:val="nil"/>
            </w:tcBorders>
            <w:shd w:val="clear" w:color="auto" w:fill="B6DDE8"/>
            <w:vAlign w:val="center"/>
          </w:tcPr>
          <w:p w14:paraId="63610E62" w14:textId="77777777" w:rsidR="00C4384E" w:rsidRDefault="00537ACD">
            <w:pPr>
              <w:autoSpaceDE w:val="0"/>
              <w:autoSpaceDN w:val="0"/>
              <w:adjustRightInd w:val="0"/>
              <w:spacing w:after="0" w:line="276" w:lineRule="auto"/>
              <w:jc w:val="center"/>
              <w:rPr>
                <w:b/>
                <w:bCs/>
                <w:color w:val="000000"/>
                <w:sz w:val="22"/>
                <w:szCs w:val="22"/>
              </w:rPr>
            </w:pPr>
            <w:r>
              <w:rPr>
                <w:b/>
                <w:bCs/>
                <w:sz w:val="22"/>
                <w:szCs w:val="22"/>
              </w:rPr>
              <w:t>A) Resultado de las pruebas sustantivas</w:t>
            </w:r>
          </w:p>
          <w:p w14:paraId="1D71B47F" w14:textId="77777777" w:rsidR="00C4384E" w:rsidRDefault="00537ACD">
            <w:pPr>
              <w:autoSpaceDE w:val="0"/>
              <w:autoSpaceDN w:val="0"/>
              <w:adjustRightInd w:val="0"/>
              <w:spacing w:after="0" w:line="276" w:lineRule="auto"/>
              <w:jc w:val="center"/>
              <w:rPr>
                <w:b/>
                <w:bCs/>
                <w:color w:val="000000"/>
                <w:sz w:val="22"/>
                <w:szCs w:val="22"/>
              </w:rPr>
            </w:pPr>
            <w:r>
              <w:rPr>
                <w:b/>
                <w:bCs/>
                <w:sz w:val="22"/>
                <w:szCs w:val="22"/>
              </w:rPr>
              <w:t>B) Error consolidado: incluidos los resultados de la conciliación</w:t>
            </w:r>
          </w:p>
        </w:tc>
        <w:tc>
          <w:tcPr>
            <w:tcW w:w="2659" w:type="dxa"/>
            <w:tcBorders>
              <w:top w:val="nil"/>
              <w:left w:val="nil"/>
              <w:bottom w:val="single" w:sz="4" w:space="0" w:color="FFFFFF"/>
              <w:right w:val="nil"/>
            </w:tcBorders>
            <w:shd w:val="clear" w:color="auto" w:fill="B6DDE8"/>
            <w:vAlign w:val="center"/>
          </w:tcPr>
          <w:p w14:paraId="2E263F62" w14:textId="77777777" w:rsidR="00C4384E" w:rsidRDefault="00537ACD">
            <w:pPr>
              <w:autoSpaceDE w:val="0"/>
              <w:autoSpaceDN w:val="0"/>
              <w:adjustRightInd w:val="0"/>
              <w:spacing w:after="0" w:line="276" w:lineRule="auto"/>
              <w:jc w:val="center"/>
              <w:rPr>
                <w:b/>
                <w:bCs/>
                <w:color w:val="000000"/>
                <w:sz w:val="22"/>
                <w:szCs w:val="22"/>
              </w:rPr>
            </w:pPr>
            <w:r>
              <w:rPr>
                <w:b/>
                <w:bCs/>
                <w:sz w:val="22"/>
                <w:szCs w:val="22"/>
              </w:rPr>
              <w:t>Legalidad y regularidad del gasto</w:t>
            </w:r>
          </w:p>
        </w:tc>
      </w:tr>
      <w:tr w:rsidR="00C4384E" w14:paraId="0D9D685E" w14:textId="77777777" w:rsidTr="006F4E0D">
        <w:trPr>
          <w:trHeight w:val="542"/>
        </w:trPr>
        <w:tc>
          <w:tcPr>
            <w:tcW w:w="2802" w:type="dxa"/>
            <w:vMerge w:val="restart"/>
            <w:tcBorders>
              <w:top w:val="single" w:sz="4" w:space="0" w:color="FFFFFF"/>
              <w:left w:val="nil"/>
              <w:bottom w:val="single" w:sz="4" w:space="0" w:color="FFFFFF"/>
              <w:right w:val="nil"/>
            </w:tcBorders>
            <w:shd w:val="clear" w:color="auto" w:fill="31849B"/>
            <w:vAlign w:val="center"/>
          </w:tcPr>
          <w:p w14:paraId="02DCA9CA" w14:textId="77777777" w:rsidR="00C4384E" w:rsidRDefault="00537ACD">
            <w:pPr>
              <w:autoSpaceDE w:val="0"/>
              <w:autoSpaceDN w:val="0"/>
              <w:adjustRightInd w:val="0"/>
              <w:spacing w:after="0" w:line="276" w:lineRule="auto"/>
              <w:jc w:val="center"/>
              <w:rPr>
                <w:color w:val="FFFFFF"/>
                <w:sz w:val="22"/>
                <w:szCs w:val="22"/>
              </w:rPr>
            </w:pPr>
            <w:r>
              <w:rPr>
                <w:b/>
                <w:color w:val="FFFFFF"/>
                <w:sz w:val="22"/>
                <w:szCs w:val="22"/>
              </w:rPr>
              <w:t>Valoración del SCI con respecto a la población o al estrato a efectos de autorización:</w:t>
            </w:r>
            <w:r>
              <w:rPr>
                <w:color w:val="FFFFFF"/>
                <w:sz w:val="22"/>
                <w:szCs w:val="22"/>
              </w:rPr>
              <w:t xml:space="preserve"> Funciona parcialmente – Funciona – Funciona bien </w:t>
            </w:r>
          </w:p>
        </w:tc>
        <w:tc>
          <w:tcPr>
            <w:tcW w:w="3436" w:type="dxa"/>
            <w:tcBorders>
              <w:top w:val="single" w:sz="4" w:space="0" w:color="FFFFFF"/>
              <w:left w:val="nil"/>
              <w:bottom w:val="single" w:sz="4" w:space="0" w:color="FFFFFF"/>
              <w:right w:val="nil"/>
            </w:tcBorders>
            <w:shd w:val="clear" w:color="auto" w:fill="A5D5E2"/>
          </w:tcPr>
          <w:p w14:paraId="666A57A3" w14:textId="77777777" w:rsidR="00C4384E" w:rsidRDefault="00BC71AB">
            <w:pPr>
              <w:numPr>
                <w:ilvl w:val="0"/>
                <w:numId w:val="81"/>
              </w:numPr>
              <w:autoSpaceDE w:val="0"/>
              <w:autoSpaceDN w:val="0"/>
              <w:adjustRightInd w:val="0"/>
              <w:spacing w:after="0" w:line="276" w:lineRule="auto"/>
              <w:jc w:val="left"/>
              <w:rPr>
                <w:color w:val="000000"/>
                <w:sz w:val="22"/>
                <w:szCs w:val="22"/>
              </w:rPr>
            </w:pPr>
            <w:r>
              <w:rPr>
                <w:sz w:val="22"/>
                <w:szCs w:val="22"/>
              </w:rPr>
              <w:t>PIE &lt; ISE &lt; IT</w:t>
            </w:r>
          </w:p>
          <w:p w14:paraId="18B0FD55" w14:textId="77777777" w:rsidR="00C4384E" w:rsidRDefault="00AE1239">
            <w:pPr>
              <w:numPr>
                <w:ilvl w:val="0"/>
                <w:numId w:val="81"/>
              </w:numPr>
              <w:autoSpaceDE w:val="0"/>
              <w:autoSpaceDN w:val="0"/>
              <w:adjustRightInd w:val="0"/>
              <w:spacing w:after="0" w:line="276" w:lineRule="auto"/>
              <w:jc w:val="left"/>
              <w:rPr>
                <w:color w:val="000000"/>
                <w:sz w:val="22"/>
                <w:szCs w:val="22"/>
              </w:rPr>
            </w:pPr>
            <w:r>
              <w:rPr>
                <w:sz w:val="22"/>
                <w:szCs w:val="22"/>
              </w:rPr>
              <w:t>II consolidado con respecto a la población &lt; IT</w:t>
            </w:r>
          </w:p>
        </w:tc>
        <w:tc>
          <w:tcPr>
            <w:tcW w:w="2659" w:type="dxa"/>
            <w:tcBorders>
              <w:top w:val="single" w:sz="4" w:space="0" w:color="FFFFFF"/>
              <w:left w:val="nil"/>
              <w:bottom w:val="single" w:sz="4" w:space="0" w:color="FFFFFF"/>
              <w:right w:val="nil"/>
            </w:tcBorders>
            <w:shd w:val="clear" w:color="auto" w:fill="A5D5E2"/>
          </w:tcPr>
          <w:p w14:paraId="58F36CAF" w14:textId="77777777" w:rsidR="00C4384E" w:rsidRDefault="00537ACD">
            <w:pPr>
              <w:autoSpaceDE w:val="0"/>
              <w:autoSpaceDN w:val="0"/>
              <w:adjustRightInd w:val="0"/>
              <w:spacing w:after="0" w:line="276" w:lineRule="auto"/>
              <w:jc w:val="left"/>
              <w:rPr>
                <w:b/>
                <w:color w:val="000000"/>
                <w:sz w:val="22"/>
                <w:szCs w:val="22"/>
              </w:rPr>
            </w:pPr>
            <w:r>
              <w:rPr>
                <w:b/>
                <w:sz w:val="22"/>
                <w:szCs w:val="22"/>
              </w:rPr>
              <w:t xml:space="preserve">Pueden ser confirmadas, el riesgo máximo de errores es el LSE </w:t>
            </w:r>
          </w:p>
        </w:tc>
      </w:tr>
      <w:tr w:rsidR="00C4384E" w14:paraId="0F6439DB" w14:textId="77777777" w:rsidTr="006F4E0D">
        <w:trPr>
          <w:trHeight w:val="528"/>
        </w:trPr>
        <w:tc>
          <w:tcPr>
            <w:tcW w:w="2802" w:type="dxa"/>
            <w:vMerge/>
            <w:tcBorders>
              <w:top w:val="single" w:sz="4" w:space="0" w:color="FFFFFF"/>
              <w:left w:val="nil"/>
              <w:bottom w:val="single" w:sz="4" w:space="0" w:color="FFFFFF"/>
              <w:right w:val="nil"/>
            </w:tcBorders>
            <w:vAlign w:val="center"/>
          </w:tcPr>
          <w:p w14:paraId="6AB99C1D" w14:textId="77777777" w:rsidR="00C4384E" w:rsidRDefault="00C4384E">
            <w:pPr>
              <w:spacing w:after="0"/>
              <w:jc w:val="left"/>
              <w:rPr>
                <w:color w:val="FFFFFF"/>
                <w:sz w:val="22"/>
                <w:szCs w:val="22"/>
              </w:rPr>
            </w:pPr>
          </w:p>
        </w:tc>
        <w:tc>
          <w:tcPr>
            <w:tcW w:w="3436" w:type="dxa"/>
            <w:tcBorders>
              <w:top w:val="single" w:sz="4" w:space="0" w:color="FFFFFF"/>
              <w:left w:val="nil"/>
              <w:bottom w:val="single" w:sz="4" w:space="0" w:color="FFFFFF"/>
              <w:right w:val="nil"/>
            </w:tcBorders>
            <w:shd w:val="clear" w:color="auto" w:fill="DAEEF3"/>
          </w:tcPr>
          <w:p w14:paraId="6DA6E6B0" w14:textId="77777777" w:rsidR="00C4384E" w:rsidRDefault="00BC71AB">
            <w:pPr>
              <w:numPr>
                <w:ilvl w:val="0"/>
                <w:numId w:val="82"/>
              </w:numPr>
              <w:autoSpaceDE w:val="0"/>
              <w:autoSpaceDN w:val="0"/>
              <w:adjustRightInd w:val="0"/>
              <w:spacing w:after="0" w:line="276" w:lineRule="auto"/>
              <w:jc w:val="left"/>
              <w:rPr>
                <w:color w:val="000000"/>
                <w:sz w:val="22"/>
                <w:szCs w:val="22"/>
              </w:rPr>
            </w:pPr>
            <w:r>
              <w:rPr>
                <w:sz w:val="22"/>
                <w:szCs w:val="22"/>
              </w:rPr>
              <w:t xml:space="preserve">PIE &lt; ISE &lt; IT </w:t>
            </w:r>
          </w:p>
          <w:p w14:paraId="36ECEC31" w14:textId="77777777" w:rsidR="00C4384E" w:rsidRDefault="00AE1239">
            <w:pPr>
              <w:numPr>
                <w:ilvl w:val="0"/>
                <w:numId w:val="82"/>
              </w:numPr>
              <w:autoSpaceDE w:val="0"/>
              <w:autoSpaceDN w:val="0"/>
              <w:adjustRightInd w:val="0"/>
              <w:spacing w:after="0" w:line="276" w:lineRule="auto"/>
              <w:jc w:val="left"/>
              <w:rPr>
                <w:sz w:val="22"/>
                <w:szCs w:val="22"/>
              </w:rPr>
            </w:pPr>
            <w:r>
              <w:rPr>
                <w:sz w:val="22"/>
                <w:szCs w:val="22"/>
              </w:rPr>
              <w:t>II consolidado con respecto a la población &gt; IT</w:t>
            </w:r>
          </w:p>
        </w:tc>
        <w:tc>
          <w:tcPr>
            <w:tcW w:w="2659" w:type="dxa"/>
            <w:tcBorders>
              <w:top w:val="single" w:sz="4" w:space="0" w:color="FFFFFF"/>
              <w:left w:val="nil"/>
              <w:bottom w:val="single" w:sz="4" w:space="0" w:color="FFFFFF"/>
              <w:right w:val="nil"/>
            </w:tcBorders>
            <w:shd w:val="clear" w:color="auto" w:fill="DAEEF3"/>
          </w:tcPr>
          <w:p w14:paraId="3A2DF030" w14:textId="77777777" w:rsidR="00C4384E" w:rsidRDefault="00537ACD">
            <w:pPr>
              <w:autoSpaceDE w:val="0"/>
              <w:autoSpaceDN w:val="0"/>
              <w:adjustRightInd w:val="0"/>
              <w:spacing w:after="0" w:line="276" w:lineRule="auto"/>
              <w:jc w:val="left"/>
              <w:rPr>
                <w:sz w:val="22"/>
                <w:szCs w:val="22"/>
              </w:rPr>
            </w:pPr>
            <w:r>
              <w:rPr>
                <w:b/>
                <w:sz w:val="22"/>
                <w:szCs w:val="22"/>
              </w:rPr>
              <w:t>No pueden ser confirmadas - el OP debe corregir los errores, el riesgo máximo de errores es el II consolidado con respecto a la población o estrato</w:t>
            </w:r>
          </w:p>
        </w:tc>
      </w:tr>
      <w:tr w:rsidR="00C4384E" w14:paraId="5A1F3F3E" w14:textId="77777777" w:rsidTr="006F4E0D">
        <w:trPr>
          <w:trHeight w:val="557"/>
        </w:trPr>
        <w:tc>
          <w:tcPr>
            <w:tcW w:w="2802" w:type="dxa"/>
            <w:vMerge/>
            <w:tcBorders>
              <w:top w:val="single" w:sz="4" w:space="0" w:color="FFFFFF"/>
              <w:left w:val="nil"/>
              <w:bottom w:val="single" w:sz="4" w:space="0" w:color="FFFFFF"/>
              <w:right w:val="nil"/>
            </w:tcBorders>
            <w:vAlign w:val="center"/>
          </w:tcPr>
          <w:p w14:paraId="130C46ED" w14:textId="77777777" w:rsidR="00C4384E" w:rsidRDefault="00C4384E">
            <w:pPr>
              <w:spacing w:after="0"/>
              <w:jc w:val="left"/>
              <w:rPr>
                <w:color w:val="FFFFFF"/>
                <w:sz w:val="22"/>
                <w:szCs w:val="22"/>
              </w:rPr>
            </w:pPr>
          </w:p>
        </w:tc>
        <w:tc>
          <w:tcPr>
            <w:tcW w:w="3436" w:type="dxa"/>
            <w:tcBorders>
              <w:top w:val="single" w:sz="4" w:space="0" w:color="FFFFFF"/>
              <w:left w:val="nil"/>
              <w:bottom w:val="single" w:sz="4" w:space="0" w:color="FFFFFF"/>
              <w:right w:val="nil"/>
            </w:tcBorders>
            <w:shd w:val="clear" w:color="auto" w:fill="A5D5E2"/>
          </w:tcPr>
          <w:p w14:paraId="5909A6B2" w14:textId="77777777" w:rsidR="00C4384E" w:rsidRDefault="00BC71AB">
            <w:pPr>
              <w:numPr>
                <w:ilvl w:val="0"/>
                <w:numId w:val="83"/>
              </w:numPr>
              <w:autoSpaceDE w:val="0"/>
              <w:autoSpaceDN w:val="0"/>
              <w:adjustRightInd w:val="0"/>
              <w:spacing w:after="0" w:line="276" w:lineRule="auto"/>
              <w:jc w:val="left"/>
              <w:rPr>
                <w:color w:val="000000"/>
                <w:sz w:val="22"/>
                <w:szCs w:val="22"/>
              </w:rPr>
            </w:pPr>
            <w:r>
              <w:rPr>
                <w:sz w:val="22"/>
                <w:szCs w:val="22"/>
              </w:rPr>
              <w:t>PIE &lt; IT &lt; ISE</w:t>
            </w:r>
          </w:p>
          <w:p w14:paraId="624CE822" w14:textId="77777777" w:rsidR="00C4384E" w:rsidRDefault="00537ACD">
            <w:pPr>
              <w:numPr>
                <w:ilvl w:val="0"/>
                <w:numId w:val="83"/>
              </w:numPr>
              <w:autoSpaceDE w:val="0"/>
              <w:autoSpaceDN w:val="0"/>
              <w:adjustRightInd w:val="0"/>
              <w:spacing w:after="0" w:line="276" w:lineRule="auto"/>
              <w:jc w:val="left"/>
              <w:rPr>
                <w:sz w:val="22"/>
                <w:szCs w:val="22"/>
              </w:rPr>
            </w:pPr>
            <w:r>
              <w:rPr>
                <w:sz w:val="22"/>
                <w:szCs w:val="22"/>
              </w:rPr>
              <w:t>II consolidado con respecto a la población &gt; IT</w:t>
            </w:r>
          </w:p>
        </w:tc>
        <w:tc>
          <w:tcPr>
            <w:tcW w:w="2659" w:type="dxa"/>
            <w:tcBorders>
              <w:top w:val="single" w:sz="4" w:space="0" w:color="FFFFFF"/>
              <w:left w:val="nil"/>
              <w:bottom w:val="single" w:sz="4" w:space="0" w:color="FFFFFF"/>
              <w:right w:val="nil"/>
            </w:tcBorders>
            <w:shd w:val="clear" w:color="auto" w:fill="A5D5E2"/>
          </w:tcPr>
          <w:p w14:paraId="2A5A0284" w14:textId="77DC90A9" w:rsidR="00C4384E" w:rsidRPr="004C779D" w:rsidRDefault="00537ACD">
            <w:pPr>
              <w:autoSpaceDE w:val="0"/>
              <w:autoSpaceDN w:val="0"/>
              <w:adjustRightInd w:val="0"/>
              <w:spacing w:after="0" w:line="276" w:lineRule="auto"/>
              <w:jc w:val="left"/>
              <w:rPr>
                <w:b/>
                <w:sz w:val="22"/>
                <w:szCs w:val="22"/>
              </w:rPr>
            </w:pPr>
            <w:r>
              <w:rPr>
                <w:b/>
                <w:sz w:val="22"/>
                <w:szCs w:val="22"/>
              </w:rPr>
              <w:t>No pueden ser confirmadas - es necesario realizar un trabajo suplementario (sección 12.2), el riesgo máximo no puede ser cuantificado en esta fase</w:t>
            </w:r>
          </w:p>
        </w:tc>
      </w:tr>
      <w:tr w:rsidR="00C4384E" w14:paraId="02957097" w14:textId="77777777" w:rsidTr="006F4E0D">
        <w:trPr>
          <w:trHeight w:val="1526"/>
        </w:trPr>
        <w:tc>
          <w:tcPr>
            <w:tcW w:w="2802" w:type="dxa"/>
            <w:vMerge/>
            <w:tcBorders>
              <w:top w:val="single" w:sz="4" w:space="0" w:color="FFFFFF"/>
              <w:left w:val="nil"/>
              <w:bottom w:val="single" w:sz="4" w:space="0" w:color="FFFFFF"/>
              <w:right w:val="nil"/>
            </w:tcBorders>
            <w:vAlign w:val="center"/>
          </w:tcPr>
          <w:p w14:paraId="7BCA1DB0" w14:textId="77777777" w:rsidR="00C4384E" w:rsidRDefault="00C4384E">
            <w:pPr>
              <w:spacing w:after="0"/>
              <w:jc w:val="left"/>
              <w:rPr>
                <w:color w:val="FFFFFF"/>
                <w:sz w:val="22"/>
                <w:szCs w:val="22"/>
              </w:rPr>
            </w:pPr>
          </w:p>
        </w:tc>
        <w:tc>
          <w:tcPr>
            <w:tcW w:w="3436" w:type="dxa"/>
            <w:tcBorders>
              <w:top w:val="single" w:sz="4" w:space="0" w:color="FFFFFF"/>
              <w:left w:val="nil"/>
              <w:bottom w:val="single" w:sz="4" w:space="0" w:color="FFFFFF"/>
              <w:right w:val="nil"/>
            </w:tcBorders>
            <w:shd w:val="clear" w:color="auto" w:fill="DAEEF3"/>
          </w:tcPr>
          <w:p w14:paraId="13E1E5EC" w14:textId="77777777" w:rsidR="00C4384E" w:rsidRDefault="00537ACD">
            <w:pPr>
              <w:numPr>
                <w:ilvl w:val="0"/>
                <w:numId w:val="84"/>
              </w:numPr>
              <w:autoSpaceDE w:val="0"/>
              <w:autoSpaceDN w:val="0"/>
              <w:adjustRightInd w:val="0"/>
              <w:spacing w:after="0" w:line="276" w:lineRule="auto"/>
              <w:jc w:val="left"/>
              <w:rPr>
                <w:color w:val="000000"/>
                <w:sz w:val="22"/>
                <w:szCs w:val="22"/>
              </w:rPr>
            </w:pPr>
            <w:r>
              <w:rPr>
                <w:sz w:val="22"/>
                <w:szCs w:val="22"/>
              </w:rPr>
              <w:t>IT &lt; PIE &lt; ISE</w:t>
            </w:r>
          </w:p>
          <w:p w14:paraId="5C3E414F" w14:textId="77777777" w:rsidR="00C4384E" w:rsidRDefault="00537ACD">
            <w:pPr>
              <w:numPr>
                <w:ilvl w:val="0"/>
                <w:numId w:val="84"/>
              </w:numPr>
              <w:autoSpaceDE w:val="0"/>
              <w:autoSpaceDN w:val="0"/>
              <w:adjustRightInd w:val="0"/>
              <w:spacing w:after="0" w:line="276" w:lineRule="auto"/>
              <w:jc w:val="left"/>
              <w:rPr>
                <w:sz w:val="22"/>
                <w:szCs w:val="22"/>
              </w:rPr>
            </w:pPr>
            <w:r>
              <w:rPr>
                <w:sz w:val="22"/>
                <w:szCs w:val="22"/>
              </w:rPr>
              <w:t>II consolidado con respecto a la población &gt; IT</w:t>
            </w:r>
          </w:p>
        </w:tc>
        <w:tc>
          <w:tcPr>
            <w:tcW w:w="2659" w:type="dxa"/>
            <w:tcBorders>
              <w:top w:val="single" w:sz="4" w:space="0" w:color="FFFFFF"/>
              <w:left w:val="nil"/>
              <w:bottom w:val="single" w:sz="4" w:space="0" w:color="FFFFFF"/>
              <w:right w:val="nil"/>
            </w:tcBorders>
            <w:shd w:val="clear" w:color="auto" w:fill="DAEEF3"/>
          </w:tcPr>
          <w:p w14:paraId="5B5C64D7" w14:textId="77777777" w:rsidR="00C4384E" w:rsidRDefault="00537ACD">
            <w:pPr>
              <w:autoSpaceDE w:val="0"/>
              <w:autoSpaceDN w:val="0"/>
              <w:adjustRightInd w:val="0"/>
              <w:spacing w:after="0" w:line="276" w:lineRule="auto"/>
              <w:jc w:val="left"/>
              <w:rPr>
                <w:b/>
                <w:sz w:val="22"/>
                <w:szCs w:val="22"/>
              </w:rPr>
            </w:pPr>
            <w:r>
              <w:rPr>
                <w:b/>
                <w:sz w:val="22"/>
                <w:szCs w:val="22"/>
              </w:rPr>
              <w:t xml:space="preserve">No pueden ser confirmadas - el OP debe corregir los errores, si no son corregidos podría dar lugar a una opinión con reservas, el riesgo máximo es el LSE </w:t>
            </w:r>
          </w:p>
        </w:tc>
      </w:tr>
      <w:tr w:rsidR="00C4384E" w14:paraId="1C2F2732" w14:textId="77777777" w:rsidTr="006F4E0D">
        <w:trPr>
          <w:trHeight w:val="557"/>
        </w:trPr>
        <w:tc>
          <w:tcPr>
            <w:tcW w:w="2802" w:type="dxa"/>
            <w:tcBorders>
              <w:top w:val="single" w:sz="4" w:space="0" w:color="FFFFFF"/>
              <w:left w:val="nil"/>
              <w:bottom w:val="nil"/>
              <w:right w:val="nil"/>
            </w:tcBorders>
            <w:shd w:val="clear" w:color="auto" w:fill="31849B"/>
          </w:tcPr>
          <w:p w14:paraId="3A0CF439" w14:textId="77777777" w:rsidR="00C4384E" w:rsidRDefault="00537ACD">
            <w:pPr>
              <w:autoSpaceDE w:val="0"/>
              <w:autoSpaceDN w:val="0"/>
              <w:adjustRightInd w:val="0"/>
              <w:spacing w:after="0" w:line="276" w:lineRule="auto"/>
              <w:jc w:val="center"/>
              <w:rPr>
                <w:color w:val="FFFFFF"/>
                <w:sz w:val="22"/>
                <w:szCs w:val="22"/>
              </w:rPr>
            </w:pPr>
            <w:r>
              <w:rPr>
                <w:b/>
                <w:color w:val="FFFFFF"/>
                <w:sz w:val="22"/>
                <w:szCs w:val="22"/>
              </w:rPr>
              <w:t xml:space="preserve">Valoración del SCI con respecto al Fondo </w:t>
            </w:r>
            <w:r>
              <w:rPr>
                <w:b/>
                <w:color w:val="FFFFFF"/>
                <w:sz w:val="22"/>
                <w:szCs w:val="22"/>
                <w:u w:val="single"/>
              </w:rPr>
              <w:t>a efectos de autorización</w:t>
            </w:r>
            <w:r>
              <w:rPr>
                <w:b/>
                <w:color w:val="FFFFFF"/>
                <w:sz w:val="22"/>
                <w:szCs w:val="22"/>
              </w:rPr>
              <w:t>:</w:t>
            </w:r>
            <w:r>
              <w:rPr>
                <w:color w:val="FFFFFF"/>
                <w:sz w:val="22"/>
                <w:szCs w:val="22"/>
              </w:rPr>
              <w:t xml:space="preserve"> No funciona </w:t>
            </w:r>
          </w:p>
        </w:tc>
        <w:tc>
          <w:tcPr>
            <w:tcW w:w="3436" w:type="dxa"/>
            <w:tcBorders>
              <w:top w:val="single" w:sz="4" w:space="0" w:color="FFFFFF"/>
              <w:left w:val="nil"/>
              <w:bottom w:val="nil"/>
              <w:right w:val="nil"/>
            </w:tcBorders>
            <w:shd w:val="clear" w:color="auto" w:fill="DAEEF3"/>
          </w:tcPr>
          <w:p w14:paraId="1E01FE5C" w14:textId="0C949EFD" w:rsidR="00C4384E" w:rsidRDefault="00537ACD">
            <w:pPr>
              <w:autoSpaceDE w:val="0"/>
              <w:autoSpaceDN w:val="0"/>
              <w:adjustRightInd w:val="0"/>
              <w:spacing w:after="0" w:line="276" w:lineRule="auto"/>
              <w:jc w:val="left"/>
              <w:rPr>
                <w:color w:val="000000"/>
                <w:sz w:val="22"/>
                <w:szCs w:val="22"/>
              </w:rPr>
            </w:pPr>
            <w:r>
              <w:rPr>
                <w:b/>
                <w:i/>
                <w:sz w:val="22"/>
                <w:szCs w:val="22"/>
              </w:rPr>
              <w:t>Uno de los cuatro supuestos anteriores</w:t>
            </w:r>
          </w:p>
        </w:tc>
        <w:tc>
          <w:tcPr>
            <w:tcW w:w="2659" w:type="dxa"/>
            <w:tcBorders>
              <w:top w:val="single" w:sz="4" w:space="0" w:color="FFFFFF"/>
              <w:left w:val="nil"/>
              <w:bottom w:val="nil"/>
              <w:right w:val="nil"/>
            </w:tcBorders>
            <w:shd w:val="clear" w:color="auto" w:fill="DAEEF3"/>
          </w:tcPr>
          <w:p w14:paraId="4D87DD1F" w14:textId="77777777" w:rsidR="00C4384E" w:rsidRDefault="00537ACD">
            <w:pPr>
              <w:autoSpaceDE w:val="0"/>
              <w:autoSpaceDN w:val="0"/>
              <w:adjustRightInd w:val="0"/>
              <w:spacing w:after="0" w:line="276" w:lineRule="auto"/>
              <w:jc w:val="left"/>
              <w:rPr>
                <w:color w:val="000000"/>
                <w:sz w:val="22"/>
                <w:szCs w:val="22"/>
              </w:rPr>
            </w:pPr>
            <w:r>
              <w:rPr>
                <w:b/>
                <w:bCs/>
                <w:sz w:val="22"/>
                <w:szCs w:val="22"/>
              </w:rPr>
              <w:t>No pueden confirmarse - Opinión con salvedades por procedimiento de control deficiente</w:t>
            </w:r>
            <w:r>
              <w:rPr>
                <w:sz w:val="22"/>
                <w:szCs w:val="22"/>
              </w:rPr>
              <w:t xml:space="preserve"> </w:t>
            </w:r>
          </w:p>
          <w:p w14:paraId="703AD5F6" w14:textId="77777777" w:rsidR="00C4384E" w:rsidRDefault="00537ACD">
            <w:pPr>
              <w:autoSpaceDE w:val="0"/>
              <w:autoSpaceDN w:val="0"/>
              <w:adjustRightInd w:val="0"/>
              <w:spacing w:after="0" w:line="276" w:lineRule="auto"/>
              <w:jc w:val="left"/>
              <w:rPr>
                <w:b/>
                <w:color w:val="000000"/>
                <w:sz w:val="22"/>
                <w:szCs w:val="22"/>
              </w:rPr>
            </w:pPr>
            <w:r>
              <w:rPr>
                <w:sz w:val="22"/>
                <w:szCs w:val="22"/>
              </w:rPr>
              <w:t>(Deben corregirse los procedimientos - procedimiento de auditoría de conformidad sobre las cuestiones de la legalidad y la regularidad)</w:t>
            </w:r>
          </w:p>
        </w:tc>
      </w:tr>
    </w:tbl>
    <w:p w14:paraId="57FF6122" w14:textId="77777777" w:rsidR="00C4384E" w:rsidRDefault="00C4384E">
      <w:pPr>
        <w:spacing w:after="0"/>
      </w:pPr>
    </w:p>
    <w:p w14:paraId="7B3E497D" w14:textId="77777777" w:rsidR="00C4384E" w:rsidRDefault="00C4384E">
      <w:pPr>
        <w:spacing w:after="0"/>
        <w:rPr>
          <w:vanish/>
        </w:rPr>
      </w:pPr>
    </w:p>
    <w:p w14:paraId="1F962F15" w14:textId="77207862" w:rsidR="00C4384E" w:rsidRDefault="00C85EB9">
      <w:pPr>
        <w:spacing w:after="120"/>
        <w:rPr>
          <w:bCs/>
        </w:rPr>
      </w:pPr>
      <w:r>
        <w:t xml:space="preserve"> La conclusión sobre la valoración global de la eficacia del sistema de control interno del OP debe establecerse sobre la base de la PARTE C.</w:t>
      </w:r>
    </w:p>
    <w:p w14:paraId="5F98F70B" w14:textId="5FF505D9" w:rsidR="00C4384E" w:rsidRDefault="00366BB1">
      <w:pPr>
        <w:spacing w:after="120"/>
      </w:pPr>
      <w:r>
        <w:t xml:space="preserve">A los efectos de confirmar las afirmaciones que figuran en la declaración sobre la gestión (y en las estadísticas de control), el ISE (LSE) resultante de la muestra de la legalidad y la regularidad debe compararse con el nivel de materialidad. Si el II es inferior al 2 % del </w:t>
      </w:r>
      <w:r>
        <w:lastRenderedPageBreak/>
        <w:t xml:space="preserve">importe de los gastos (véase el anexo 5.1), las afirmaciones que figuran en la declaración sobre la gestión y la exactitud de las estadísticas de control pueden confirmarse. </w:t>
      </w:r>
    </w:p>
    <w:p w14:paraId="0A4A469A" w14:textId="30A168E3" w:rsidR="00C4384E" w:rsidRDefault="005D20BB">
      <w:pPr>
        <w:spacing w:after="120"/>
      </w:pPr>
      <w:r>
        <w:t>En función de esos resultados, el OC también puede determinar con respecto a la declaración sobre la gestión:</w:t>
      </w:r>
    </w:p>
    <w:p w14:paraId="5E83411C" w14:textId="5DD58FB1" w:rsidR="00C4384E" w:rsidRDefault="005D20BB">
      <w:pPr>
        <w:numPr>
          <w:ilvl w:val="0"/>
          <w:numId w:val="72"/>
        </w:numPr>
        <w:spacing w:after="120"/>
      </w:pPr>
      <w:r>
        <w:t>si las afirmaciones realizadas en la declaración sobre la gestión están correctamente formuladas,</w:t>
      </w:r>
    </w:p>
    <w:p w14:paraId="6C65ADBB" w14:textId="5AA3A972" w:rsidR="00C4384E" w:rsidRDefault="005D20BB">
      <w:pPr>
        <w:numPr>
          <w:ilvl w:val="0"/>
          <w:numId w:val="72"/>
        </w:numPr>
        <w:spacing w:after="120"/>
      </w:pPr>
      <w:r>
        <w:t>si los porcentajes de error que figuran en la declaración sobre la gestión reflejan exactamente la valoración del SCI del OP,</w:t>
      </w:r>
    </w:p>
    <w:p w14:paraId="13C6C19E" w14:textId="2A45FEB0" w:rsidR="00C4384E" w:rsidRDefault="005D20BB">
      <w:pPr>
        <w:numPr>
          <w:ilvl w:val="0"/>
          <w:numId w:val="72"/>
        </w:numPr>
        <w:spacing w:after="120"/>
      </w:pPr>
      <w:r>
        <w:t>si la situación del seguimiento de las constataciones de conformidad y la ejecución de los planes de acción están debidamente notificadas.</w:t>
      </w:r>
    </w:p>
    <w:p w14:paraId="4AFE866A" w14:textId="77777777" w:rsidR="00C4384E" w:rsidRDefault="005D20BB">
      <w:pPr>
        <w:spacing w:after="120"/>
      </w:pPr>
      <w:r>
        <w:t>Además, los resultados también servirán para corroborar la confirmación que debe incluir el OC en la opinión relativa a la medida o régimen en cuestión a los efectos de la reducción de la tasa de control, según el artículo 41 del Reglamento (UE) n.º 908/2014 de la Comisión.</w:t>
      </w:r>
    </w:p>
    <w:p w14:paraId="21777D4E" w14:textId="77777777" w:rsidR="00C4384E" w:rsidRDefault="0043253C">
      <w:pPr>
        <w:pStyle w:val="Heading1"/>
        <w:numPr>
          <w:ilvl w:val="0"/>
          <w:numId w:val="74"/>
        </w:numPr>
      </w:pPr>
      <w:bookmarkStart w:id="71" w:name="_Toc16667653"/>
      <w:r>
        <w:t>Consideraciones particulares</w:t>
      </w:r>
      <w:bookmarkEnd w:id="71"/>
      <w:r>
        <w:t xml:space="preserve"> </w:t>
      </w:r>
    </w:p>
    <w:p w14:paraId="000EE94A" w14:textId="77777777" w:rsidR="00C4384E" w:rsidRDefault="007B6F5A">
      <w:pPr>
        <w:pStyle w:val="Heading2"/>
      </w:pPr>
      <w:bookmarkStart w:id="72" w:name="_Toc16667654"/>
      <w:r>
        <w:t>16.1 Uso del trabajo realizado por otros auditores u organismos expertos</w:t>
      </w:r>
      <w:bookmarkEnd w:id="72"/>
      <w:r>
        <w:t xml:space="preserve"> </w:t>
      </w:r>
    </w:p>
    <w:p w14:paraId="57186817" w14:textId="77777777" w:rsidR="00C4384E" w:rsidRDefault="00760E66">
      <w:pPr>
        <w:pStyle w:val="Text1"/>
        <w:spacing w:after="120"/>
        <w:ind w:left="0"/>
      </w:pPr>
      <w:r>
        <w:t>El OC puede optar por externalizar, entre otros procedimientos de auditoría, la nueva verificación de los controles sobre el terreno a expertos u órganos especializados si disponen de las competencias y conocimientos especializados pertinentes. En el caso de que el OC externalice una parte de sus nuevas verificaciones y en función de los acuerdos, deberá tenerse en cuenta lo dispuesto en la NIA 600 «</w:t>
      </w:r>
      <w:r>
        <w:rPr>
          <w:i/>
          <w:iCs/>
        </w:rPr>
        <w:t>Utilización del trabajo de otro auditor</w:t>
      </w:r>
      <w:r>
        <w:t>», en la NIA 610 «</w:t>
      </w:r>
      <w:r>
        <w:rPr>
          <w:i/>
          <w:iCs/>
        </w:rPr>
        <w:t>Utilización del trabajo de los auditores externos</w:t>
      </w:r>
      <w:r>
        <w:t>» y en la NIA 620 «</w:t>
      </w:r>
      <w:r>
        <w:rPr>
          <w:i/>
          <w:iCs/>
        </w:rPr>
        <w:t>Utilización del trabajo de un experto del auditor</w:t>
      </w:r>
      <w:r>
        <w:t xml:space="preserve">». </w:t>
      </w:r>
    </w:p>
    <w:p w14:paraId="5E5E1AA3" w14:textId="292C7FB3" w:rsidR="00C4384E" w:rsidRDefault="00A0449C">
      <w:pPr>
        <w:pStyle w:val="Text1"/>
        <w:spacing w:after="120"/>
        <w:ind w:left="0"/>
      </w:pPr>
      <w:r>
        <w:t xml:space="preserve">En principio, para garantizar una valoración totalmente imparcial, el OC no debe externalizar esta nueva verificación al OP. No obstante, si el OC se basa en alguna medida en los expertos del OP para interpretar el resultado de la nueva verificación de los controles sobre el terreno, debe seguir los requisitos de la NIA 500 «Evidencia de auditoría», apartado 8. En relación con lo anterior, según la NIA 500, apartados 8 y A34-48, si la información a utilizar como evidencia de auditoría se ha preparado utilizando el trabajo de un experto de la dirección, el auditor, en la medida necesaria y teniendo en cuenta la significatividad del trabajo de dicho experto para los fines del auditor: </w:t>
      </w:r>
    </w:p>
    <w:p w14:paraId="5B30D659" w14:textId="2B2BBFAF" w:rsidR="00C4384E" w:rsidRDefault="00AF4144">
      <w:pPr>
        <w:pStyle w:val="Text1"/>
        <w:numPr>
          <w:ilvl w:val="0"/>
          <w:numId w:val="23"/>
        </w:numPr>
        <w:spacing w:after="120"/>
      </w:pPr>
      <w:r>
        <w:t xml:space="preserve">evaluará las cualificaciones profesionales, la independencia y la objetividad, la competencia profesional y los recursos (por ejemplo, certificados emitidos por terceros en el caso de expertos); </w:t>
      </w:r>
    </w:p>
    <w:p w14:paraId="7B9C0D30" w14:textId="77777777" w:rsidR="00C4384E" w:rsidRDefault="0043253C">
      <w:pPr>
        <w:pStyle w:val="Text1"/>
        <w:numPr>
          <w:ilvl w:val="0"/>
          <w:numId w:val="23"/>
        </w:numPr>
        <w:spacing w:after="120"/>
      </w:pPr>
      <w:r>
        <w:t xml:space="preserve">obtendrá conocimiento del trabajo de dicho experto, y </w:t>
      </w:r>
    </w:p>
    <w:p w14:paraId="2CB2EA1E" w14:textId="77777777" w:rsidR="00C4384E" w:rsidRDefault="00AE1239">
      <w:pPr>
        <w:pStyle w:val="Text1"/>
        <w:numPr>
          <w:ilvl w:val="0"/>
          <w:numId w:val="23"/>
        </w:numPr>
        <w:spacing w:after="120"/>
      </w:pPr>
      <w:r>
        <w:t>evaluará la pertinencia y la adecuación del trabajo de dicho experto como evidencia de auditoría para la afirmación correspondiente.</w:t>
      </w:r>
    </w:p>
    <w:p w14:paraId="66CC4827" w14:textId="77777777" w:rsidR="00C4384E" w:rsidRDefault="0043253C">
      <w:pPr>
        <w:pStyle w:val="Text1"/>
        <w:spacing w:after="120"/>
        <w:ind w:left="0"/>
      </w:pPr>
      <w:r>
        <w:t xml:space="preserve">En cualquier caso, el trabajo de auditoría del OC, incluida la supervisión y el seguimiento del experto/organismo especializado/otro organismo de auditoría, debe llevarse a cabo de acuerdo con las normas de auditoría internacionalmente aceptadas y documentarse de manera adecuada. </w:t>
      </w:r>
    </w:p>
    <w:p w14:paraId="45F8F668" w14:textId="1822CEEC" w:rsidR="00C4384E" w:rsidRDefault="005E75EE">
      <w:pPr>
        <w:pStyle w:val="Text1"/>
        <w:spacing w:after="120"/>
        <w:ind w:left="0"/>
      </w:pPr>
      <w:r>
        <w:t xml:space="preserve">En caso de que las garantías obtenidas se basen en un certificado emitido por una tercera parte, el OC también debe garantizar la pertinencia, el alcance y la calidad del trabajo </w:t>
      </w:r>
      <w:r>
        <w:lastRenderedPageBreak/>
        <w:t>realizado. Debe facilitarse el informe de auditoría relativo al certificado de la tercera parte.</w:t>
      </w:r>
    </w:p>
    <w:p w14:paraId="7B11BF61" w14:textId="1CF1FEB9" w:rsidR="00C4384E" w:rsidRDefault="007529E9">
      <w:pPr>
        <w:pStyle w:val="Text1"/>
        <w:spacing w:after="120"/>
        <w:ind w:left="0"/>
      </w:pPr>
      <w:r>
        <w:t>En caso de que el OC se base en el trabajo de auditoría interna del OP, en la estrategia de auditoría y en el informe anual deberá indicarse en qué medida el OC utiliza el trabajo de auditoría interna.</w:t>
      </w:r>
      <w:r w:rsidR="00805BA2">
        <w:t xml:space="preserve"> </w:t>
      </w:r>
    </w:p>
    <w:p w14:paraId="72E7F701" w14:textId="77777777" w:rsidR="00C4384E" w:rsidRDefault="007B6F5A">
      <w:pPr>
        <w:pStyle w:val="Heading2"/>
      </w:pPr>
      <w:bookmarkStart w:id="73" w:name="_Toc16667655"/>
      <w:r>
        <w:t>16.2 Verificación de la condicionalidad</w:t>
      </w:r>
      <w:bookmarkEnd w:id="73"/>
      <w:r>
        <w:t xml:space="preserve"> </w:t>
      </w:r>
    </w:p>
    <w:p w14:paraId="47FBCA7D" w14:textId="1436864C" w:rsidR="00C4384E" w:rsidRDefault="007A26C0">
      <w:pPr>
        <w:pStyle w:val="Text1"/>
        <w:spacing w:after="120"/>
        <w:ind w:left="0"/>
      </w:pPr>
      <w:r>
        <w:t xml:space="preserve">En lo que atañe a la condicionalidad, el OC debe examinar el procedimiento y, por consiguiente, evaluar la calidad del trabajo bajo la responsabilidad del OP. El cumplimiento de los requisitos de condicionalidad puede verificarse participando en los controles sobre el terreno de primer nivel del OP y, cuando proceda, a través de controles administrativos para los elementos seleccionados en la muestra de la prueba sustantiva. Esta verificación puede ser complementada con una revisión del análisis de riesgo realizada por el OP sobre la condicionalidad. En caso de que se identifiquen riesgos elevados de errores o desviaciones, el OC puede decidir revisar los correspondientes procedimientos de control del OP o del organismo delegado o ampliar la muestra (objeto de pruebas sustantivas) con el fin de valorar mejor las incorrecciones financieras. Las desviaciones constatadas no deben incluirse en la tasa de error calculada para las pruebas sustantivas. Sin embargo, deben ser notificadas. </w:t>
      </w:r>
    </w:p>
    <w:p w14:paraId="2193F142" w14:textId="77777777" w:rsidR="00C4384E" w:rsidRDefault="007A26C0">
      <w:pPr>
        <w:pStyle w:val="Text1"/>
        <w:spacing w:after="120"/>
        <w:ind w:left="0"/>
      </w:pPr>
      <w:r>
        <w:t>Si la condicionalidad es verificada por otro organismo, el OC debe al menos revisar el informe, el flujo de comunicación entre el OP y el otro organismo, y/o valorar la función de supervisión o seguimiento del OP con respecto a la delegación formal o informal (si procede).</w:t>
      </w:r>
    </w:p>
    <w:p w14:paraId="439B2E45" w14:textId="77777777" w:rsidR="00C4384E" w:rsidRDefault="00C4384E">
      <w:pPr>
        <w:pStyle w:val="Text1"/>
        <w:spacing w:after="120"/>
        <w:ind w:left="0"/>
        <w:rPr>
          <w:highlight w:val="yellow"/>
        </w:rPr>
      </w:pPr>
    </w:p>
    <w:p w14:paraId="334AD6DF" w14:textId="77777777" w:rsidR="00C4384E" w:rsidRDefault="0043253C">
      <w:pPr>
        <w:pStyle w:val="Heading1"/>
        <w:numPr>
          <w:ilvl w:val="0"/>
          <w:numId w:val="74"/>
        </w:numPr>
      </w:pPr>
      <w:r>
        <w:t xml:space="preserve"> </w:t>
      </w:r>
      <w:bookmarkStart w:id="74" w:name="_Toc16667656"/>
      <w:r>
        <w:t>Tasa de error certificada – reducción del porcentaje de control</w:t>
      </w:r>
      <w:bookmarkEnd w:id="74"/>
    </w:p>
    <w:p w14:paraId="5921FFA1" w14:textId="48656541" w:rsidR="00C4384E" w:rsidRDefault="00993953">
      <w:r>
        <w:t>Según el artículo 41 del Reglamento (UE) n.º 908/2014, los Estados miembros pueden decidir reducir el nivel mínimo de controles sobre el terreno, de conformidad con el artículo 59, apartado 5, del Reglamento (UE) n.º 1306/2013, en caso de que, entre otras condiciones:</w:t>
      </w:r>
    </w:p>
    <w:p w14:paraId="08589C6F" w14:textId="63172FF2" w:rsidR="00C4384E" w:rsidRDefault="00BE1602" w:rsidP="00AB5563">
      <w:pPr>
        <w:rPr>
          <w:i/>
        </w:rPr>
      </w:pPr>
      <w:r>
        <w:rPr>
          <w:i/>
        </w:rPr>
        <w:t>«el organismo de certificación, de conformidad con el artículo 9 del Reglamento (UE) n.º 1306/2013, haya emitido un dictamen en el que valide tanto que el sistema de control interno está funcionando correctamente como que el porcentaje de error de la población en cuestión se situó por debajo del umbral de importancia relativa del 2,0</w:t>
      </w:r>
      <w:r w:rsidR="00AB5563">
        <w:rPr>
          <w:i/>
        </w:rPr>
        <w:t> </w:t>
      </w:r>
      <w:r>
        <w:rPr>
          <w:i/>
        </w:rPr>
        <w:t>% durante al menos los dos ejercicios financieros consecutivos anteriores al año en que se pretende aplicar el porcentaje de control reducido;»</w:t>
      </w:r>
    </w:p>
    <w:p w14:paraId="4A75F2BD" w14:textId="22C59D3D" w:rsidR="00C4384E" w:rsidRDefault="000556C4">
      <w:r>
        <w:t xml:space="preserve">De conformidad con el artículo 41, letra a), del Reglamento (UE) n.º 908/2014, el organismo de certificación debería poder emitir su dictamen </w:t>
      </w:r>
      <w:r>
        <w:rPr>
          <w:u w:val="single"/>
        </w:rPr>
        <w:t>sobre el porcentaje de error de la población en cuestión, que es el régimen/medida específico</w:t>
      </w:r>
      <w:r>
        <w:t>, por ejemplo, régimen de pago básico / régimen de pago único por superficie, pago redistributivo y régimen para los pequeños agricultores en el marco del FEAGA SIGC y medidas agroambientales y agricultura ecológica en el marco del Feader SIGC. Esto implica la necesidad de que existan pruebas (sustantivas) suficientes con respecto a cada uno de estos regímenes o medidas.</w:t>
      </w:r>
    </w:p>
    <w:p w14:paraId="29EE2124" w14:textId="2B6337F1" w:rsidR="00C4384E" w:rsidRDefault="006C32DF">
      <w:r>
        <w:lastRenderedPageBreak/>
        <w:t xml:space="preserve">En caso de método de muestreo estadístico, el tamaño mínimo de la muestra para los regímenes/medidas antes mencionados debe ser de </w:t>
      </w:r>
      <w:r>
        <w:rPr>
          <w:b/>
          <w:bCs/>
        </w:rPr>
        <w:t>25</w:t>
      </w:r>
      <w:r>
        <w:t xml:space="preserve"> transacciones por régimen o medida. Si se utiliza el método de muestreo no estadístico, el tamaño mínimo de la muestra debe establecerse sobre la base de ese método para el régimen o medida específico (véase el anexo 2).</w:t>
      </w:r>
    </w:p>
    <w:p w14:paraId="2F7A2BCF" w14:textId="77777777" w:rsidR="00C4384E" w:rsidRDefault="006C32DF">
      <w:r>
        <w:t xml:space="preserve">Para las restantes medidas al amparo del Feader SIGC, el OC debe verificar un mínimo de </w:t>
      </w:r>
      <w:r>
        <w:rPr>
          <w:b/>
          <w:bCs/>
        </w:rPr>
        <w:t>25</w:t>
      </w:r>
      <w:r>
        <w:t xml:space="preserve"> transacciones de los controles sobre el terreno aleatorios del organismo pagador (OP) y debe asegurarse de que la muestra sea representativa de la población de los controles sobre el terreno del organismo pagador. Para las medidas Feader no SIGC, el OC debe verificar un mínimo de </w:t>
      </w:r>
      <w:r>
        <w:rPr>
          <w:b/>
          <w:bCs/>
        </w:rPr>
        <w:t>50</w:t>
      </w:r>
      <w:r>
        <w:t xml:space="preserve"> transacciones de todos los controles sobre el terreno del OP para esa población y debe asegurarse de que la muestra sea representativa de la población de los controles sobre el terreno del organismo pagador. Si se utiliza el método de muestreo no estadístico, el tamaño mínimo de la muestra debe establecerse sobre la base de ese método para la población/estrato (véase el anexo 2).</w:t>
      </w:r>
    </w:p>
    <w:p w14:paraId="7CEF73D8" w14:textId="1173D53B" w:rsidR="00C4384E" w:rsidRDefault="006C32DF">
      <w:r>
        <w:t xml:space="preserve">Debe presentarse una evaluación de errores aparte basada en el método de muestreo seleccionado para cada uno de los regímenes/medidas o para la población/estrato determinado (véase el anexo 5.1 - </w:t>
      </w:r>
      <w:r>
        <w:rPr>
          <w:i/>
          <w:iCs/>
        </w:rPr>
        <w:t>II_SIGC_Art. 41</w:t>
      </w:r>
      <w:r>
        <w:t xml:space="preserve">). Esta tasa de error debe añadirse a la notificada por el OP para el régimen/medida específico con el fin de determinar si se ha infringido el umbral del 2 %. </w:t>
      </w:r>
    </w:p>
    <w:p w14:paraId="093C28E6" w14:textId="6244F511" w:rsidR="00C4384E" w:rsidRDefault="006C32DF">
      <w:r>
        <w:t>En el caso del Feader no SIGC y del Feader SIGC, excepto medidas agroambientales y agricultura ecológica, el OC debe tener una evaluación aparte de la muestra sometida a comprobación para la reducción de la tasa de control.</w:t>
      </w:r>
      <w:r w:rsidR="00805BA2">
        <w:t xml:space="preserve"> </w:t>
      </w:r>
      <w:r>
        <w:t xml:space="preserve">Este índice de incumplimiento debe añadirse a la tasa de error notificada por el OP para la población/estrato determinado. </w:t>
      </w:r>
    </w:p>
    <w:p w14:paraId="63F9A3BE" w14:textId="4E9F1791" w:rsidR="00C4384E" w:rsidRDefault="006C32DF">
      <w:r>
        <w:t>Además de lo anterior, se aconseja al OC que tenga en cuenta el índice de incumplimiento resultante de la verificación de la legalidad y la regularidad de la población determinada, especialmente en caso de que sea superior al 2 %. En tal caso, el OC debe explicar por qué considera que la certificación de una tasa de error por debajo del 2 % a efectos de la reducción de la tasa de control sigue siendo posible.</w:t>
      </w:r>
    </w:p>
    <w:p w14:paraId="6AA20F07" w14:textId="77777777" w:rsidR="00805BA2" w:rsidRDefault="006317BB">
      <w:r>
        <w:t>Los requisitos de información a este respecto se incluyen en la directriz n.º 3 y en el documento de trabajo Ares(2017) 4566667 - 19.9.2017.</w:t>
      </w:r>
    </w:p>
    <w:p w14:paraId="7B0BA5F5" w14:textId="5417B8AF" w:rsidR="00C4384E" w:rsidRDefault="00C4384E"/>
    <w:p w14:paraId="08EAA477" w14:textId="77777777" w:rsidR="00C4384E" w:rsidRDefault="00C4384E"/>
    <w:p w14:paraId="2CB41178" w14:textId="77777777" w:rsidR="00C4384E" w:rsidRDefault="00C4384E"/>
    <w:p w14:paraId="130EF0D4" w14:textId="77777777" w:rsidR="00C4384E" w:rsidRDefault="00C4384E"/>
    <w:p w14:paraId="3F39AC63" w14:textId="77777777" w:rsidR="00C4384E" w:rsidRDefault="00C4384E"/>
    <w:p w14:paraId="229734B9" w14:textId="77777777" w:rsidR="00C4384E" w:rsidRDefault="00C4384E"/>
    <w:p w14:paraId="1DCE601F" w14:textId="77777777" w:rsidR="00C4384E" w:rsidRDefault="00C4384E"/>
    <w:p w14:paraId="114A409C" w14:textId="77777777" w:rsidR="00C4384E" w:rsidRDefault="00C4384E"/>
    <w:p w14:paraId="689D4EC0" w14:textId="77777777" w:rsidR="00C4384E" w:rsidRDefault="00C4384E"/>
    <w:p w14:paraId="75E310C9" w14:textId="77777777" w:rsidR="00C4384E" w:rsidRDefault="00C4384E"/>
    <w:p w14:paraId="2307E496" w14:textId="77777777" w:rsidR="00C4384E" w:rsidRDefault="00F84390">
      <w:pPr>
        <w:pStyle w:val="Heading1"/>
        <w:numPr>
          <w:ilvl w:val="0"/>
          <w:numId w:val="0"/>
        </w:numPr>
        <w:jc w:val="center"/>
        <w:rPr>
          <w:sz w:val="56"/>
        </w:rPr>
      </w:pPr>
      <w:bookmarkStart w:id="75" w:name="_Toc16667657"/>
      <w:r>
        <w:rPr>
          <w:sz w:val="56"/>
        </w:rPr>
        <w:t>PARTE C</w:t>
      </w:r>
      <w:bookmarkEnd w:id="75"/>
    </w:p>
    <w:p w14:paraId="00D901D2" w14:textId="77777777" w:rsidR="00C4384E" w:rsidRDefault="00F84390">
      <w:pPr>
        <w:pStyle w:val="Heading1"/>
        <w:numPr>
          <w:ilvl w:val="0"/>
          <w:numId w:val="74"/>
        </w:numPr>
      </w:pPr>
      <w:r>
        <w:br w:type="page"/>
      </w:r>
      <w:bookmarkStart w:id="76" w:name="_Toc16667658"/>
      <w:r>
        <w:lastRenderedPageBreak/>
        <w:t>Elaboración de las conclusiones incluidas en la opinión de auditoría</w:t>
      </w:r>
      <w:bookmarkEnd w:id="76"/>
    </w:p>
    <w:p w14:paraId="20279907" w14:textId="2F2A3E2C" w:rsidR="00C4384E" w:rsidRDefault="008F7109">
      <w:r>
        <w:t>Sobre la base de las conclusiones extraídas según se indica en la sección 9, para el objetivo de auditoría n.º 1, y la sección 15, para el objetivo de auditoría n.º 2, el OC debe alcanzar una conclusión sobre los siguientes elementos de la opinión:</w:t>
      </w:r>
    </w:p>
    <w:p w14:paraId="2A265CD0" w14:textId="4BF0A279" w:rsidR="00C4384E" w:rsidRDefault="00366BB1">
      <w:r>
        <w:t>De acuerdo con la sección 9 – objetivo de auditoría n.º 1:</w:t>
      </w:r>
    </w:p>
    <w:p w14:paraId="1CC3708B" w14:textId="77777777" w:rsidR="00C4384E" w:rsidRDefault="00366BB1">
      <w:pPr>
        <w:numPr>
          <w:ilvl w:val="0"/>
          <w:numId w:val="73"/>
        </w:numPr>
      </w:pPr>
      <w:r>
        <w:t>sobre la integridad, exactitud y veracidad de las cuentas anuales.</w:t>
      </w:r>
    </w:p>
    <w:p w14:paraId="10C13F95" w14:textId="3576ED6E" w:rsidR="00C4384E" w:rsidRDefault="00366BB1">
      <w:r>
        <w:t>De acuerdo con la sección 15 – objetivo de auditoría n.º 2:</w:t>
      </w:r>
    </w:p>
    <w:p w14:paraId="60B0E000" w14:textId="77777777" w:rsidR="00C4384E" w:rsidRDefault="00366BB1">
      <w:pPr>
        <w:numPr>
          <w:ilvl w:val="0"/>
          <w:numId w:val="73"/>
        </w:numPr>
      </w:pPr>
      <w:r>
        <w:t xml:space="preserve">sobre la legalidad y regularidad del gasto cuyo reembolso ha sido solicitado a la Comisión, </w:t>
      </w:r>
    </w:p>
    <w:p w14:paraId="7C8E5047" w14:textId="77777777" w:rsidR="00C4384E" w:rsidRDefault="006E266A">
      <w:pPr>
        <w:numPr>
          <w:ilvl w:val="0"/>
          <w:numId w:val="73"/>
        </w:numPr>
      </w:pPr>
      <w:r>
        <w:t>sobre las afirmaciones incluidas en la declaración sobre la gestión,</w:t>
      </w:r>
    </w:p>
    <w:p w14:paraId="7AAAA814" w14:textId="77777777" w:rsidR="00C4384E" w:rsidRDefault="006E266A">
      <w:pPr>
        <w:numPr>
          <w:ilvl w:val="0"/>
          <w:numId w:val="73"/>
        </w:numPr>
      </w:pPr>
      <w:r>
        <w:t>sobre los regímenes y las medidas a efectos de la reducción de la tasa de control, según lo dispuesto en el artículo 41 del Reglamento (UE) n.º 908/2014.</w:t>
      </w:r>
    </w:p>
    <w:p w14:paraId="7FFF03DE" w14:textId="50B94FA8" w:rsidR="00C4384E" w:rsidRDefault="006E266A">
      <w:r>
        <w:t>En lo que se refiere a la valoración del sistema de control interno, el OC debe agregar los resultados derivados de la auditoría en el ámbito de los objetivos de auditoría n.º 1 y n.º</w:t>
      </w:r>
      <w:r w:rsidR="004C779D">
        <w:t> </w:t>
      </w:r>
      <w:r>
        <w:t>2.</w:t>
      </w:r>
    </w:p>
    <w:p w14:paraId="75445E8C" w14:textId="6BB21610" w:rsidR="00C4384E" w:rsidRDefault="00FB41F0">
      <w:r>
        <w:t>Aunque el OC pueda utilizar la valoración de la garantía del sistema relativa a un estrato específico (grupo de medidas o medida/régimen) a efectos de la planificación de las pruebas sustantivas, el OC debe poder alcanzar una conclusión sobre la garantía del sistema con respecto a cada población en el ámbito del objetivo de auditoría n.º 2: FEAGA SIGC, FEAGA no SIGC, Feader SIGC, Feader no SIGC. Además, el OC debe tener en cuenta la valoración de los procedimientos de control en el ámbito del objetivo de auditoría n.º 1 y facilitar una valoración resumida según el siguiente ejemplo:</w:t>
      </w:r>
    </w:p>
    <w:tbl>
      <w:tblPr>
        <w:tblStyle w:val="TableGrid"/>
        <w:tblW w:w="8966" w:type="dxa"/>
        <w:tblLook w:val="00A0" w:firstRow="1" w:lastRow="0" w:firstColumn="1" w:lastColumn="0" w:noHBand="0" w:noVBand="0"/>
      </w:tblPr>
      <w:tblGrid>
        <w:gridCol w:w="1951"/>
        <w:gridCol w:w="1753"/>
        <w:gridCol w:w="1754"/>
        <w:gridCol w:w="1754"/>
        <w:gridCol w:w="1754"/>
      </w:tblGrid>
      <w:tr w:rsidR="00C4384E" w14:paraId="63873653" w14:textId="77777777" w:rsidTr="004C779D">
        <w:tc>
          <w:tcPr>
            <w:tcW w:w="1951" w:type="dxa"/>
            <w:tcBorders>
              <w:tl2br w:val="single" w:sz="4" w:space="0" w:color="auto"/>
            </w:tcBorders>
          </w:tcPr>
          <w:p w14:paraId="5AEC0749" w14:textId="77777777" w:rsidR="00C4384E" w:rsidRDefault="00FB41F0">
            <w:pPr>
              <w:spacing w:after="120"/>
              <w:jc w:val="right"/>
              <w:rPr>
                <w:b/>
              </w:rPr>
            </w:pPr>
            <w:r>
              <w:rPr>
                <w:b/>
              </w:rPr>
              <w:t>Población</w:t>
            </w:r>
          </w:p>
          <w:p w14:paraId="59F7E7EB" w14:textId="77777777" w:rsidR="00C4384E" w:rsidRDefault="00FB41F0">
            <w:pPr>
              <w:spacing w:after="120"/>
              <w:rPr>
                <w:b/>
              </w:rPr>
            </w:pPr>
            <w:r>
              <w:rPr>
                <w:b/>
              </w:rPr>
              <w:t>Procedimiento de control</w:t>
            </w:r>
          </w:p>
        </w:tc>
        <w:tc>
          <w:tcPr>
            <w:tcW w:w="1753" w:type="dxa"/>
          </w:tcPr>
          <w:p w14:paraId="1689050E" w14:textId="77777777" w:rsidR="00C4384E" w:rsidRDefault="00FB41F0">
            <w:pPr>
              <w:spacing w:after="120"/>
              <w:rPr>
                <w:b/>
              </w:rPr>
            </w:pPr>
            <w:r>
              <w:rPr>
                <w:b/>
              </w:rPr>
              <w:t>FEAGA SIGC</w:t>
            </w:r>
          </w:p>
        </w:tc>
        <w:tc>
          <w:tcPr>
            <w:tcW w:w="1754" w:type="dxa"/>
          </w:tcPr>
          <w:p w14:paraId="2193A608" w14:textId="77777777" w:rsidR="00C4384E" w:rsidRDefault="00FB41F0">
            <w:pPr>
              <w:spacing w:after="120"/>
              <w:rPr>
                <w:b/>
              </w:rPr>
            </w:pPr>
            <w:r>
              <w:rPr>
                <w:b/>
              </w:rPr>
              <w:t>FEAGA no SIGC</w:t>
            </w:r>
          </w:p>
        </w:tc>
        <w:tc>
          <w:tcPr>
            <w:tcW w:w="1754" w:type="dxa"/>
          </w:tcPr>
          <w:p w14:paraId="3855405F" w14:textId="77777777" w:rsidR="00C4384E" w:rsidRDefault="00FB41F0">
            <w:pPr>
              <w:spacing w:after="120"/>
              <w:rPr>
                <w:b/>
              </w:rPr>
            </w:pPr>
            <w:r>
              <w:rPr>
                <w:b/>
              </w:rPr>
              <w:t>Feader SIGC</w:t>
            </w:r>
          </w:p>
        </w:tc>
        <w:tc>
          <w:tcPr>
            <w:tcW w:w="1754" w:type="dxa"/>
          </w:tcPr>
          <w:p w14:paraId="39935095" w14:textId="77777777" w:rsidR="00C4384E" w:rsidRDefault="00FB41F0">
            <w:pPr>
              <w:spacing w:after="120"/>
              <w:rPr>
                <w:b/>
              </w:rPr>
            </w:pPr>
            <w:r>
              <w:rPr>
                <w:b/>
              </w:rPr>
              <w:t>Feader no SIGC</w:t>
            </w:r>
          </w:p>
        </w:tc>
      </w:tr>
      <w:tr w:rsidR="00C4384E" w14:paraId="12818500" w14:textId="77777777" w:rsidTr="004C779D">
        <w:tc>
          <w:tcPr>
            <w:tcW w:w="1951" w:type="dxa"/>
          </w:tcPr>
          <w:p w14:paraId="553BF1F5" w14:textId="77777777" w:rsidR="00C4384E" w:rsidRDefault="00FB41F0">
            <w:pPr>
              <w:spacing w:after="120"/>
              <w:rPr>
                <w:b/>
              </w:rPr>
            </w:pPr>
            <w:r>
              <w:rPr>
                <w:b/>
              </w:rPr>
              <w:t>Autorización de pago – controles administrativos</w:t>
            </w:r>
          </w:p>
        </w:tc>
        <w:tc>
          <w:tcPr>
            <w:tcW w:w="1753" w:type="dxa"/>
          </w:tcPr>
          <w:p w14:paraId="533B3CC3" w14:textId="4499328E" w:rsidR="00C4384E" w:rsidRDefault="00FB41F0">
            <w:pPr>
              <w:spacing w:after="120"/>
            </w:pPr>
            <w:r>
              <w:t>Funciona bien</w:t>
            </w:r>
          </w:p>
        </w:tc>
        <w:tc>
          <w:tcPr>
            <w:tcW w:w="1754" w:type="dxa"/>
          </w:tcPr>
          <w:p w14:paraId="2296DEAE" w14:textId="77777777" w:rsidR="00C4384E" w:rsidRDefault="00FB41F0">
            <w:pPr>
              <w:spacing w:after="120"/>
            </w:pPr>
            <w:r>
              <w:t>Funciona parcialmente</w:t>
            </w:r>
          </w:p>
        </w:tc>
        <w:tc>
          <w:tcPr>
            <w:tcW w:w="1754" w:type="dxa"/>
          </w:tcPr>
          <w:p w14:paraId="10E98AE3" w14:textId="77777777" w:rsidR="00C4384E" w:rsidRDefault="00FB41F0">
            <w:pPr>
              <w:spacing w:after="120"/>
            </w:pPr>
            <w:r>
              <w:t>Funciona</w:t>
            </w:r>
          </w:p>
        </w:tc>
        <w:tc>
          <w:tcPr>
            <w:tcW w:w="1754" w:type="dxa"/>
          </w:tcPr>
          <w:p w14:paraId="6A81D97D" w14:textId="77777777" w:rsidR="00C4384E" w:rsidRDefault="00FB41F0">
            <w:pPr>
              <w:spacing w:after="120"/>
            </w:pPr>
            <w:r>
              <w:t>Funciona</w:t>
            </w:r>
          </w:p>
        </w:tc>
      </w:tr>
      <w:tr w:rsidR="00C4384E" w14:paraId="77FA5FB5" w14:textId="77777777" w:rsidTr="004C779D">
        <w:tc>
          <w:tcPr>
            <w:tcW w:w="1951" w:type="dxa"/>
          </w:tcPr>
          <w:p w14:paraId="0DD81CC2" w14:textId="77777777" w:rsidR="00C4384E" w:rsidRDefault="00FB41F0">
            <w:pPr>
              <w:spacing w:after="120"/>
              <w:rPr>
                <w:b/>
              </w:rPr>
            </w:pPr>
            <w:r>
              <w:rPr>
                <w:b/>
              </w:rPr>
              <w:t>Autorización de pago – controles sobre el terreno</w:t>
            </w:r>
          </w:p>
        </w:tc>
        <w:tc>
          <w:tcPr>
            <w:tcW w:w="1753" w:type="dxa"/>
          </w:tcPr>
          <w:p w14:paraId="36D3E417" w14:textId="77777777" w:rsidR="00C4384E" w:rsidRDefault="00FB41F0">
            <w:pPr>
              <w:spacing w:after="120"/>
            </w:pPr>
            <w:r>
              <w:t>Funciona parcialmente</w:t>
            </w:r>
          </w:p>
        </w:tc>
        <w:tc>
          <w:tcPr>
            <w:tcW w:w="1754" w:type="dxa"/>
          </w:tcPr>
          <w:p w14:paraId="79E2273C" w14:textId="77777777" w:rsidR="00C4384E" w:rsidRDefault="001510C4">
            <w:pPr>
              <w:spacing w:after="120"/>
            </w:pPr>
            <w:r>
              <w:t>No funciona</w:t>
            </w:r>
          </w:p>
        </w:tc>
        <w:tc>
          <w:tcPr>
            <w:tcW w:w="1754" w:type="dxa"/>
          </w:tcPr>
          <w:p w14:paraId="740823AD" w14:textId="77777777" w:rsidR="00C4384E" w:rsidRDefault="00FB41F0">
            <w:pPr>
              <w:spacing w:after="120"/>
            </w:pPr>
            <w:r>
              <w:t>Funciona</w:t>
            </w:r>
          </w:p>
        </w:tc>
        <w:tc>
          <w:tcPr>
            <w:tcW w:w="1754" w:type="dxa"/>
          </w:tcPr>
          <w:p w14:paraId="774D9FDA" w14:textId="77777777" w:rsidR="00C4384E" w:rsidRDefault="00FB41F0">
            <w:pPr>
              <w:spacing w:after="120"/>
            </w:pPr>
            <w:r>
              <w:t>Funciona parcialmente</w:t>
            </w:r>
          </w:p>
        </w:tc>
      </w:tr>
      <w:tr w:rsidR="00C4384E" w14:paraId="131CC337" w14:textId="77777777" w:rsidTr="004C779D">
        <w:tc>
          <w:tcPr>
            <w:tcW w:w="1951" w:type="dxa"/>
          </w:tcPr>
          <w:p w14:paraId="5B36AA26" w14:textId="77777777" w:rsidR="00C4384E" w:rsidRDefault="00FB41F0">
            <w:pPr>
              <w:spacing w:after="120"/>
              <w:rPr>
                <w:b/>
              </w:rPr>
            </w:pPr>
            <w:r>
              <w:rPr>
                <w:b/>
              </w:rPr>
              <w:t>Ejecución del pago</w:t>
            </w:r>
          </w:p>
        </w:tc>
        <w:tc>
          <w:tcPr>
            <w:tcW w:w="1753" w:type="dxa"/>
          </w:tcPr>
          <w:p w14:paraId="5B2A5656" w14:textId="77777777" w:rsidR="00C4384E" w:rsidRDefault="00FB41F0">
            <w:pPr>
              <w:spacing w:after="120"/>
            </w:pPr>
            <w:r>
              <w:t>Funciona bien</w:t>
            </w:r>
          </w:p>
        </w:tc>
        <w:tc>
          <w:tcPr>
            <w:tcW w:w="1754" w:type="dxa"/>
          </w:tcPr>
          <w:p w14:paraId="023EF59E" w14:textId="77777777" w:rsidR="00C4384E" w:rsidRDefault="00DB0377">
            <w:pPr>
              <w:spacing w:after="120"/>
            </w:pPr>
            <w:r>
              <w:t>Funciona bien</w:t>
            </w:r>
          </w:p>
        </w:tc>
        <w:tc>
          <w:tcPr>
            <w:tcW w:w="1754" w:type="dxa"/>
          </w:tcPr>
          <w:p w14:paraId="44614FBE" w14:textId="77777777" w:rsidR="00C4384E" w:rsidRDefault="00DB0377">
            <w:pPr>
              <w:spacing w:after="120"/>
            </w:pPr>
            <w:r>
              <w:t>Funciona</w:t>
            </w:r>
          </w:p>
        </w:tc>
        <w:tc>
          <w:tcPr>
            <w:tcW w:w="1754" w:type="dxa"/>
          </w:tcPr>
          <w:p w14:paraId="643CFF58" w14:textId="77777777" w:rsidR="00C4384E" w:rsidRDefault="00FB41F0">
            <w:pPr>
              <w:spacing w:after="120"/>
            </w:pPr>
            <w:r>
              <w:t>Funciona bien</w:t>
            </w:r>
          </w:p>
        </w:tc>
      </w:tr>
      <w:tr w:rsidR="00C4384E" w14:paraId="7E701343" w14:textId="77777777" w:rsidTr="004C779D">
        <w:tc>
          <w:tcPr>
            <w:tcW w:w="1951" w:type="dxa"/>
          </w:tcPr>
          <w:p w14:paraId="5179CC34" w14:textId="77777777" w:rsidR="00C4384E" w:rsidRDefault="00FB41F0">
            <w:pPr>
              <w:spacing w:after="120"/>
              <w:rPr>
                <w:b/>
              </w:rPr>
            </w:pPr>
            <w:r>
              <w:rPr>
                <w:b/>
              </w:rPr>
              <w:t>Contabilidad del pago</w:t>
            </w:r>
          </w:p>
        </w:tc>
        <w:tc>
          <w:tcPr>
            <w:tcW w:w="1753" w:type="dxa"/>
          </w:tcPr>
          <w:p w14:paraId="197D0046" w14:textId="4EDAD0FF" w:rsidR="00C4384E" w:rsidRDefault="00FB41F0">
            <w:pPr>
              <w:spacing w:after="120"/>
            </w:pPr>
            <w:r>
              <w:t>Funciona bien</w:t>
            </w:r>
          </w:p>
        </w:tc>
        <w:tc>
          <w:tcPr>
            <w:tcW w:w="1754" w:type="dxa"/>
          </w:tcPr>
          <w:p w14:paraId="6B803805" w14:textId="77777777" w:rsidR="00C4384E" w:rsidRDefault="00DB0377">
            <w:pPr>
              <w:spacing w:after="120"/>
            </w:pPr>
            <w:r>
              <w:t>Funciona bien</w:t>
            </w:r>
          </w:p>
        </w:tc>
        <w:tc>
          <w:tcPr>
            <w:tcW w:w="1754" w:type="dxa"/>
          </w:tcPr>
          <w:p w14:paraId="30F219AB" w14:textId="77777777" w:rsidR="00C4384E" w:rsidRDefault="00FB41F0">
            <w:pPr>
              <w:spacing w:after="120"/>
            </w:pPr>
            <w:r>
              <w:t>No se encontró ningún error.</w:t>
            </w:r>
          </w:p>
        </w:tc>
        <w:tc>
          <w:tcPr>
            <w:tcW w:w="1754" w:type="dxa"/>
          </w:tcPr>
          <w:p w14:paraId="52CF86B8" w14:textId="77777777" w:rsidR="00C4384E" w:rsidRDefault="00FB41F0">
            <w:pPr>
              <w:spacing w:after="120"/>
            </w:pPr>
            <w:r>
              <w:t>Funciona</w:t>
            </w:r>
          </w:p>
        </w:tc>
      </w:tr>
      <w:tr w:rsidR="00C4384E" w14:paraId="58F95B69" w14:textId="77777777" w:rsidTr="004C779D">
        <w:tc>
          <w:tcPr>
            <w:tcW w:w="1951" w:type="dxa"/>
          </w:tcPr>
          <w:p w14:paraId="2C9FEA0D" w14:textId="77777777" w:rsidR="00C4384E" w:rsidRDefault="00FB41F0">
            <w:pPr>
              <w:spacing w:after="120"/>
              <w:rPr>
                <w:b/>
              </w:rPr>
            </w:pPr>
            <w:r>
              <w:rPr>
                <w:b/>
              </w:rPr>
              <w:t>Gestión de irregularidades y deudas</w:t>
            </w:r>
          </w:p>
        </w:tc>
        <w:tc>
          <w:tcPr>
            <w:tcW w:w="1753" w:type="dxa"/>
          </w:tcPr>
          <w:p w14:paraId="0DE2C02E" w14:textId="77777777" w:rsidR="00C4384E" w:rsidRDefault="00FB41F0">
            <w:pPr>
              <w:spacing w:after="120"/>
            </w:pPr>
            <w:r>
              <w:t>Funciona parcialmente</w:t>
            </w:r>
          </w:p>
        </w:tc>
        <w:tc>
          <w:tcPr>
            <w:tcW w:w="1754" w:type="dxa"/>
          </w:tcPr>
          <w:p w14:paraId="4EF354D0" w14:textId="77777777" w:rsidR="00C4384E" w:rsidRDefault="00DB0377">
            <w:pPr>
              <w:spacing w:after="120"/>
            </w:pPr>
            <w:r>
              <w:t>Funciona parcialmente</w:t>
            </w:r>
          </w:p>
        </w:tc>
        <w:tc>
          <w:tcPr>
            <w:tcW w:w="1754" w:type="dxa"/>
          </w:tcPr>
          <w:p w14:paraId="6809A0ED" w14:textId="77777777" w:rsidR="00C4384E" w:rsidRDefault="00DB0377">
            <w:pPr>
              <w:spacing w:after="120"/>
            </w:pPr>
            <w:r>
              <w:t>Funciona parcialmente</w:t>
            </w:r>
          </w:p>
        </w:tc>
        <w:tc>
          <w:tcPr>
            <w:tcW w:w="1754" w:type="dxa"/>
          </w:tcPr>
          <w:p w14:paraId="546F9D7B" w14:textId="77777777" w:rsidR="00C4384E" w:rsidRDefault="00FB41F0">
            <w:pPr>
              <w:spacing w:after="120"/>
            </w:pPr>
            <w:r>
              <w:t>Funciona parcialmente</w:t>
            </w:r>
          </w:p>
        </w:tc>
      </w:tr>
    </w:tbl>
    <w:p w14:paraId="7134C247" w14:textId="77777777" w:rsidR="00C4384E" w:rsidRDefault="00C4384E"/>
    <w:p w14:paraId="100E16A8" w14:textId="0D24DCB2" w:rsidR="00C4384E" w:rsidRDefault="00DB0377">
      <w:r>
        <w:t>En el caso de los procedimientos de control de los pagos, de la contabilidad y de la gestión de la deuda del OP, la valoración establecida con respecto al Fondo será aplicable a ambas poblaciones (SIGC y no SIGC) según lo establecido en el ámbito del objetivo de auditoría n.º 2.</w:t>
      </w:r>
    </w:p>
    <w:p w14:paraId="0787DE10" w14:textId="51527BCA" w:rsidR="00C4384E" w:rsidRDefault="00DB0377">
      <w:r>
        <w:t>No es necesario facilitar un nivel agregado único de fiabilidad (funciona bien, funciona, etc.) por población. No obstante, el OC debe valorar, en su conclusión incluida en la opinión, la importancia del peor nivel de fiabilidad (si, por ejemplo, un control no funciona realmente) y la repercusión que puede tener en el nivel de rendimiento global del SCI del OP. Esta conclusión también tendrá que ser corroborada por los resultados de las pruebas sustantivas.</w:t>
      </w:r>
    </w:p>
    <w:p w14:paraId="025EB3AE" w14:textId="48F67A93" w:rsidR="00C4384E" w:rsidRDefault="00EA746C">
      <w:r>
        <w:t>Sobre la base del ejemplo anterior y considerando la valoración en términos de magnitud e impacto, tal como se ha mencionado anteriormente, el OC puede llegar a la conclusión de que el sistema de control interno del OP funciona y puede presentar observaciones y recomendaciones relativas a los controles sobre el terreno en el ámbito del FEAGA no SIGC utilizando un párrafo de énfasis.</w:t>
      </w:r>
    </w:p>
    <w:p w14:paraId="061FBF9B" w14:textId="77777777" w:rsidR="00C4384E" w:rsidRDefault="00BF7782">
      <w:pPr>
        <w:pStyle w:val="Heading1"/>
        <w:numPr>
          <w:ilvl w:val="0"/>
          <w:numId w:val="74"/>
        </w:numPr>
      </w:pPr>
      <w:bookmarkStart w:id="77" w:name="_Toc16667659"/>
      <w:r>
        <w:t>Utilización e interpretación de las conclusiones de auditoría en lo que atañe al objetivo de auditoría n.º 1</w:t>
      </w:r>
      <w:bookmarkEnd w:id="77"/>
    </w:p>
    <w:p w14:paraId="0B0642EE" w14:textId="66F9F38A" w:rsidR="00C4384E" w:rsidRDefault="00BF7782">
      <w:r>
        <w:t xml:space="preserve">Según se menciona en la sección 3, el trabajo de certificación en el ámbito del objetivo de auditoría n.º 1 consiste en ofrecer garantías en lo que respecta a la decisión de liquidación financiera de las cuentas. Los resultados del informe del </w:t>
      </w:r>
      <w:r w:rsidR="00805BA2">
        <w:t>OC,</w:t>
      </w:r>
      <w:r>
        <w:t xml:space="preserve"> así como su opinión serán tenidos en cuenta en la decisión de liquidación financiera, que se basará en los mismos principios utilizados hasta la fecha. A este respecto, se hace referencia a la sección 10 de la Directriz de la Comisión relativa al cálculo de la corrección financiera y al anexo 5 de la presente Directriz.</w:t>
      </w:r>
    </w:p>
    <w:p w14:paraId="0A424F9D" w14:textId="2164BE7F" w:rsidR="00C4384E" w:rsidRDefault="00BF7782">
      <w:r>
        <w:t xml:space="preserve">Cabe destacar que, en caso de que se identifiquen desviaciones o errores materiales en las pruebas sustantivas durante la auditoría de certificación, el OP puede atenuar la repercusión de estos errores antes de la presentación de las cuentas. Las correcciones (por ejemplo, deducciones en la declaración anual) pueden ser tenidas en cuenta en el momento de la decisión de liquidación financiera. No obstante, si se detectase alguna deficiencia del sistema, las medidas correctoras deben implicar tareas específicas a largo plazo para corregir los procedimientos de control. El OP puede poner en marcha dichas medidas correctoras y esta circunstancia puede ser notificada por el OC en el informe o por el OP en la declaración sobre la gestión. La repercusión de esas medidas correctoras solo puede ser valorada en los siguientes ejercicios de certificación. </w:t>
      </w:r>
    </w:p>
    <w:p w14:paraId="2CF4F63B" w14:textId="77777777" w:rsidR="00C4384E" w:rsidRDefault="00BF7782">
      <w:pPr>
        <w:pStyle w:val="Heading1"/>
        <w:numPr>
          <w:ilvl w:val="0"/>
          <w:numId w:val="74"/>
        </w:numPr>
      </w:pPr>
      <w:bookmarkStart w:id="78" w:name="_Toc16667660"/>
      <w:r>
        <w:t>Utilización e interpretación de las conclusiones de auditoría en lo que atañe al objetivo de auditoría n.º 2</w:t>
      </w:r>
      <w:bookmarkEnd w:id="78"/>
    </w:p>
    <w:p w14:paraId="5A7C22C3" w14:textId="1685DFE4" w:rsidR="00C4384E" w:rsidRDefault="00114F5E">
      <w:r>
        <w:t xml:space="preserve">Según se menciona en la sección 3, el trabajo de auditoría en el ámbito del objetivo de auditoría n.º 2 consiste en ofrecer garantías sobre la legalidad y regularidad de los gastos que se tuvieron en cuenta en el cálculo del riesgo residual de la DG AGRI. Los resultados del informe del OC y su opinión se utilizarán en la elaboración del IAA de la DG AGRI. Si el trabajo del OC sobre la legalidad y regularidad se considera fiable, el resultado sobre el cálculo del riesgo de errores efectuado por el OC puede utilizarse en el cálculo de errores de la DG AGRI, tal como también se menciona en la sección 15. </w:t>
      </w:r>
      <w:r>
        <w:lastRenderedPageBreak/>
        <w:t>Además, según se menciona en el cuadro de la sección 3.4, en este último caso, el trabajo del OC puede sustituir el propio trabajo de la DG AGRI (por ejemplo, auditorías de conformidad) adoptando el enfoque de auditoría única. Alternativamente, el ISE podría servir de base para la puesta en marcha de procedimientos de liquidación de conformidad. Para obtener más detalles sobre la consideración del cálculo por parte del OC del riesgo de errores, véase el anexo 7 de la presente Directriz.</w:t>
      </w:r>
    </w:p>
    <w:sectPr w:rsidR="00C4384E" w:rsidSect="00441E2E">
      <w:pgSz w:w="11906" w:h="16838" w:code="9"/>
      <w:pgMar w:top="1021" w:right="1701" w:bottom="1021" w:left="1588" w:header="601" w:footer="107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770B29" w14:textId="77777777" w:rsidR="00C4384E" w:rsidRDefault="00682B7D">
      <w:r>
        <w:separator/>
      </w:r>
    </w:p>
    <w:p w14:paraId="49F3F3D8" w14:textId="77777777" w:rsidR="00C4384E" w:rsidRDefault="00C4384E"/>
    <w:p w14:paraId="2EDE780B" w14:textId="77777777" w:rsidR="00C4384E" w:rsidRDefault="00C4384E"/>
  </w:endnote>
  <w:endnote w:type="continuationSeparator" w:id="0">
    <w:p w14:paraId="24C6B582" w14:textId="77777777" w:rsidR="00C4384E" w:rsidRDefault="00682B7D">
      <w:r>
        <w:continuationSeparator/>
      </w:r>
    </w:p>
    <w:p w14:paraId="762E0C79" w14:textId="77777777" w:rsidR="00C4384E" w:rsidRDefault="00C4384E"/>
    <w:p w14:paraId="5FA16C66" w14:textId="77777777" w:rsidR="00C4384E" w:rsidRDefault="00C4384E"/>
  </w:endnote>
  <w:endnote w:type="continuationNotice" w:id="1">
    <w:p w14:paraId="7C3197B7" w14:textId="77777777" w:rsidR="00C4384E" w:rsidRDefault="00C4384E">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Bold">
    <w:altName w:val="Times New Roman"/>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795F2" w14:textId="77777777" w:rsidR="00682B7D" w:rsidRDefault="00682B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DB1872" w14:textId="02E179D7" w:rsidR="00682B7D" w:rsidRDefault="00682B7D">
    <w:pPr>
      <w:pStyle w:val="Footer"/>
      <w:jc w:val="center"/>
    </w:pPr>
    <w:r>
      <w:fldChar w:fldCharType="begin"/>
    </w:r>
    <w:r>
      <w:instrText>PAGE</w:instrText>
    </w:r>
    <w:r>
      <w:fldChar w:fldCharType="separate"/>
    </w:r>
    <w:r w:rsidR="00F55BDE">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C717F7" w14:textId="77777777" w:rsidR="00682B7D" w:rsidRDefault="00682B7D">
    <w:pPr>
      <w:pStyle w:val="Footer"/>
      <w:rPr>
        <w:sz w:val="24"/>
      </w:rPr>
    </w:pPr>
  </w:p>
  <w:p w14:paraId="04EF144F" w14:textId="77777777" w:rsidR="00682B7D" w:rsidRDefault="00682B7D">
    <w:pPr>
      <w:pStyle w:val="Footer"/>
    </w:pPr>
    <w:r w:rsidRPr="004C779D">
      <w:rPr>
        <w:lang w:val="fr-BE"/>
      </w:rPr>
      <w:t xml:space="preserve">Commission européenne/Europese Commissie, 1049 Bruxelles/Brussel, BELGIQUE/BELGIË - Tel. </w:t>
    </w:r>
    <w:r>
      <w:t>+32 22991111</w:t>
    </w:r>
  </w:p>
  <w:p w14:paraId="62EAC94E" w14:textId="77777777" w:rsidR="00682B7D" w:rsidRPr="001E0C96" w:rsidRDefault="00682B7D">
    <w:pPr>
      <w:pStyle w:val="Footer"/>
    </w:pPr>
    <w:r>
      <w:t xml:space="preserve">Buzón funcional: </w:t>
    </w:r>
    <w:hyperlink r:id="rId1" w:history="1">
      <w:r>
        <w:rPr>
          <w:rStyle w:val="Hyperlink"/>
        </w:rPr>
        <w:t>AGRI-FINANCIAL-AUDIT@ec.europa.eu</w:t>
      </w:r>
    </w:hyperlink>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9C451" w14:textId="77777777" w:rsidR="00682B7D" w:rsidRDefault="00682B7D">
    <w:pPr>
      <w:pStyle w:val="Footer"/>
      <w:rPr>
        <w:sz w:val="24"/>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B0DDE" w14:textId="77777777" w:rsidR="00682B7D" w:rsidRDefault="00682B7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54F8E4" w14:textId="20EAB758" w:rsidR="00682B7D" w:rsidRDefault="00682B7D">
    <w:pPr>
      <w:pStyle w:val="Footer"/>
      <w:jc w:val="center"/>
    </w:pPr>
    <w:r>
      <w:fldChar w:fldCharType="begin"/>
    </w:r>
    <w:r>
      <w:instrText>PAGE</w:instrText>
    </w:r>
    <w:r>
      <w:fldChar w:fldCharType="separate"/>
    </w:r>
    <w:r w:rsidR="00F55BDE">
      <w:rPr>
        <w:noProof/>
      </w:rPr>
      <w:t>90</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4AFC9" w14:textId="77777777" w:rsidR="00682B7D" w:rsidRDefault="00682B7D">
    <w:pPr>
      <w:pStyle w:val="Footer"/>
      <w:rPr>
        <w:sz w:val="24"/>
      </w:rPr>
    </w:pPr>
  </w:p>
  <w:p w14:paraId="24287695" w14:textId="77777777" w:rsidR="00682B7D" w:rsidRDefault="00682B7D">
    <w:pPr>
      <w:pStyle w:val="Footer"/>
    </w:pPr>
    <w:r w:rsidRPr="004C779D">
      <w:rPr>
        <w:lang w:val="fr-BE"/>
      </w:rPr>
      <w:t xml:space="preserve">Commission européenne/Europese Commissie, 1049 Bruxelles/Brussel, BELGIQUE/BELGIË - Tel. </w:t>
    </w:r>
    <w:r>
      <w:t>+32 22991111</w:t>
    </w:r>
  </w:p>
  <w:p w14:paraId="3F59ED53" w14:textId="77777777" w:rsidR="00682B7D" w:rsidRPr="001E0C96" w:rsidRDefault="00682B7D">
    <w:pPr>
      <w:pStyle w:val="Footer"/>
    </w:pPr>
    <w:r>
      <w:t>Buzón funcional: AGRI-J5@ec.europa.eu</w:t>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E6DD50" w14:textId="77777777" w:rsidR="00682B7D" w:rsidRDefault="00682B7D">
    <w:pPr>
      <w:pStyle w:val="Footer"/>
      <w:rPr>
        <w:sz w:val="24"/>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55545D" w14:textId="77777777" w:rsidR="00C4384E" w:rsidRDefault="00682B7D">
      <w:r>
        <w:separator/>
      </w:r>
    </w:p>
    <w:p w14:paraId="3A9244DC" w14:textId="77777777" w:rsidR="00C4384E" w:rsidRDefault="00C4384E"/>
    <w:p w14:paraId="186873EE" w14:textId="77777777" w:rsidR="00C4384E" w:rsidRDefault="00C4384E"/>
  </w:footnote>
  <w:footnote w:type="continuationSeparator" w:id="0">
    <w:p w14:paraId="40AD1800" w14:textId="77777777" w:rsidR="00C4384E" w:rsidRDefault="00682B7D">
      <w:r>
        <w:continuationSeparator/>
      </w:r>
    </w:p>
    <w:p w14:paraId="4B7EA03A" w14:textId="77777777" w:rsidR="00C4384E" w:rsidRDefault="00C4384E"/>
    <w:p w14:paraId="53D59DF2" w14:textId="77777777" w:rsidR="00C4384E" w:rsidRDefault="00C4384E"/>
  </w:footnote>
  <w:footnote w:type="continuationNotice" w:id="1">
    <w:p w14:paraId="730733BA" w14:textId="77777777" w:rsidR="00C4384E" w:rsidRDefault="00C4384E">
      <w:pPr>
        <w:spacing w:after="0"/>
      </w:pPr>
    </w:p>
  </w:footnote>
  <w:footnote w:id="2">
    <w:p w14:paraId="1DF96B34" w14:textId="77777777" w:rsidR="00C4384E" w:rsidRDefault="00682B7D">
      <w:pPr>
        <w:pStyle w:val="FootnoteText"/>
      </w:pPr>
      <w:r>
        <w:rPr>
          <w:rStyle w:val="FootnoteReference"/>
        </w:rPr>
        <w:footnoteRef/>
      </w:r>
      <w:r>
        <w:tab/>
        <w:t xml:space="preserve">Importe del gasto determinado tras los </w:t>
      </w:r>
      <w:r>
        <w:rPr>
          <w:b/>
          <w:bCs/>
          <w:u w:val="single"/>
        </w:rPr>
        <w:t>controles aleatorios sobre el terreno</w:t>
      </w:r>
      <w:r>
        <w:t xml:space="preserve"> realizados por el organismo pagador y compilados en la base de datos/los registros</w:t>
      </w:r>
    </w:p>
  </w:footnote>
  <w:footnote w:id="3">
    <w:p w14:paraId="04926816" w14:textId="77777777" w:rsidR="00C4384E" w:rsidRDefault="00682B7D">
      <w:pPr>
        <w:pStyle w:val="FootnoteText"/>
      </w:pPr>
      <w:r>
        <w:rPr>
          <w:rStyle w:val="FootnoteReference"/>
        </w:rPr>
        <w:footnoteRef/>
      </w:r>
      <w:r>
        <w:tab/>
        <w:t xml:space="preserve">Importe del gasto determinado tras </w:t>
      </w:r>
      <w:r>
        <w:rPr>
          <w:b/>
          <w:bCs/>
          <w:u w:val="single"/>
        </w:rPr>
        <w:t>todos los controles</w:t>
      </w:r>
      <w:r>
        <w:t xml:space="preserve"> realizados por el organismo pagador, compilados en la base de datos/los registros y pagados.</w:t>
      </w:r>
    </w:p>
  </w:footnote>
  <w:footnote w:id="4">
    <w:p w14:paraId="7FAFBE53" w14:textId="77777777" w:rsidR="00C4384E" w:rsidRDefault="00682B7D" w:rsidP="004C779D">
      <w:pPr>
        <w:pStyle w:val="NormalWeb"/>
        <w:spacing w:before="2" w:after="2"/>
        <w:ind w:left="720" w:hanging="720"/>
        <w:rPr>
          <w:rFonts w:ascii="Times New Roman" w:hAnsi="Times New Roman"/>
          <w:sz w:val="20"/>
          <w:szCs w:val="20"/>
        </w:rPr>
      </w:pPr>
      <w:r>
        <w:rPr>
          <w:rStyle w:val="FootnoteReference"/>
        </w:rPr>
        <w:footnoteRef/>
      </w:r>
      <w:r>
        <w:tab/>
      </w:r>
      <w:r>
        <w:rPr>
          <w:rFonts w:ascii="Times New Roman" w:hAnsi="Times New Roman"/>
          <w:sz w:val="20"/>
        </w:rPr>
        <w:t>Ref. Ares(2013)611939 - 9.4.2013 - COCOF 08-0021-03_EN - Guidance on sampling methods for audit authorities (Orientaciones sobre métodos de muestreo para las autoridades competentes en materia de auditoría).</w:t>
      </w:r>
      <w:r>
        <w:rPr>
          <w:rFonts w:ascii="Times New Roman" w:hAnsi="Times New Roman"/>
          <w:sz w:val="20"/>
          <w:szCs w:val="32"/>
        </w:rPr>
        <w:t xml:space="preserve"> </w:t>
      </w:r>
    </w:p>
  </w:footnote>
  <w:footnote w:id="5">
    <w:p w14:paraId="1425680C" w14:textId="77777777" w:rsidR="00C4384E" w:rsidRDefault="00682B7D">
      <w:pPr>
        <w:pStyle w:val="FootnoteText"/>
      </w:pPr>
      <w:r>
        <w:rPr>
          <w:rStyle w:val="FootnoteReference"/>
        </w:rPr>
        <w:footnoteRef/>
      </w:r>
      <w:r>
        <w:tab/>
        <w:t>Riesgo significativo: un riesgo inherente que presenta tanto una mayor probabilidad de que se produzca como una mayor magnitud de incorrección potencial que requiere consideraciones de auditoría especiales.</w:t>
      </w:r>
    </w:p>
  </w:footnote>
  <w:footnote w:id="6">
    <w:p w14:paraId="7A154B6E" w14:textId="77777777" w:rsidR="00C4384E" w:rsidRDefault="00682B7D">
      <w:pPr>
        <w:pStyle w:val="FootnoteText"/>
      </w:pPr>
      <w:r>
        <w:rPr>
          <w:rStyle w:val="FootnoteReference"/>
        </w:rPr>
        <w:footnoteRef/>
      </w:r>
      <w:r>
        <w:tab/>
        <w:t xml:space="preserve">Véase también la directriz n.º 1 relativa a la autorización. </w:t>
      </w:r>
    </w:p>
  </w:footnote>
  <w:footnote w:id="7">
    <w:p w14:paraId="1DFBA835" w14:textId="77777777" w:rsidR="00C4384E" w:rsidRDefault="00682B7D">
      <w:pPr>
        <w:pStyle w:val="FootnoteText"/>
      </w:pPr>
      <w:r>
        <w:rPr>
          <w:rStyle w:val="FootnoteReference"/>
        </w:rPr>
        <w:footnoteRef/>
      </w:r>
      <w:r>
        <w:tab/>
        <w:t>Según se define en el artículo 1 del Reglamento (UE) n.º 1306/2013 y en el artículo 1 del Reglamento (UE) n.º 908/2014.</w:t>
      </w:r>
    </w:p>
  </w:footnote>
  <w:footnote w:id="8">
    <w:p w14:paraId="5A70CCCC" w14:textId="77777777" w:rsidR="00C4384E" w:rsidRDefault="00682B7D">
      <w:pPr>
        <w:pStyle w:val="FootnoteText"/>
      </w:pPr>
      <w:r>
        <w:rPr>
          <w:rStyle w:val="FootnoteReference"/>
        </w:rPr>
        <w:footnoteRef/>
      </w:r>
      <w:r>
        <w:tab/>
        <w:t>Se considera que estos procedimientos/procesos de control son los principales; sin embargo, el OC debe revisar la lista anterior y añadir más procesos pertinentes ya que esta lista no es exhaustiva.</w:t>
      </w:r>
    </w:p>
  </w:footnote>
  <w:footnote w:id="9">
    <w:p w14:paraId="346D9C41" w14:textId="3459BEC2" w:rsidR="00C4384E" w:rsidRDefault="00682B7D">
      <w:pPr>
        <w:pStyle w:val="FootnoteText"/>
      </w:pPr>
      <w:r>
        <w:rPr>
          <w:rStyle w:val="FootnoteReference"/>
        </w:rPr>
        <w:footnoteRef/>
      </w:r>
      <w:r>
        <w:tab/>
        <w:t>Se ofrece una explicación en el cuadro de la sección 5.2.3.</w:t>
      </w:r>
    </w:p>
  </w:footnote>
  <w:footnote w:id="10">
    <w:p w14:paraId="6C1043E6" w14:textId="2A367B95" w:rsidR="00C4384E" w:rsidRDefault="00682B7D">
      <w:pPr>
        <w:pStyle w:val="FootnoteText"/>
      </w:pPr>
      <w:r>
        <w:rPr>
          <w:rStyle w:val="FootnoteReference"/>
        </w:rPr>
        <w:footnoteRef/>
      </w:r>
      <w:r>
        <w:tab/>
        <w:t>El funcionamiento del control se somete a prueba una sola vez ya que está automatizado.</w:t>
      </w:r>
    </w:p>
  </w:footnote>
  <w:footnote w:id="11">
    <w:p w14:paraId="4709CA09" w14:textId="77777777" w:rsidR="00C4384E" w:rsidRDefault="00682B7D">
      <w:pPr>
        <w:pStyle w:val="FootnoteText"/>
      </w:pPr>
      <w:r>
        <w:rPr>
          <w:rStyle w:val="FootnoteReference"/>
        </w:rPr>
        <w:footnoteRef/>
      </w:r>
      <w:r>
        <w:tab/>
        <w:t>Afirmaciones de auditoría</w:t>
      </w:r>
    </w:p>
  </w:footnote>
  <w:footnote w:id="12">
    <w:p w14:paraId="5D98A24B" w14:textId="1F76487B" w:rsidR="00C4384E" w:rsidRDefault="00682B7D">
      <w:pPr>
        <w:pStyle w:val="FootnoteText"/>
      </w:pPr>
      <w:r>
        <w:rPr>
          <w:rStyle w:val="FootnoteReference"/>
        </w:rPr>
        <w:footnoteRef/>
      </w:r>
      <w:r>
        <w:tab/>
        <w:t>Normalmente el 10 % de las incidencias (oscila entre 50 y 250 incidencias)</w:t>
      </w:r>
    </w:p>
  </w:footnote>
  <w:footnote w:id="13">
    <w:p w14:paraId="1504189E" w14:textId="373EE80A" w:rsidR="00C4384E" w:rsidRDefault="00682B7D">
      <w:pPr>
        <w:pStyle w:val="FootnoteText"/>
      </w:pPr>
      <w:r>
        <w:rPr>
          <w:rStyle w:val="FootnoteReference"/>
        </w:rPr>
        <w:footnoteRef/>
      </w:r>
      <w:r>
        <w:tab/>
        <w:t>Los resultados de las pruebas sustantivas han de tenerse en cuenta para la eficacia de los controles. Además, el organismo de certificación ha de volver a evaluar el riesgo de control tras l</w:t>
      </w:r>
      <w:r w:rsidR="004C779D">
        <w:t>os procedimientos de auditoría.</w:t>
      </w:r>
    </w:p>
  </w:footnote>
  <w:footnote w:id="14">
    <w:p w14:paraId="593128D5" w14:textId="2D013293" w:rsidR="00C4384E" w:rsidRDefault="00682B7D">
      <w:pPr>
        <w:pStyle w:val="FootnoteText"/>
      </w:pPr>
      <w:r>
        <w:rPr>
          <w:rStyle w:val="FootnoteReference"/>
        </w:rPr>
        <w:footnoteRef/>
      </w:r>
      <w:r>
        <w:tab/>
        <w:t>El OC debe revisar la lista de los procedimientos de control para añadir los más importantes en el ámbito de su auditoría.</w:t>
      </w:r>
    </w:p>
  </w:footnote>
  <w:footnote w:id="15">
    <w:p w14:paraId="4DF85F80" w14:textId="05D5ADC5" w:rsidR="00C4384E" w:rsidRDefault="00682B7D">
      <w:pPr>
        <w:pStyle w:val="FootnoteText"/>
      </w:pPr>
      <w:r>
        <w:rPr>
          <w:rStyle w:val="FootnoteReference"/>
        </w:rPr>
        <w:footnoteRef/>
      </w:r>
      <w:r>
        <w:tab/>
        <w:t xml:space="preserve">El OC solo puede controlar que la recepción y el tratamiento de las solicitudes se hizo de acuerdo con los procedimientos, </w:t>
      </w:r>
      <w:r>
        <w:rPr>
          <w:u w:val="single"/>
        </w:rPr>
        <w:t>sin</w:t>
      </w:r>
      <w:r>
        <w:t xml:space="preserve"> volver a efectuar los controles reales.</w:t>
      </w:r>
    </w:p>
  </w:footnote>
  <w:footnote w:id="16">
    <w:p w14:paraId="4C748F76" w14:textId="77777777" w:rsidR="00C4384E" w:rsidRDefault="00682B7D">
      <w:pPr>
        <w:pStyle w:val="FootnoteText"/>
      </w:pPr>
      <w:r>
        <w:rPr>
          <w:rStyle w:val="FootnoteReference"/>
        </w:rPr>
        <w:footnoteRef/>
      </w:r>
      <w:r>
        <w:tab/>
        <w:t>Véanse los artículos 65, 68 y 90 del Reglamento (UE) n.º 966/2012, de 25 de octubre de 2012 (Diario Oficial de la UE L 298/1 de 26.10.2012).</w:t>
      </w:r>
    </w:p>
  </w:footnote>
  <w:footnote w:id="17">
    <w:p w14:paraId="423EEF2B" w14:textId="77777777" w:rsidR="00C4384E" w:rsidRDefault="00682B7D" w:rsidP="004C779D">
      <w:pPr>
        <w:pStyle w:val="FootnoteText"/>
        <w:ind w:left="426" w:hanging="426"/>
      </w:pPr>
      <w:r>
        <w:rPr>
          <w:rStyle w:val="FootnoteReference"/>
        </w:rPr>
        <w:footnoteRef/>
      </w:r>
      <w:r>
        <w:tab/>
        <w:t xml:space="preserve">La revisión del SCI debe estar al menos en marcha antes del inicio de las pruebas sustantivas. Si los resultados de la valoración del año en curso no están disponibles, puede utilizarse la valoración del año anterior. </w:t>
      </w:r>
    </w:p>
  </w:footnote>
  <w:footnote w:id="18">
    <w:p w14:paraId="036A2775" w14:textId="77777777" w:rsidR="00C4384E" w:rsidRDefault="00682B7D">
      <w:pPr>
        <w:pStyle w:val="FootnoteText"/>
      </w:pPr>
      <w:r>
        <w:rPr>
          <w:rStyle w:val="FootnoteReference"/>
        </w:rPr>
        <w:footnoteRef/>
      </w:r>
      <w:r>
        <w:tab/>
        <w:t>El ETE corresponde al error más probable (EMP) en el marco del enfoque conservador del MUM.</w:t>
      </w:r>
    </w:p>
  </w:footnote>
  <w:footnote w:id="19">
    <w:p w14:paraId="1A785706" w14:textId="0C42E546" w:rsidR="00C4384E" w:rsidRDefault="00682B7D">
      <w:pPr>
        <w:pStyle w:val="FootnoteText"/>
      </w:pPr>
      <w:r>
        <w:rPr>
          <w:rStyle w:val="FootnoteReference"/>
        </w:rPr>
        <w:footnoteRef/>
      </w:r>
      <w:r>
        <w:tab/>
        <w:t>Para la mayoría de los regímenes/medidas SIGC, todos los controles se finalizan hasta diciembre, con algunas excepciones como la cobertura invernal para la ecologización.</w:t>
      </w:r>
    </w:p>
  </w:footnote>
  <w:footnote w:id="20">
    <w:p w14:paraId="15AF3868" w14:textId="77777777" w:rsidR="00C4384E" w:rsidRDefault="00682B7D">
      <w:pPr>
        <w:pStyle w:val="FootnoteText"/>
      </w:pPr>
      <w:r>
        <w:rPr>
          <w:rStyle w:val="FootnoteReference"/>
        </w:rPr>
        <w:footnoteRef/>
      </w:r>
      <w:r>
        <w:tab/>
        <w:t xml:space="preserve">Incluidas las visitas </w:t>
      </w:r>
      <w:r>
        <w:rPr>
          <w:i/>
          <w:iCs/>
        </w:rPr>
        <w:t>in situ</w:t>
      </w:r>
      <w:r>
        <w:t xml:space="preserve"> en el caso de las medidas de inversión.</w:t>
      </w:r>
    </w:p>
  </w:footnote>
  <w:footnote w:id="21">
    <w:p w14:paraId="7E139C3C" w14:textId="77777777" w:rsidR="00C4384E" w:rsidRDefault="00682B7D">
      <w:pPr>
        <w:pStyle w:val="FootnoteText"/>
      </w:pPr>
      <w:r>
        <w:rPr>
          <w:rStyle w:val="FootnoteReference"/>
        </w:rPr>
        <w:footnoteRef/>
      </w:r>
      <w:r>
        <w:tab/>
        <w:t>Estos procedimientos de control se consideran fundamentales. Esta lista no se considera exhaustiva y el OC solo debe utilizarla como base y añadir otros procedimientos que estime pertinentes.</w:t>
      </w:r>
    </w:p>
  </w:footnote>
  <w:footnote w:id="22">
    <w:p w14:paraId="515D9B50" w14:textId="77777777" w:rsidR="00C4384E" w:rsidRDefault="00682B7D">
      <w:pPr>
        <w:pStyle w:val="FootnoteText"/>
      </w:pPr>
      <w:r>
        <w:rPr>
          <w:rStyle w:val="FootnoteReference"/>
        </w:rPr>
        <w:footnoteRef/>
      </w:r>
      <w:r>
        <w:tab/>
        <w:t>Se identificaron riesgos significativos y no pueden ser subsanados mediante los controles.</w:t>
      </w:r>
    </w:p>
  </w:footnote>
  <w:footnote w:id="23">
    <w:p w14:paraId="0F1C2D19" w14:textId="77777777" w:rsidR="00C4384E" w:rsidRDefault="00682B7D">
      <w:pPr>
        <w:pStyle w:val="FootnoteText"/>
      </w:pPr>
      <w:r>
        <w:rPr>
          <w:rStyle w:val="FootnoteReference"/>
        </w:rPr>
        <w:footnoteRef/>
      </w:r>
      <w:r>
        <w:tab/>
        <w:t>Un porcentaje de error elevado puede indicar una garantía del sistema baja/media baja. Sin embargo, también podría ser un indicio de un sistema de control interno suficiente que detecta errores. Por esta razón, se recomienda al organismo de certificación que analice primero los porcentajes de error (tanto los elevados como los bajos), las deficiencias subyacentes y las posibles explicaciones/medidas correctoras.</w:t>
      </w:r>
    </w:p>
  </w:footnote>
  <w:footnote w:id="24">
    <w:p w14:paraId="46FAD42D" w14:textId="043D5897" w:rsidR="00C4384E" w:rsidRDefault="00682B7D">
      <w:pPr>
        <w:pStyle w:val="FootnoteText"/>
      </w:pPr>
      <w:r>
        <w:rPr>
          <w:rStyle w:val="FootnoteReference"/>
        </w:rPr>
        <w:footnoteRef/>
      </w:r>
      <w:r>
        <w:tab/>
        <w:t>Se ofrece una explicación en el cuadro de la sección 5.2.3.</w:t>
      </w:r>
    </w:p>
  </w:footnote>
  <w:footnote w:id="25">
    <w:p w14:paraId="1FAA8FC0" w14:textId="77777777" w:rsidR="00C4384E" w:rsidRDefault="00682B7D">
      <w:pPr>
        <w:pStyle w:val="FootnoteText"/>
      </w:pPr>
      <w:r>
        <w:rPr>
          <w:rStyle w:val="FootnoteReference"/>
        </w:rPr>
        <w:footnoteRef/>
      </w:r>
      <w:r>
        <w:tab/>
        <w:t>El funcionamiento del control se somete a prueba una sola vez ya que está automatizado.</w:t>
      </w:r>
    </w:p>
  </w:footnote>
  <w:footnote w:id="26">
    <w:p w14:paraId="6D598493" w14:textId="77777777" w:rsidR="00C4384E" w:rsidRDefault="00682B7D">
      <w:pPr>
        <w:pStyle w:val="FootnoteText"/>
      </w:pPr>
      <w:r>
        <w:rPr>
          <w:rStyle w:val="FootnoteReference"/>
        </w:rPr>
        <w:footnoteRef/>
      </w:r>
      <w:r>
        <w:tab/>
        <w:t>Afirmaciones de auditoría</w:t>
      </w:r>
    </w:p>
  </w:footnote>
  <w:footnote w:id="27">
    <w:p w14:paraId="169BC6F5" w14:textId="0D58D1DF" w:rsidR="00C4384E" w:rsidRDefault="00682B7D">
      <w:pPr>
        <w:pStyle w:val="FootnoteText"/>
      </w:pPr>
      <w:r>
        <w:rPr>
          <w:rStyle w:val="FootnoteReference"/>
        </w:rPr>
        <w:footnoteRef/>
      </w:r>
      <w:r>
        <w:tab/>
        <w:t xml:space="preserve">Los resultados de las pruebas sustantivas han de tenerse en cuenta para la eficacia de los controles. Además, el organismo de certificación ha de volver a evaluar el riesgo de control tras los procedimientos de auditoría. </w:t>
      </w:r>
    </w:p>
  </w:footnote>
  <w:footnote w:id="28">
    <w:p w14:paraId="712C5A80" w14:textId="53055D31" w:rsidR="00C4384E" w:rsidRDefault="00682B7D" w:rsidP="004C779D">
      <w:pPr>
        <w:pStyle w:val="FootnoteText"/>
        <w:ind w:left="426" w:hanging="426"/>
      </w:pPr>
      <w:r>
        <w:rPr>
          <w:rStyle w:val="FootnoteReference"/>
        </w:rPr>
        <w:footnoteRef/>
      </w:r>
      <w:r>
        <w:tab/>
        <w:t xml:space="preserve">En el caso de los gastos del Feader no SIGC, cuando el organismo pagador, como parte de los controles administrativos, haya realizado una visita </w:t>
      </w:r>
      <w:r>
        <w:rPr>
          <w:i/>
          <w:iCs/>
        </w:rPr>
        <w:t xml:space="preserve">in situ </w:t>
      </w:r>
      <w:r>
        <w:t xml:space="preserve">(inspecciones) para verificar la existencia de activos físicos construidos o adquiridos a través de proyectos de inversión, se recomienda al organismo de certificación que proceda a una nueva verificación, incluida una visita </w:t>
      </w:r>
      <w:r>
        <w:rPr>
          <w:i/>
          <w:iCs/>
        </w:rPr>
        <w:t>in situ</w:t>
      </w:r>
      <w:r>
        <w:t>.</w:t>
      </w:r>
    </w:p>
  </w:footnote>
  <w:footnote w:id="29">
    <w:p w14:paraId="4D98D4DD" w14:textId="77777777" w:rsidR="00C4384E" w:rsidRPr="004C779D" w:rsidRDefault="00682B7D" w:rsidP="004C779D">
      <w:pPr>
        <w:pStyle w:val="FootnoteText"/>
        <w:ind w:left="426" w:hanging="426"/>
        <w:rPr>
          <w:lang w:val="en-US"/>
        </w:rPr>
      </w:pPr>
      <w:r>
        <w:rPr>
          <w:rStyle w:val="FootnoteReference"/>
        </w:rPr>
        <w:footnoteRef/>
      </w:r>
      <w:r>
        <w:tab/>
        <w:t xml:space="preserve">En lo que atañe a los controles administrativos y sobre el terreno cabe remitirse a las listas de controles fundamentales y auxiliares disponibles en CIRCABC. </w:t>
      </w:r>
      <w:hyperlink r:id="rId1" w:history="1">
        <w:r w:rsidRPr="004C779D">
          <w:rPr>
            <w:rStyle w:val="Hyperlink"/>
            <w:sz w:val="19"/>
            <w:szCs w:val="19"/>
            <w:lang w:val="en-US"/>
          </w:rPr>
          <w:t>Library</w:t>
        </w:r>
      </w:hyperlink>
      <w:r w:rsidRPr="004C779D">
        <w:rPr>
          <w:color w:val="004488"/>
          <w:sz w:val="19"/>
          <w:szCs w:val="19"/>
          <w:lang w:val="en-US"/>
        </w:rPr>
        <w:t xml:space="preserve"> &gt; </w:t>
      </w:r>
      <w:hyperlink r:id="rId2" w:history="1">
        <w:r w:rsidRPr="004C779D">
          <w:rPr>
            <w:rStyle w:val="Hyperlink"/>
            <w:sz w:val="19"/>
            <w:szCs w:val="19"/>
            <w:lang w:val="en-US"/>
          </w:rPr>
          <w:t>Audit of agricultural expenditure</w:t>
        </w:r>
      </w:hyperlink>
      <w:r w:rsidRPr="004C779D">
        <w:rPr>
          <w:color w:val="004488"/>
          <w:sz w:val="19"/>
          <w:szCs w:val="19"/>
          <w:lang w:val="en-US"/>
        </w:rPr>
        <w:t xml:space="preserve"> &gt; </w:t>
      </w:r>
      <w:hyperlink r:id="rId3" w:history="1">
        <w:r w:rsidRPr="004C779D">
          <w:rPr>
            <w:rStyle w:val="Hyperlink"/>
            <w:sz w:val="19"/>
            <w:szCs w:val="19"/>
            <w:lang w:val="en-US"/>
          </w:rPr>
          <w:t>New guidelines on the calculation on the financial corrections C(2015)3675</w:t>
        </w:r>
      </w:hyperlink>
      <w:r w:rsidRPr="004C779D">
        <w:rPr>
          <w:color w:val="004488"/>
          <w:sz w:val="19"/>
          <w:szCs w:val="19"/>
          <w:lang w:val="en-US"/>
        </w:rPr>
        <w:t xml:space="preserve"> &gt; </w:t>
      </w:r>
      <w:hyperlink r:id="rId4" w:history="1">
        <w:r w:rsidRPr="004C779D">
          <w:rPr>
            <w:rStyle w:val="Hyperlink"/>
            <w:sz w:val="19"/>
            <w:szCs w:val="19"/>
            <w:lang w:val="en-US"/>
          </w:rPr>
          <w:t>Final list of Key and Ancillary controls</w:t>
        </w:r>
      </w:hyperlink>
    </w:p>
  </w:footnote>
  <w:footnote w:id="30">
    <w:p w14:paraId="7B2AFF91" w14:textId="77777777" w:rsidR="00C4384E" w:rsidRDefault="00682B7D">
      <w:pPr>
        <w:pStyle w:val="FootnoteText"/>
      </w:pPr>
      <w:r>
        <w:rPr>
          <w:rStyle w:val="FootnoteReference"/>
        </w:rPr>
        <w:footnoteRef/>
      </w:r>
      <w:r>
        <w:tab/>
        <w:t>Por ejemplo, documento DSCG/2014/32 - FINAL REV 2 -</w:t>
      </w:r>
      <w:r>
        <w:rPr>
          <w:i/>
          <w:iCs/>
        </w:rPr>
        <w:t>ORIENTACIÓN PARA CONTROLES SOBRE EL TERRENO (OCST) Y MEDICIÓN DE SUPERFICIES</w:t>
      </w:r>
      <w:r>
        <w:t xml:space="preserve"> y, en particular, sus </w:t>
      </w:r>
      <w:r>
        <w:rPr>
          <w:b/>
          <w:bCs/>
        </w:rPr>
        <w:t>anexos 1 y 2</w:t>
      </w:r>
      <w:r>
        <w:t>, y documento DS-CDP-2016-03.</w:t>
      </w:r>
    </w:p>
  </w:footnote>
  <w:footnote w:id="31">
    <w:p w14:paraId="3B9B6359" w14:textId="0FD515D8" w:rsidR="00C4384E" w:rsidRDefault="00682B7D">
      <w:pPr>
        <w:pStyle w:val="FootnoteText"/>
      </w:pPr>
      <w:r>
        <w:rPr>
          <w:rStyle w:val="FootnoteReference"/>
        </w:rPr>
        <w:footnoteRef/>
      </w:r>
      <w:r>
        <w:tab/>
        <w:t>Según el artículo 59, apartado 2, del Reglamento (UE) n.º 1306/2013, la parte aleatoria de los controles sobre el terreno debe extraerse de una muestra con objeto de obtener un porcentaje de error representativo. La necesidad de contar con un porcentaje de error representativo también está prevista en el considerando 33 del Reglamento (UE) n.º 809/2014.</w:t>
      </w:r>
    </w:p>
  </w:footnote>
  <w:footnote w:id="32">
    <w:p w14:paraId="533F28F8" w14:textId="77777777" w:rsidR="00C4384E" w:rsidRDefault="00682B7D">
      <w:pPr>
        <w:pStyle w:val="FootnoteText"/>
      </w:pPr>
      <w:r>
        <w:rPr>
          <w:rStyle w:val="FootnoteReference"/>
        </w:rPr>
        <w:footnoteRef/>
      </w:r>
      <w:r>
        <w:tab/>
        <w:t>En el caso del Feader no SIGC, deben tenerse en cuenta todos los controles sobre el terreno.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501EC1" w14:textId="77777777" w:rsidR="00682B7D" w:rsidRDefault="00682B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E1EF5" w14:textId="77777777" w:rsidR="00682B7D" w:rsidRDefault="00682B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E9774" w14:textId="77777777" w:rsidR="00682B7D" w:rsidRPr="000277FE" w:rsidRDefault="00682B7D" w:rsidP="000277FE">
    <w:pPr>
      <w:pStyle w:val="Header"/>
      <w:jc w:val="righ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440D74" w14:textId="77777777" w:rsidR="00682B7D" w:rsidRDefault="00682B7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61F099" w14:textId="77777777" w:rsidR="00682B7D" w:rsidRDefault="00682B7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8057644"/>
      <w:docPartObj>
        <w:docPartGallery w:val="Watermarks"/>
        <w:docPartUnique/>
      </w:docPartObj>
    </w:sdtPr>
    <w:sdtEndPr/>
    <w:sdtContent>
      <w:p w14:paraId="031C5EC3" w14:textId="77777777" w:rsidR="00682B7D" w:rsidRDefault="00682B7D">
        <w:pPr>
          <w:pStyle w:val="Header"/>
          <w:spacing w:after="0"/>
        </w:pPr>
        <w:r>
          <w:rPr>
            <w:noProof/>
            <w:lang w:val="en-US"/>
          </w:rPr>
          <mc:AlternateContent>
            <mc:Choice Requires="wps">
              <w:drawing>
                <wp:anchor distT="0" distB="0" distL="114300" distR="114300" simplePos="0" relativeHeight="251657216" behindDoc="1" locked="0" layoutInCell="0" allowOverlap="1" wp14:anchorId="13B244DE" wp14:editId="3908B44B">
                  <wp:simplePos x="0" y="0"/>
                  <wp:positionH relativeFrom="margin">
                    <wp:align>center</wp:align>
                  </wp:positionH>
                  <wp:positionV relativeFrom="margin">
                    <wp:align>center</wp:align>
                  </wp:positionV>
                  <wp:extent cx="5237480" cy="3142615"/>
                  <wp:effectExtent l="0" t="1143000" r="0" b="657860"/>
                  <wp:wrapNone/>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EC3B7CC" w14:textId="77777777" w:rsidR="00682B7D" w:rsidRDefault="00682B7D" w:rsidP="00523842">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13B244DE" id="_x0000_t202" coordsize="21600,21600" o:spt="202" path="m,l,21600r21600,l21600,xe">
                  <v:stroke joinstyle="miter"/>
                  <v:path gradientshapeok="t" o:connecttype="rect"/>
                </v:shapetype>
                <v:shape id="WordArt 4" o:spid="_x0000_s1026" type="#_x0000_t202" style="position:absolute;left:0;text-align:left;margin-left:0;margin-top:0;width:412.4pt;height:247.4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4zrhg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" o:allowincell="f" filled="f" stroked="f">
                  <v:stroke joinstyle="round"/>
                  <o:lock v:ext="edit" shapetype="t"/>
                  <v:textbox style="mso-fit-shape-to-text:t">
                    <w:txbxContent>
                      <w:p w14:paraId="3EC3B7CC" w14:textId="77777777" w:rsidR="00682B7D" w:rsidRDefault="00682B7D" w:rsidP="00523842">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BORRADOR</w:t>
                        </w:r>
                      </w:p>
                    </w:txbxContent>
                  </v:textbox>
                  <w10:wrap anchorx="margin" anchory="margin"/>
                </v:shape>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1492"/>
        </w:tabs>
        <w:ind w:left="1492" w:hanging="360"/>
      </w:pPr>
    </w:lvl>
  </w:abstractNum>
  <w:abstractNum w:abstractNumId="1" w15:restartNumberingAfterBreak="0">
    <w:nsid w:val="FFFFFF7E"/>
    <w:multiLevelType w:val="singleLevel"/>
    <w:tmpl w:val="FBA2292E"/>
    <w:lvl w:ilvl="0">
      <w:start w:val="1"/>
      <w:numFmt w:val="decimal"/>
      <w:lvlText w:val="%1."/>
      <w:lvlJc w:val="left"/>
      <w:pPr>
        <w:tabs>
          <w:tab w:val="num" w:pos="926"/>
        </w:tabs>
        <w:ind w:left="926" w:hanging="360"/>
      </w:pPr>
    </w:lvl>
  </w:abstractNum>
  <w:abstractNum w:abstractNumId="2"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3"/>
    <w:multiLevelType w:val="singleLevel"/>
    <w:tmpl w:val="56CC57C6"/>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8"/>
    <w:multiLevelType w:val="singleLevel"/>
    <w:tmpl w:val="A8E267C8"/>
    <w:lvl w:ilvl="0">
      <w:start w:val="1"/>
      <w:numFmt w:val="decimal"/>
      <w:lvlText w:val="%1."/>
      <w:lvlJc w:val="left"/>
      <w:pPr>
        <w:tabs>
          <w:tab w:val="num" w:pos="360"/>
        </w:tabs>
        <w:ind w:left="360" w:hanging="360"/>
      </w:pPr>
    </w:lvl>
  </w:abstractNum>
  <w:abstractNum w:abstractNumId="5" w15:restartNumberingAfterBreak="0">
    <w:nsid w:val="01623C6E"/>
    <w:multiLevelType w:val="hybridMultilevel"/>
    <w:tmpl w:val="331ACFCE"/>
    <w:lvl w:ilvl="0" w:tplc="08090017">
      <w:start w:val="1"/>
      <w:numFmt w:val="lowerLetter"/>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1174C5"/>
    <w:multiLevelType w:val="hybridMultilevel"/>
    <w:tmpl w:val="B510D7D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28549B4"/>
    <w:multiLevelType w:val="hybridMultilevel"/>
    <w:tmpl w:val="7A3834D6"/>
    <w:lvl w:ilvl="0" w:tplc="C61E2486">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05DB4F2C"/>
    <w:multiLevelType w:val="hybridMultilevel"/>
    <w:tmpl w:val="07DCD1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3742B9"/>
    <w:multiLevelType w:val="hybridMultilevel"/>
    <w:tmpl w:val="9586D9FE"/>
    <w:lvl w:ilvl="0" w:tplc="C61E2486">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D73EAE"/>
    <w:multiLevelType w:val="multilevel"/>
    <w:tmpl w:val="A8763FC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pStyle w:val="Body1"/>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D423E66"/>
    <w:multiLevelType w:val="hybridMultilevel"/>
    <w:tmpl w:val="380A358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3" w15:restartNumberingAfterBreak="0">
    <w:nsid w:val="0F7D50DA"/>
    <w:multiLevelType w:val="hybridMultilevel"/>
    <w:tmpl w:val="E3D031AC"/>
    <w:lvl w:ilvl="0" w:tplc="355A1A5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0646C78"/>
    <w:multiLevelType w:val="hybridMultilevel"/>
    <w:tmpl w:val="2F565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1687854"/>
    <w:multiLevelType w:val="hybridMultilevel"/>
    <w:tmpl w:val="2618F38C"/>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17" w15:restartNumberingAfterBreak="0">
    <w:nsid w:val="12963423"/>
    <w:multiLevelType w:val="hybridMultilevel"/>
    <w:tmpl w:val="B10ED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40C3DF1"/>
    <w:multiLevelType w:val="hybridMultilevel"/>
    <w:tmpl w:val="31445CA6"/>
    <w:lvl w:ilvl="0" w:tplc="0C0A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434521C"/>
    <w:multiLevelType w:val="multilevel"/>
    <w:tmpl w:val="82B040F0"/>
    <w:lvl w:ilvl="0">
      <w:start w:val="1"/>
      <w:numFmt w:val="decimal"/>
      <w:lvlText w:val="%1"/>
      <w:lvlJc w:val="left"/>
      <w:pPr>
        <w:ind w:left="432" w:hanging="432"/>
      </w:pPr>
      <w:rPr>
        <w:rFonts w:hint="default"/>
      </w:rPr>
    </w:lvl>
    <w:lvl w:ilvl="1">
      <w:start w:val="1"/>
      <w:numFmt w:val="decimal"/>
      <w:lvlText w:val="%1.%2"/>
      <w:lvlJc w:val="left"/>
      <w:pPr>
        <w:ind w:left="7239"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21" w15:restartNumberingAfterBreak="0">
    <w:nsid w:val="1699195D"/>
    <w:multiLevelType w:val="hybridMultilevel"/>
    <w:tmpl w:val="6234E2FC"/>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7053D3D"/>
    <w:multiLevelType w:val="multilevel"/>
    <w:tmpl w:val="0396DAC6"/>
    <w:lvl w:ilvl="0">
      <w:start w:val="1"/>
      <w:numFmt w:val="decimal"/>
      <w:lvlText w:val="%1"/>
      <w:lvlJc w:val="left"/>
      <w:pPr>
        <w:ind w:left="432" w:hanging="432"/>
      </w:pPr>
      <w:rPr>
        <w:rFonts w:hint="default"/>
      </w:rPr>
    </w:lvl>
    <w:lvl w:ilvl="1">
      <w:start w:val="1"/>
      <w:numFmt w:val="decimal"/>
      <w:lvlText w:val="%1.%2"/>
      <w:lvlJc w:val="left"/>
      <w:pPr>
        <w:ind w:left="576" w:hanging="576"/>
      </w:pPr>
      <w:rPr>
        <w:rFonts w:ascii="Times New Roman" w:hAnsi="Times New Roman" w:cs="Times New Roman" w:hint="default"/>
        <w:i w:val="0"/>
        <w:sz w:val="24"/>
        <w:szCs w:val="24"/>
      </w:rPr>
    </w:lvl>
    <w:lvl w:ilvl="2">
      <w:start w:val="1"/>
      <w:numFmt w:val="decimal"/>
      <w:lvlText w:val="%1.%2.%3"/>
      <w:lvlJc w:val="left"/>
      <w:pPr>
        <w:ind w:left="1429" w:hanging="720"/>
      </w:pPr>
      <w:rPr>
        <w:rFonts w:hint="default"/>
        <w:b w:val="0"/>
        <w:i/>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3" w15:restartNumberingAfterBreak="0">
    <w:nsid w:val="1B35752D"/>
    <w:multiLevelType w:val="multilevel"/>
    <w:tmpl w:val="66380C1C"/>
    <w:lvl w:ilvl="0">
      <w:start w:val="1"/>
      <w:numFmt w:val="decimal"/>
      <w:pStyle w:val="Heading3"/>
      <w:lvlText w:val="%1.2"/>
      <w:lvlJc w:val="left"/>
      <w:pPr>
        <w:ind w:left="928" w:hanging="360"/>
      </w:pPr>
      <w:rPr>
        <w:rFonts w:hint="default"/>
      </w:rPr>
    </w:lvl>
    <w:lvl w:ilvl="1">
      <w:start w:val="1"/>
      <w:numFmt w:val="decimal"/>
      <w:pStyle w:val="Heading3"/>
      <w:lvlText w:val="%1.%2"/>
      <w:lvlJc w:val="left"/>
      <w:pPr>
        <w:ind w:left="928"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288"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648" w:hanging="1080"/>
      </w:pPr>
      <w:rPr>
        <w:rFonts w:hint="default"/>
      </w:rPr>
    </w:lvl>
    <w:lvl w:ilvl="6">
      <w:start w:val="1"/>
      <w:numFmt w:val="decimal"/>
      <w:lvlText w:val="%1.%2.%3.%4.%5.%6.%7"/>
      <w:lvlJc w:val="left"/>
      <w:pPr>
        <w:ind w:left="2008" w:hanging="1440"/>
      </w:pPr>
      <w:rPr>
        <w:rFonts w:hint="default"/>
      </w:rPr>
    </w:lvl>
    <w:lvl w:ilvl="7">
      <w:start w:val="1"/>
      <w:numFmt w:val="decimal"/>
      <w:lvlText w:val="%1.%2.%3.%4.%5.%6.%7.%8"/>
      <w:lvlJc w:val="left"/>
      <w:pPr>
        <w:ind w:left="2008" w:hanging="1440"/>
      </w:pPr>
      <w:rPr>
        <w:rFonts w:hint="default"/>
      </w:rPr>
    </w:lvl>
    <w:lvl w:ilvl="8">
      <w:start w:val="1"/>
      <w:numFmt w:val="decimal"/>
      <w:lvlText w:val="%1.%2.%3.%4.%5.%6.%7.%8.%9"/>
      <w:lvlJc w:val="left"/>
      <w:pPr>
        <w:ind w:left="2368" w:hanging="1800"/>
      </w:pPr>
      <w:rPr>
        <w:rFonts w:hint="default"/>
      </w:rPr>
    </w:lvl>
  </w:abstractNum>
  <w:abstractNum w:abstractNumId="24" w15:restartNumberingAfterBreak="0">
    <w:nsid w:val="1B8B64E4"/>
    <w:multiLevelType w:val="hybridMultilevel"/>
    <w:tmpl w:val="943E7A1E"/>
    <w:lvl w:ilvl="0" w:tplc="0C0A0001">
      <w:start w:val="1"/>
      <w:numFmt w:val="bullet"/>
      <w:lvlText w:val=""/>
      <w:lvlJc w:val="left"/>
      <w:pPr>
        <w:ind w:left="1134" w:hanging="360"/>
      </w:pPr>
      <w:rPr>
        <w:rFonts w:ascii="Symbol" w:hAnsi="Symbol" w:hint="default"/>
      </w:rPr>
    </w:lvl>
    <w:lvl w:ilvl="1" w:tplc="0C0A0003" w:tentative="1">
      <w:start w:val="1"/>
      <w:numFmt w:val="bullet"/>
      <w:lvlText w:val="o"/>
      <w:lvlJc w:val="left"/>
      <w:pPr>
        <w:ind w:left="1854" w:hanging="360"/>
      </w:pPr>
      <w:rPr>
        <w:rFonts w:ascii="Courier New" w:hAnsi="Courier New" w:cs="Courier New" w:hint="default"/>
      </w:rPr>
    </w:lvl>
    <w:lvl w:ilvl="2" w:tplc="0C0A0005" w:tentative="1">
      <w:start w:val="1"/>
      <w:numFmt w:val="bullet"/>
      <w:lvlText w:val=""/>
      <w:lvlJc w:val="left"/>
      <w:pPr>
        <w:ind w:left="2574" w:hanging="360"/>
      </w:pPr>
      <w:rPr>
        <w:rFonts w:ascii="Wingdings" w:hAnsi="Wingdings" w:hint="default"/>
      </w:rPr>
    </w:lvl>
    <w:lvl w:ilvl="3" w:tplc="0C0A0001" w:tentative="1">
      <w:start w:val="1"/>
      <w:numFmt w:val="bullet"/>
      <w:lvlText w:val=""/>
      <w:lvlJc w:val="left"/>
      <w:pPr>
        <w:ind w:left="3294" w:hanging="360"/>
      </w:pPr>
      <w:rPr>
        <w:rFonts w:ascii="Symbol" w:hAnsi="Symbol" w:hint="default"/>
      </w:rPr>
    </w:lvl>
    <w:lvl w:ilvl="4" w:tplc="0C0A0003" w:tentative="1">
      <w:start w:val="1"/>
      <w:numFmt w:val="bullet"/>
      <w:lvlText w:val="o"/>
      <w:lvlJc w:val="left"/>
      <w:pPr>
        <w:ind w:left="4014" w:hanging="360"/>
      </w:pPr>
      <w:rPr>
        <w:rFonts w:ascii="Courier New" w:hAnsi="Courier New" w:cs="Courier New" w:hint="default"/>
      </w:rPr>
    </w:lvl>
    <w:lvl w:ilvl="5" w:tplc="0C0A0005" w:tentative="1">
      <w:start w:val="1"/>
      <w:numFmt w:val="bullet"/>
      <w:lvlText w:val=""/>
      <w:lvlJc w:val="left"/>
      <w:pPr>
        <w:ind w:left="4734" w:hanging="360"/>
      </w:pPr>
      <w:rPr>
        <w:rFonts w:ascii="Wingdings" w:hAnsi="Wingdings" w:hint="default"/>
      </w:rPr>
    </w:lvl>
    <w:lvl w:ilvl="6" w:tplc="0C0A0001" w:tentative="1">
      <w:start w:val="1"/>
      <w:numFmt w:val="bullet"/>
      <w:lvlText w:val=""/>
      <w:lvlJc w:val="left"/>
      <w:pPr>
        <w:ind w:left="5454" w:hanging="360"/>
      </w:pPr>
      <w:rPr>
        <w:rFonts w:ascii="Symbol" w:hAnsi="Symbol" w:hint="default"/>
      </w:rPr>
    </w:lvl>
    <w:lvl w:ilvl="7" w:tplc="0C0A0003" w:tentative="1">
      <w:start w:val="1"/>
      <w:numFmt w:val="bullet"/>
      <w:lvlText w:val="o"/>
      <w:lvlJc w:val="left"/>
      <w:pPr>
        <w:ind w:left="6174" w:hanging="360"/>
      </w:pPr>
      <w:rPr>
        <w:rFonts w:ascii="Courier New" w:hAnsi="Courier New" w:cs="Courier New" w:hint="default"/>
      </w:rPr>
    </w:lvl>
    <w:lvl w:ilvl="8" w:tplc="0C0A0005" w:tentative="1">
      <w:start w:val="1"/>
      <w:numFmt w:val="bullet"/>
      <w:lvlText w:val=""/>
      <w:lvlJc w:val="left"/>
      <w:pPr>
        <w:ind w:left="6894" w:hanging="360"/>
      </w:pPr>
      <w:rPr>
        <w:rFonts w:ascii="Wingdings" w:hAnsi="Wingdings" w:hint="default"/>
      </w:rPr>
    </w:lvl>
  </w:abstractNum>
  <w:abstractNum w:abstractNumId="25" w15:restartNumberingAfterBreak="0">
    <w:nsid w:val="1DFF72E1"/>
    <w:multiLevelType w:val="hybridMultilevel"/>
    <w:tmpl w:val="E9945DF2"/>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E65309B"/>
    <w:multiLevelType w:val="multilevel"/>
    <w:tmpl w:val="4BB8381C"/>
    <w:lvl w:ilvl="0">
      <w:start w:val="1"/>
      <w:numFmt w:val="decimal"/>
      <w:lvlText w:val="%1"/>
      <w:lvlJc w:val="left"/>
      <w:pPr>
        <w:ind w:left="432" w:hanging="432"/>
      </w:pPr>
    </w:lvl>
    <w:lvl w:ilvl="1">
      <w:start w:val="1"/>
      <w:numFmt w:val="decimal"/>
      <w:lvlText w:val="%1.%2"/>
      <w:lvlJc w:val="left"/>
      <w:pPr>
        <w:ind w:left="723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219E5644"/>
    <w:multiLevelType w:val="hybridMultilevel"/>
    <w:tmpl w:val="5E50777C"/>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1B01CC4"/>
    <w:multiLevelType w:val="multilevel"/>
    <w:tmpl w:val="C11CED2A"/>
    <w:lvl w:ilvl="0">
      <w:start w:val="5"/>
      <w:numFmt w:val="decimal"/>
      <w:lvlText w:val="%1"/>
      <w:lvlJc w:val="left"/>
      <w:pPr>
        <w:ind w:left="432" w:hanging="432"/>
      </w:pPr>
      <w:rPr>
        <w:rFonts w:hint="default"/>
      </w:rPr>
    </w:lvl>
    <w:lvl w:ilvl="1">
      <w:start w:val="1"/>
      <w:numFmt w:val="decimal"/>
      <w:lvlText w:val="%1.%2"/>
      <w:lvlJc w:val="left"/>
      <w:pPr>
        <w:ind w:left="7239"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9" w15:restartNumberingAfterBreak="0">
    <w:nsid w:val="231D46A5"/>
    <w:multiLevelType w:val="hybridMultilevel"/>
    <w:tmpl w:val="E1B210F2"/>
    <w:lvl w:ilvl="0" w:tplc="140099E4">
      <w:start w:val="2"/>
      <w:numFmt w:val="decimal"/>
      <w:lvlText w:val="%1.2"/>
      <w:lvlJc w:val="left"/>
      <w:pPr>
        <w:ind w:left="115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31" w15:restartNumberingAfterBreak="0">
    <w:nsid w:val="247722E6"/>
    <w:multiLevelType w:val="hybridMultilevel"/>
    <w:tmpl w:val="210C442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2" w15:restartNumberingAfterBreak="0">
    <w:nsid w:val="26716A66"/>
    <w:multiLevelType w:val="hybridMultilevel"/>
    <w:tmpl w:val="15B8B85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3" w15:restartNumberingAfterBreak="0">
    <w:nsid w:val="27D2585D"/>
    <w:multiLevelType w:val="hybridMultilevel"/>
    <w:tmpl w:val="5ACEF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8E87D5E"/>
    <w:multiLevelType w:val="hybridMultilevel"/>
    <w:tmpl w:val="8B8051FA"/>
    <w:lvl w:ilvl="0" w:tplc="C61E2486">
      <w:start w:val="1"/>
      <w:numFmt w:val="bullet"/>
      <w:lvlText w:val=""/>
      <w:lvlJc w:val="left"/>
      <w:pPr>
        <w:tabs>
          <w:tab w:val="num" w:pos="343"/>
        </w:tabs>
        <w:ind w:left="343" w:hanging="283"/>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297D6730"/>
    <w:multiLevelType w:val="hybridMultilevel"/>
    <w:tmpl w:val="99085F50"/>
    <w:lvl w:ilvl="0" w:tplc="FB76931A">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2B7D14B7"/>
    <w:multiLevelType w:val="hybridMultilevel"/>
    <w:tmpl w:val="DDA0BBF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38" w15:restartNumberingAfterBreak="0">
    <w:nsid w:val="2CE874BF"/>
    <w:multiLevelType w:val="multilevel"/>
    <w:tmpl w:val="41409544"/>
    <w:lvl w:ilvl="0">
      <w:start w:val="1"/>
      <w:numFmt w:val="decimal"/>
      <w:lvlText w:val="%1"/>
      <w:lvlJc w:val="left"/>
      <w:pPr>
        <w:ind w:left="360" w:hanging="360"/>
      </w:pPr>
      <w:rPr>
        <w:rFonts w:hint="default"/>
      </w:rPr>
    </w:lvl>
    <w:lvl w:ilvl="1">
      <w:start w:val="1"/>
      <w:numFmt w:val="decimal"/>
      <w:lvlText w:val="%1.%2"/>
      <w:lvlJc w:val="left"/>
      <w:pPr>
        <w:ind w:left="851" w:hanging="360"/>
      </w:pPr>
      <w:rPr>
        <w:rFonts w:hint="default"/>
      </w:rPr>
    </w:lvl>
    <w:lvl w:ilvl="2">
      <w:start w:val="1"/>
      <w:numFmt w:val="decimal"/>
      <w:lvlText w:val="%1.%2.%3"/>
      <w:lvlJc w:val="left"/>
      <w:pPr>
        <w:ind w:left="1702" w:hanging="720"/>
      </w:pPr>
      <w:rPr>
        <w:rFonts w:hint="default"/>
      </w:rPr>
    </w:lvl>
    <w:lvl w:ilvl="3">
      <w:start w:val="1"/>
      <w:numFmt w:val="decimal"/>
      <w:lvlText w:val="%1.%2.%3.%4"/>
      <w:lvlJc w:val="left"/>
      <w:pPr>
        <w:ind w:left="2193" w:hanging="720"/>
      </w:pPr>
      <w:rPr>
        <w:rFonts w:hint="default"/>
      </w:rPr>
    </w:lvl>
    <w:lvl w:ilvl="4">
      <w:start w:val="1"/>
      <w:numFmt w:val="decimal"/>
      <w:lvlText w:val="%1.%2.%3.%4.%5"/>
      <w:lvlJc w:val="left"/>
      <w:pPr>
        <w:ind w:left="3044" w:hanging="1080"/>
      </w:pPr>
      <w:rPr>
        <w:rFonts w:hint="default"/>
      </w:rPr>
    </w:lvl>
    <w:lvl w:ilvl="5">
      <w:start w:val="1"/>
      <w:numFmt w:val="decimal"/>
      <w:lvlText w:val="%1.%2.%3.%4.%5.%6"/>
      <w:lvlJc w:val="left"/>
      <w:pPr>
        <w:ind w:left="3535" w:hanging="1080"/>
      </w:pPr>
      <w:rPr>
        <w:rFonts w:hint="default"/>
      </w:rPr>
    </w:lvl>
    <w:lvl w:ilvl="6">
      <w:start w:val="1"/>
      <w:numFmt w:val="decimal"/>
      <w:lvlText w:val="%1.%2.%3.%4.%5.%6.%7"/>
      <w:lvlJc w:val="left"/>
      <w:pPr>
        <w:ind w:left="4386" w:hanging="1440"/>
      </w:pPr>
      <w:rPr>
        <w:rFonts w:hint="default"/>
      </w:rPr>
    </w:lvl>
    <w:lvl w:ilvl="7">
      <w:start w:val="1"/>
      <w:numFmt w:val="decimal"/>
      <w:lvlText w:val="%1.%2.%3.%4.%5.%6.%7.%8"/>
      <w:lvlJc w:val="left"/>
      <w:pPr>
        <w:ind w:left="4877" w:hanging="1440"/>
      </w:pPr>
      <w:rPr>
        <w:rFonts w:hint="default"/>
      </w:rPr>
    </w:lvl>
    <w:lvl w:ilvl="8">
      <w:start w:val="1"/>
      <w:numFmt w:val="decimal"/>
      <w:lvlText w:val="%1.%2.%3.%4.%5.%6.%7.%8.%9"/>
      <w:lvlJc w:val="left"/>
      <w:pPr>
        <w:ind w:left="5728" w:hanging="1800"/>
      </w:pPr>
      <w:rPr>
        <w:rFonts w:hint="default"/>
      </w:rPr>
    </w:lvl>
  </w:abstractNum>
  <w:abstractNum w:abstractNumId="39" w15:restartNumberingAfterBreak="0">
    <w:nsid w:val="2D35038E"/>
    <w:multiLevelType w:val="hybridMultilevel"/>
    <w:tmpl w:val="07CA4E82"/>
    <w:lvl w:ilvl="0" w:tplc="0C0A0011">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15:restartNumberingAfterBreak="0">
    <w:nsid w:val="2D473402"/>
    <w:multiLevelType w:val="hybridMultilevel"/>
    <w:tmpl w:val="3D66058E"/>
    <w:lvl w:ilvl="0" w:tplc="C61E2486">
      <w:start w:val="1"/>
      <w:numFmt w:val="bullet"/>
      <w:lvlText w:val=""/>
      <w:lvlJc w:val="left"/>
      <w:pPr>
        <w:tabs>
          <w:tab w:val="num" w:pos="283"/>
        </w:tabs>
        <w:ind w:left="283" w:hanging="283"/>
      </w:pPr>
      <w:rPr>
        <w:rFonts w:ascii="Symbol" w:hAnsi="Symbol" w:hint="default"/>
      </w:rPr>
    </w:lvl>
    <w:lvl w:ilvl="1" w:tplc="2586E4D0">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DB82B0F"/>
    <w:multiLevelType w:val="hybridMultilevel"/>
    <w:tmpl w:val="59021578"/>
    <w:lvl w:ilvl="0" w:tplc="08090001">
      <w:start w:val="1"/>
      <w:numFmt w:val="bullet"/>
      <w:lvlText w:val=""/>
      <w:lvlJc w:val="left"/>
      <w:pPr>
        <w:ind w:left="1202" w:hanging="360"/>
      </w:pPr>
      <w:rPr>
        <w:rFonts w:ascii="Symbol" w:hAnsi="Symbol" w:hint="default"/>
      </w:rPr>
    </w:lvl>
    <w:lvl w:ilvl="1" w:tplc="08090003" w:tentative="1">
      <w:start w:val="1"/>
      <w:numFmt w:val="bullet"/>
      <w:lvlText w:val="o"/>
      <w:lvlJc w:val="left"/>
      <w:pPr>
        <w:ind w:left="1922" w:hanging="360"/>
      </w:pPr>
      <w:rPr>
        <w:rFonts w:ascii="Courier New" w:hAnsi="Courier New" w:cs="Verdana" w:hint="default"/>
      </w:rPr>
    </w:lvl>
    <w:lvl w:ilvl="2" w:tplc="08090005" w:tentative="1">
      <w:start w:val="1"/>
      <w:numFmt w:val="bullet"/>
      <w:lvlText w:val=""/>
      <w:lvlJc w:val="left"/>
      <w:pPr>
        <w:ind w:left="2642" w:hanging="360"/>
      </w:pPr>
      <w:rPr>
        <w:rFonts w:ascii="Wingdings" w:hAnsi="Wingdings" w:hint="default"/>
      </w:rPr>
    </w:lvl>
    <w:lvl w:ilvl="3" w:tplc="08090001" w:tentative="1">
      <w:start w:val="1"/>
      <w:numFmt w:val="bullet"/>
      <w:lvlText w:val=""/>
      <w:lvlJc w:val="left"/>
      <w:pPr>
        <w:ind w:left="3362" w:hanging="360"/>
      </w:pPr>
      <w:rPr>
        <w:rFonts w:ascii="Symbol" w:hAnsi="Symbol" w:hint="default"/>
      </w:rPr>
    </w:lvl>
    <w:lvl w:ilvl="4" w:tplc="08090003" w:tentative="1">
      <w:start w:val="1"/>
      <w:numFmt w:val="bullet"/>
      <w:lvlText w:val="o"/>
      <w:lvlJc w:val="left"/>
      <w:pPr>
        <w:ind w:left="4082" w:hanging="360"/>
      </w:pPr>
      <w:rPr>
        <w:rFonts w:ascii="Courier New" w:hAnsi="Courier New" w:cs="Verdana" w:hint="default"/>
      </w:rPr>
    </w:lvl>
    <w:lvl w:ilvl="5" w:tplc="08090005" w:tentative="1">
      <w:start w:val="1"/>
      <w:numFmt w:val="bullet"/>
      <w:lvlText w:val=""/>
      <w:lvlJc w:val="left"/>
      <w:pPr>
        <w:ind w:left="4802" w:hanging="360"/>
      </w:pPr>
      <w:rPr>
        <w:rFonts w:ascii="Wingdings" w:hAnsi="Wingdings" w:hint="default"/>
      </w:rPr>
    </w:lvl>
    <w:lvl w:ilvl="6" w:tplc="08090001" w:tentative="1">
      <w:start w:val="1"/>
      <w:numFmt w:val="bullet"/>
      <w:lvlText w:val=""/>
      <w:lvlJc w:val="left"/>
      <w:pPr>
        <w:ind w:left="5522" w:hanging="360"/>
      </w:pPr>
      <w:rPr>
        <w:rFonts w:ascii="Symbol" w:hAnsi="Symbol" w:hint="default"/>
      </w:rPr>
    </w:lvl>
    <w:lvl w:ilvl="7" w:tplc="08090003" w:tentative="1">
      <w:start w:val="1"/>
      <w:numFmt w:val="bullet"/>
      <w:lvlText w:val="o"/>
      <w:lvlJc w:val="left"/>
      <w:pPr>
        <w:ind w:left="6242" w:hanging="360"/>
      </w:pPr>
      <w:rPr>
        <w:rFonts w:ascii="Courier New" w:hAnsi="Courier New" w:cs="Verdana" w:hint="default"/>
      </w:rPr>
    </w:lvl>
    <w:lvl w:ilvl="8" w:tplc="08090005" w:tentative="1">
      <w:start w:val="1"/>
      <w:numFmt w:val="bullet"/>
      <w:lvlText w:val=""/>
      <w:lvlJc w:val="left"/>
      <w:pPr>
        <w:ind w:left="6962" w:hanging="360"/>
      </w:pPr>
      <w:rPr>
        <w:rFonts w:ascii="Wingdings" w:hAnsi="Wingdings" w:hint="default"/>
      </w:rPr>
    </w:lvl>
  </w:abstractNum>
  <w:abstractNum w:abstractNumId="42" w15:restartNumberingAfterBreak="0">
    <w:nsid w:val="2F7844D0"/>
    <w:multiLevelType w:val="hybridMultilevel"/>
    <w:tmpl w:val="241240A8"/>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0EB5C84"/>
    <w:multiLevelType w:val="hybridMultilevel"/>
    <w:tmpl w:val="F5069A72"/>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21A53C9"/>
    <w:multiLevelType w:val="hybridMultilevel"/>
    <w:tmpl w:val="DCA40940"/>
    <w:lvl w:ilvl="0" w:tplc="29BEB9B0">
      <w:start w:val="1"/>
      <w:numFmt w:val="lowerLetter"/>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323257C6"/>
    <w:multiLevelType w:val="hybridMultilevel"/>
    <w:tmpl w:val="3A2CFF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3344787B"/>
    <w:multiLevelType w:val="hybridMultilevel"/>
    <w:tmpl w:val="CD722BCA"/>
    <w:lvl w:ilvl="0" w:tplc="5A9816B4">
      <w:start w:val="2"/>
      <w:numFmt w:val="decimal"/>
      <w:lvlText w:val="%1.2"/>
      <w:lvlJc w:val="left"/>
      <w:pPr>
        <w:ind w:left="115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35FD706F"/>
    <w:multiLevelType w:val="hybridMultilevel"/>
    <w:tmpl w:val="E0C6B70E"/>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68C4E33"/>
    <w:multiLevelType w:val="hybridMultilevel"/>
    <w:tmpl w:val="698A69F8"/>
    <w:lvl w:ilvl="0" w:tplc="C61E2486">
      <w:start w:val="1"/>
      <w:numFmt w:val="bullet"/>
      <w:lvlText w:val=""/>
      <w:lvlJc w:val="left"/>
      <w:pPr>
        <w:tabs>
          <w:tab w:val="num" w:pos="343"/>
        </w:tabs>
        <w:ind w:left="343" w:hanging="283"/>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9" w15:restartNumberingAfterBreak="0">
    <w:nsid w:val="382069BE"/>
    <w:multiLevelType w:val="hybridMultilevel"/>
    <w:tmpl w:val="C8BA35DE"/>
    <w:lvl w:ilvl="0" w:tplc="9E443C44">
      <w:start w:val="1"/>
      <w:numFmt w:val="lowerLetter"/>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87F1B4A"/>
    <w:multiLevelType w:val="hybridMultilevel"/>
    <w:tmpl w:val="B8FC1C96"/>
    <w:lvl w:ilvl="0" w:tplc="C61E2486">
      <w:start w:val="1"/>
      <w:numFmt w:val="bullet"/>
      <w:lvlText w:val=""/>
      <w:lvlJc w:val="left"/>
      <w:pPr>
        <w:tabs>
          <w:tab w:val="num" w:pos="283"/>
        </w:tabs>
        <w:ind w:left="283" w:hanging="283"/>
      </w:pPr>
      <w:rPr>
        <w:rFonts w:ascii="Symbol" w:hAnsi="Symbol" w:hint="default"/>
      </w:rPr>
    </w:lvl>
    <w:lvl w:ilvl="1" w:tplc="EEC6DAF6">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8F25328"/>
    <w:multiLevelType w:val="hybridMultilevel"/>
    <w:tmpl w:val="D660C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A756024"/>
    <w:multiLevelType w:val="hybridMultilevel"/>
    <w:tmpl w:val="69AC684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3B09109F"/>
    <w:multiLevelType w:val="multilevel"/>
    <w:tmpl w:val="5C7EC22C"/>
    <w:lvl w:ilvl="0">
      <w:start w:val="3"/>
      <w:numFmt w:val="decimal"/>
      <w:pStyle w:val="Heading1"/>
      <w:lvlText w:val="%1"/>
      <w:lvlJc w:val="left"/>
      <w:pPr>
        <w:ind w:left="432" w:hanging="432"/>
      </w:pPr>
      <w:rPr>
        <w:rFonts w:hint="default"/>
      </w:rPr>
    </w:lvl>
    <w:lvl w:ilvl="1">
      <w:start w:val="1"/>
      <w:numFmt w:val="decimal"/>
      <w:lvlText w:val="%1.%2"/>
      <w:lvlJc w:val="left"/>
      <w:pPr>
        <w:ind w:left="7239"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4" w15:restartNumberingAfterBreak="0">
    <w:nsid w:val="3CA1313D"/>
    <w:multiLevelType w:val="hybridMultilevel"/>
    <w:tmpl w:val="763E8528"/>
    <w:lvl w:ilvl="0" w:tplc="08090001">
      <w:start w:val="1"/>
      <w:numFmt w:val="bullet"/>
      <w:lvlText w:val="–"/>
      <w:lvlJc w:val="left"/>
      <w:pPr>
        <w:ind w:left="36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3EFD2368"/>
    <w:multiLevelType w:val="hybridMultilevel"/>
    <w:tmpl w:val="1EF88394"/>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40DA3C82"/>
    <w:multiLevelType w:val="hybridMultilevel"/>
    <w:tmpl w:val="2F22B12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57" w15:restartNumberingAfterBreak="0">
    <w:nsid w:val="40E55501"/>
    <w:multiLevelType w:val="hybridMultilevel"/>
    <w:tmpl w:val="BBD8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41B56BEC"/>
    <w:multiLevelType w:val="hybridMultilevel"/>
    <w:tmpl w:val="11A2D2AE"/>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42683FBB"/>
    <w:multiLevelType w:val="hybridMultilevel"/>
    <w:tmpl w:val="52969628"/>
    <w:lvl w:ilvl="0" w:tplc="9E443C44">
      <w:start w:val="1"/>
      <w:numFmt w:val="lowerLetter"/>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28415E7"/>
    <w:multiLevelType w:val="multilevel"/>
    <w:tmpl w:val="904C5830"/>
    <w:lvl w:ilvl="0">
      <w:start w:val="1"/>
      <w:numFmt w:val="decimal"/>
      <w:pStyle w:val="ListNumber"/>
      <w:lvlText w:val="%1)"/>
      <w:lvlJc w:val="left"/>
      <w:pPr>
        <w:tabs>
          <w:tab w:val="num" w:pos="1429"/>
        </w:tabs>
        <w:ind w:left="1429" w:hanging="709"/>
      </w:pPr>
    </w:lvl>
    <w:lvl w:ilvl="1">
      <w:start w:val="1"/>
      <w:numFmt w:val="lowerLetter"/>
      <w:pStyle w:val="ListNumberLevel2"/>
      <w:lvlText w:val="(%2)"/>
      <w:lvlJc w:val="left"/>
      <w:pPr>
        <w:tabs>
          <w:tab w:val="num" w:pos="7949"/>
        </w:tabs>
        <w:ind w:left="7949" w:hanging="708"/>
      </w:pPr>
    </w:lvl>
    <w:lvl w:ilvl="2">
      <w:start w:val="1"/>
      <w:numFmt w:val="bullet"/>
      <w:pStyle w:val="ListNumberLevel3"/>
      <w:lvlText w:val="–"/>
      <w:lvlJc w:val="left"/>
      <w:pPr>
        <w:tabs>
          <w:tab w:val="num" w:pos="2846"/>
        </w:tabs>
        <w:ind w:left="2846" w:hanging="709"/>
      </w:pPr>
      <w:rPr>
        <w:rFonts w:ascii="Times New Roman" w:hAnsi="Times New Roman"/>
      </w:rPr>
    </w:lvl>
    <w:lvl w:ilvl="3">
      <w:start w:val="1"/>
      <w:numFmt w:val="bullet"/>
      <w:pStyle w:val="ListNumberLevel4"/>
      <w:lvlText w:val=""/>
      <w:lvlJc w:val="left"/>
      <w:pPr>
        <w:tabs>
          <w:tab w:val="num" w:pos="3555"/>
        </w:tabs>
        <w:ind w:left="3555" w:hanging="709"/>
      </w:pPr>
      <w:rPr>
        <w:rFonts w:ascii="Symbol" w:hAnsi="Symbol"/>
      </w:r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abstractNum w:abstractNumId="61" w15:restartNumberingAfterBreak="0">
    <w:nsid w:val="43206058"/>
    <w:multiLevelType w:val="hybridMultilevel"/>
    <w:tmpl w:val="CDE66690"/>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45365E0E"/>
    <w:multiLevelType w:val="hybridMultilevel"/>
    <w:tmpl w:val="156672FA"/>
    <w:lvl w:ilvl="0" w:tplc="9E443C44">
      <w:start w:val="1"/>
      <w:numFmt w:val="lowerLetter"/>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5481EA4"/>
    <w:multiLevelType w:val="multilevel"/>
    <w:tmpl w:val="BFD612FC"/>
    <w:lvl w:ilvl="0">
      <w:start w:val="1"/>
      <w:numFmt w:val="decimal"/>
      <w:pStyle w:val="ListNumber2"/>
      <w:lvlText w:val="(%1)"/>
      <w:lvlJc w:val="left"/>
      <w:pPr>
        <w:tabs>
          <w:tab w:val="num" w:pos="709"/>
        </w:tabs>
        <w:ind w:left="709" w:hanging="709"/>
      </w:pPr>
    </w:lvl>
    <w:lvl w:ilvl="1">
      <w:start w:val="1"/>
      <w:numFmt w:val="lowerLetter"/>
      <w:pStyle w:val="ListNumber2Level2"/>
      <w:lvlText w:val="(%2)"/>
      <w:lvlJc w:val="left"/>
      <w:pPr>
        <w:tabs>
          <w:tab w:val="num" w:pos="1559"/>
        </w:tabs>
        <w:ind w:left="1559" w:hanging="708"/>
      </w:pPr>
    </w:lvl>
    <w:lvl w:ilvl="2">
      <w:start w:val="1"/>
      <w:numFmt w:val="bullet"/>
      <w:pStyle w:val="ListNumber2Level3"/>
      <w:lvlText w:val="–"/>
      <w:lvlJc w:val="left"/>
      <w:pPr>
        <w:tabs>
          <w:tab w:val="num" w:pos="2126"/>
        </w:tabs>
        <w:ind w:left="2126" w:hanging="709"/>
      </w:pPr>
      <w:rPr>
        <w:rFonts w:ascii="Times New Roman" w:hAnsi="Times New Roman"/>
      </w:rPr>
    </w:lvl>
    <w:lvl w:ilvl="3">
      <w:start w:val="1"/>
      <w:numFmt w:val="bullet"/>
      <w:pStyle w:val="ListNumber2Level4"/>
      <w:lvlText w:val=""/>
      <w:lvlJc w:val="left"/>
      <w:pPr>
        <w:tabs>
          <w:tab w:val="num" w:pos="2835"/>
        </w:tabs>
        <w:ind w:left="2835" w:hanging="709"/>
      </w:pPr>
      <w:rPr>
        <w:rFonts w:ascii="Wingdings" w:hAnsi="Wingdings" w:hint="default"/>
      </w:rPr>
    </w:lvl>
    <w:lvl w:ilvl="4">
      <w:start w:val="1"/>
      <w:numFmt w:val="lowerLetter"/>
      <w:lvlText w:val="(%5)"/>
      <w:lvlJc w:val="left"/>
      <w:pPr>
        <w:tabs>
          <w:tab w:val="num" w:pos="723"/>
        </w:tabs>
        <w:ind w:left="723" w:hanging="360"/>
      </w:pPr>
    </w:lvl>
    <w:lvl w:ilvl="5">
      <w:start w:val="1"/>
      <w:numFmt w:val="lowerLetter"/>
      <w:lvlText w:val="(%6)"/>
      <w:lvlJc w:val="left"/>
      <w:pPr>
        <w:tabs>
          <w:tab w:val="num" w:pos="1083"/>
        </w:tabs>
        <w:ind w:left="1083" w:hanging="360"/>
      </w:pPr>
      <w:rPr>
        <w:rFonts w:hint="default"/>
      </w:rPr>
    </w:lvl>
    <w:lvl w:ilvl="6">
      <w:start w:val="1"/>
      <w:numFmt w:val="decimal"/>
      <w:lvlText w:val="%7."/>
      <w:lvlJc w:val="left"/>
      <w:pPr>
        <w:tabs>
          <w:tab w:val="num" w:pos="1443"/>
        </w:tabs>
        <w:ind w:left="1443" w:hanging="360"/>
      </w:pPr>
    </w:lvl>
    <w:lvl w:ilvl="7">
      <w:start w:val="1"/>
      <w:numFmt w:val="lowerLetter"/>
      <w:lvlText w:val="%8."/>
      <w:lvlJc w:val="left"/>
      <w:pPr>
        <w:tabs>
          <w:tab w:val="num" w:pos="1803"/>
        </w:tabs>
        <w:ind w:left="1803" w:hanging="360"/>
      </w:pPr>
    </w:lvl>
    <w:lvl w:ilvl="8">
      <w:start w:val="1"/>
      <w:numFmt w:val="lowerRoman"/>
      <w:lvlText w:val="%9."/>
      <w:lvlJc w:val="left"/>
      <w:pPr>
        <w:tabs>
          <w:tab w:val="num" w:pos="2163"/>
        </w:tabs>
        <w:ind w:left="2163" w:hanging="360"/>
      </w:pPr>
    </w:lvl>
  </w:abstractNum>
  <w:abstractNum w:abstractNumId="64" w15:restartNumberingAfterBreak="0">
    <w:nsid w:val="465D172F"/>
    <w:multiLevelType w:val="multilevel"/>
    <w:tmpl w:val="ADA2B55A"/>
    <w:lvl w:ilvl="0">
      <w:start w:val="1"/>
      <w:numFmt w:val="decimal"/>
      <w:pStyle w:val="ListNumber1"/>
      <w:lvlText w:val="%1)"/>
      <w:lvlJc w:val="left"/>
      <w:pPr>
        <w:tabs>
          <w:tab w:val="num" w:pos="851"/>
        </w:tabs>
        <w:ind w:left="851" w:hanging="709"/>
      </w:pPr>
    </w:lvl>
    <w:lvl w:ilvl="1">
      <w:start w:val="1"/>
      <w:numFmt w:val="lowerLetter"/>
      <w:pStyle w:val="ListNumber1Level2"/>
      <w:lvlText w:val="(%2)"/>
      <w:lvlJc w:val="left"/>
      <w:pPr>
        <w:tabs>
          <w:tab w:val="num" w:pos="1559"/>
        </w:tabs>
        <w:ind w:left="1559" w:hanging="708"/>
      </w:pPr>
    </w:lvl>
    <w:lvl w:ilvl="2">
      <w:start w:val="1"/>
      <w:numFmt w:val="bullet"/>
      <w:pStyle w:val="ListNumber1Level3"/>
      <w:lvlText w:val="–"/>
      <w:lvlJc w:val="left"/>
      <w:pPr>
        <w:tabs>
          <w:tab w:val="num" w:pos="2268"/>
        </w:tabs>
        <w:ind w:left="2268" w:hanging="709"/>
      </w:pPr>
      <w:rPr>
        <w:rFonts w:ascii="Times New Roman" w:hAnsi="Times New Roman"/>
      </w:rPr>
    </w:lvl>
    <w:lvl w:ilvl="3">
      <w:start w:val="1"/>
      <w:numFmt w:val="bullet"/>
      <w:pStyle w:val="ListNumber1Level4"/>
      <w:lvlText w:val=""/>
      <w:lvlJc w:val="left"/>
      <w:pPr>
        <w:tabs>
          <w:tab w:val="num" w:pos="2977"/>
        </w:tabs>
        <w:ind w:left="2977" w:hanging="709"/>
      </w:pPr>
      <w:rPr>
        <w:rFonts w:ascii="Symbol" w:hAnsi="Symbol"/>
      </w:rPr>
    </w:lvl>
    <w:lvl w:ilvl="4">
      <w:start w:val="1"/>
      <w:numFmt w:val="lowerLetter"/>
      <w:lvlText w:val="(%5)"/>
      <w:lvlJc w:val="left"/>
      <w:pPr>
        <w:tabs>
          <w:tab w:val="num" w:pos="1460"/>
        </w:tabs>
        <w:ind w:left="1460" w:hanging="360"/>
      </w:pPr>
    </w:lvl>
    <w:lvl w:ilvl="5">
      <w:start w:val="1"/>
      <w:numFmt w:val="lowerRoman"/>
      <w:lvlText w:val="(%6)"/>
      <w:lvlJc w:val="left"/>
      <w:pPr>
        <w:tabs>
          <w:tab w:val="num" w:pos="1820"/>
        </w:tabs>
        <w:ind w:left="1820" w:hanging="360"/>
      </w:pPr>
    </w:lvl>
    <w:lvl w:ilvl="6">
      <w:start w:val="1"/>
      <w:numFmt w:val="decimal"/>
      <w:lvlText w:val="%7."/>
      <w:lvlJc w:val="left"/>
      <w:pPr>
        <w:tabs>
          <w:tab w:val="num" w:pos="2180"/>
        </w:tabs>
        <w:ind w:left="2180" w:hanging="360"/>
      </w:pPr>
    </w:lvl>
    <w:lvl w:ilvl="7">
      <w:start w:val="1"/>
      <w:numFmt w:val="lowerLetter"/>
      <w:lvlText w:val="%8."/>
      <w:lvlJc w:val="left"/>
      <w:pPr>
        <w:tabs>
          <w:tab w:val="num" w:pos="2540"/>
        </w:tabs>
        <w:ind w:left="2540" w:hanging="360"/>
      </w:pPr>
    </w:lvl>
    <w:lvl w:ilvl="8">
      <w:start w:val="1"/>
      <w:numFmt w:val="lowerRoman"/>
      <w:lvlText w:val="%9."/>
      <w:lvlJc w:val="left"/>
      <w:pPr>
        <w:tabs>
          <w:tab w:val="num" w:pos="2900"/>
        </w:tabs>
        <w:ind w:left="2900" w:hanging="360"/>
      </w:pPr>
    </w:lvl>
  </w:abstractNum>
  <w:abstractNum w:abstractNumId="65" w15:restartNumberingAfterBreak="0">
    <w:nsid w:val="48860AAB"/>
    <w:multiLevelType w:val="multilevel"/>
    <w:tmpl w:val="E8744BD2"/>
    <w:lvl w:ilvl="0">
      <w:start w:val="1"/>
      <w:numFmt w:val="decimal"/>
      <w:pStyle w:val="ListNumber4"/>
      <w:lvlText w:val="(%1)"/>
      <w:lvlJc w:val="left"/>
      <w:pPr>
        <w:tabs>
          <w:tab w:val="num" w:pos="3589"/>
        </w:tabs>
        <w:ind w:left="3589" w:hanging="709"/>
      </w:pPr>
    </w:lvl>
    <w:lvl w:ilvl="1">
      <w:start w:val="1"/>
      <w:numFmt w:val="lowerLetter"/>
      <w:pStyle w:val="ListNumber4Level2"/>
      <w:lvlText w:val="(%2)"/>
      <w:lvlJc w:val="left"/>
      <w:pPr>
        <w:tabs>
          <w:tab w:val="num" w:pos="4297"/>
        </w:tabs>
        <w:ind w:left="4297" w:hanging="708"/>
      </w:pPr>
    </w:lvl>
    <w:lvl w:ilvl="2">
      <w:start w:val="1"/>
      <w:numFmt w:val="bullet"/>
      <w:pStyle w:val="ListNumber4Level3"/>
      <w:lvlText w:val="–"/>
      <w:lvlJc w:val="left"/>
      <w:pPr>
        <w:tabs>
          <w:tab w:val="num" w:pos="5006"/>
        </w:tabs>
        <w:ind w:left="5006" w:hanging="709"/>
      </w:pPr>
      <w:rPr>
        <w:rFonts w:ascii="Times New Roman" w:hAnsi="Times New Roman"/>
      </w:rPr>
    </w:lvl>
    <w:lvl w:ilvl="3">
      <w:start w:val="1"/>
      <w:numFmt w:val="bullet"/>
      <w:pStyle w:val="ListNumber4Level4"/>
      <w:lvlText w:val=""/>
      <w:lvlJc w:val="left"/>
      <w:pPr>
        <w:tabs>
          <w:tab w:val="num" w:pos="5715"/>
        </w:tabs>
        <w:ind w:left="571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6" w15:restartNumberingAfterBreak="0">
    <w:nsid w:val="492542F3"/>
    <w:multiLevelType w:val="hybridMultilevel"/>
    <w:tmpl w:val="329C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9311E00"/>
    <w:multiLevelType w:val="hybridMultilevel"/>
    <w:tmpl w:val="53009E22"/>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9E0565C"/>
    <w:multiLevelType w:val="hybridMultilevel"/>
    <w:tmpl w:val="80748A6C"/>
    <w:lvl w:ilvl="0" w:tplc="D9F41A48">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9" w15:restartNumberingAfterBreak="0">
    <w:nsid w:val="4B3210FD"/>
    <w:multiLevelType w:val="hybridMultilevel"/>
    <w:tmpl w:val="E6B44DAE"/>
    <w:lvl w:ilvl="0" w:tplc="9E443C44">
      <w:start w:val="1"/>
      <w:numFmt w:val="lowerLetter"/>
      <w:lvlText w:val="%1)"/>
      <w:lvlJc w:val="left"/>
      <w:pPr>
        <w:ind w:left="397" w:hanging="39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C2161C1"/>
    <w:multiLevelType w:val="hybridMultilevel"/>
    <w:tmpl w:val="DD5257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4CF34641"/>
    <w:multiLevelType w:val="multilevel"/>
    <w:tmpl w:val="F9E21F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2" w15:restartNumberingAfterBreak="0">
    <w:nsid w:val="500A4377"/>
    <w:multiLevelType w:val="hybridMultilevel"/>
    <w:tmpl w:val="E5DE06A0"/>
    <w:lvl w:ilvl="0" w:tplc="9692C71A">
      <w:start w:val="1"/>
      <w:numFmt w:val="bullet"/>
      <w:lvlText w:val="-"/>
      <w:lvlJc w:val="left"/>
      <w:pPr>
        <w:ind w:left="720" w:hanging="360"/>
      </w:pPr>
      <w:rPr>
        <w:rFonts w:ascii="Times New Roman" w:eastAsia="Times New Roman" w:hAnsi="Times New Roman"/>
        <w:w w:val="100"/>
        <w:sz w:val="20"/>
        <w:szCs w:val="20"/>
        <w:shd w:val="clear" w:color="000000" w:fil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50977A0C"/>
    <w:multiLevelType w:val="hybridMultilevel"/>
    <w:tmpl w:val="E3889B9C"/>
    <w:lvl w:ilvl="0" w:tplc="C61E2486">
      <w:start w:val="1"/>
      <w:numFmt w:val="bullet"/>
      <w:lvlText w:val=""/>
      <w:lvlJc w:val="left"/>
      <w:pPr>
        <w:tabs>
          <w:tab w:val="num" w:pos="294"/>
        </w:tabs>
        <w:ind w:left="294" w:hanging="283"/>
      </w:pPr>
      <w:rPr>
        <w:rFonts w:ascii="Symbol" w:hAnsi="Symbol" w:hint="default"/>
      </w:rPr>
    </w:lvl>
    <w:lvl w:ilvl="1" w:tplc="04090003" w:tentative="1">
      <w:start w:val="1"/>
      <w:numFmt w:val="bullet"/>
      <w:lvlText w:val="o"/>
      <w:lvlJc w:val="left"/>
      <w:pPr>
        <w:ind w:left="1451" w:hanging="360"/>
      </w:pPr>
      <w:rPr>
        <w:rFonts w:ascii="Courier New" w:hAnsi="Courier New" w:hint="default"/>
      </w:rPr>
    </w:lvl>
    <w:lvl w:ilvl="2" w:tplc="04090005" w:tentative="1">
      <w:start w:val="1"/>
      <w:numFmt w:val="bullet"/>
      <w:lvlText w:val=""/>
      <w:lvlJc w:val="left"/>
      <w:pPr>
        <w:ind w:left="2171" w:hanging="360"/>
      </w:pPr>
      <w:rPr>
        <w:rFonts w:ascii="Wingdings" w:hAnsi="Wingdings" w:hint="default"/>
      </w:rPr>
    </w:lvl>
    <w:lvl w:ilvl="3" w:tplc="04090001" w:tentative="1">
      <w:start w:val="1"/>
      <w:numFmt w:val="bullet"/>
      <w:lvlText w:val=""/>
      <w:lvlJc w:val="left"/>
      <w:pPr>
        <w:ind w:left="2891" w:hanging="360"/>
      </w:pPr>
      <w:rPr>
        <w:rFonts w:ascii="Symbol" w:hAnsi="Symbol" w:hint="default"/>
      </w:rPr>
    </w:lvl>
    <w:lvl w:ilvl="4" w:tplc="04090003" w:tentative="1">
      <w:start w:val="1"/>
      <w:numFmt w:val="bullet"/>
      <w:lvlText w:val="o"/>
      <w:lvlJc w:val="left"/>
      <w:pPr>
        <w:ind w:left="3611" w:hanging="360"/>
      </w:pPr>
      <w:rPr>
        <w:rFonts w:ascii="Courier New" w:hAnsi="Courier New" w:hint="default"/>
      </w:rPr>
    </w:lvl>
    <w:lvl w:ilvl="5" w:tplc="04090005" w:tentative="1">
      <w:start w:val="1"/>
      <w:numFmt w:val="bullet"/>
      <w:lvlText w:val=""/>
      <w:lvlJc w:val="left"/>
      <w:pPr>
        <w:ind w:left="4331" w:hanging="360"/>
      </w:pPr>
      <w:rPr>
        <w:rFonts w:ascii="Wingdings" w:hAnsi="Wingdings" w:hint="default"/>
      </w:rPr>
    </w:lvl>
    <w:lvl w:ilvl="6" w:tplc="04090001" w:tentative="1">
      <w:start w:val="1"/>
      <w:numFmt w:val="bullet"/>
      <w:lvlText w:val=""/>
      <w:lvlJc w:val="left"/>
      <w:pPr>
        <w:ind w:left="5051" w:hanging="360"/>
      </w:pPr>
      <w:rPr>
        <w:rFonts w:ascii="Symbol" w:hAnsi="Symbol" w:hint="default"/>
      </w:rPr>
    </w:lvl>
    <w:lvl w:ilvl="7" w:tplc="04090003" w:tentative="1">
      <w:start w:val="1"/>
      <w:numFmt w:val="bullet"/>
      <w:lvlText w:val="o"/>
      <w:lvlJc w:val="left"/>
      <w:pPr>
        <w:ind w:left="5771" w:hanging="360"/>
      </w:pPr>
      <w:rPr>
        <w:rFonts w:ascii="Courier New" w:hAnsi="Courier New" w:hint="default"/>
      </w:rPr>
    </w:lvl>
    <w:lvl w:ilvl="8" w:tplc="04090005" w:tentative="1">
      <w:start w:val="1"/>
      <w:numFmt w:val="bullet"/>
      <w:lvlText w:val=""/>
      <w:lvlJc w:val="left"/>
      <w:pPr>
        <w:ind w:left="6491" w:hanging="360"/>
      </w:pPr>
      <w:rPr>
        <w:rFonts w:ascii="Wingdings" w:hAnsi="Wingdings" w:hint="default"/>
      </w:rPr>
    </w:lvl>
  </w:abstractNum>
  <w:abstractNum w:abstractNumId="74" w15:restartNumberingAfterBreak="0">
    <w:nsid w:val="518E7A14"/>
    <w:multiLevelType w:val="hybridMultilevel"/>
    <w:tmpl w:val="37FAE3AC"/>
    <w:lvl w:ilvl="0" w:tplc="08090001">
      <w:start w:val="1"/>
      <w:numFmt w:val="bullet"/>
      <w:lvlText w:val=""/>
      <w:lvlJc w:val="left"/>
      <w:pPr>
        <w:ind w:left="2062" w:hanging="360"/>
      </w:pPr>
      <w:rPr>
        <w:rFonts w:ascii="Symbol" w:hAnsi="Symbol" w:hint="default"/>
      </w:rPr>
    </w:lvl>
    <w:lvl w:ilvl="1" w:tplc="08090003" w:tentative="1">
      <w:start w:val="1"/>
      <w:numFmt w:val="bullet"/>
      <w:lvlText w:val="o"/>
      <w:lvlJc w:val="left"/>
      <w:pPr>
        <w:ind w:left="2782" w:hanging="360"/>
      </w:pPr>
      <w:rPr>
        <w:rFonts w:ascii="Courier New" w:hAnsi="Courier New" w:cs="Verdana" w:hint="default"/>
      </w:rPr>
    </w:lvl>
    <w:lvl w:ilvl="2" w:tplc="08090005" w:tentative="1">
      <w:start w:val="1"/>
      <w:numFmt w:val="bullet"/>
      <w:lvlText w:val=""/>
      <w:lvlJc w:val="left"/>
      <w:pPr>
        <w:ind w:left="3502" w:hanging="360"/>
      </w:pPr>
      <w:rPr>
        <w:rFonts w:ascii="Wingdings" w:hAnsi="Wingdings" w:hint="default"/>
      </w:rPr>
    </w:lvl>
    <w:lvl w:ilvl="3" w:tplc="08090001" w:tentative="1">
      <w:start w:val="1"/>
      <w:numFmt w:val="bullet"/>
      <w:lvlText w:val=""/>
      <w:lvlJc w:val="left"/>
      <w:pPr>
        <w:ind w:left="4222" w:hanging="360"/>
      </w:pPr>
      <w:rPr>
        <w:rFonts w:ascii="Symbol" w:hAnsi="Symbol" w:hint="default"/>
      </w:rPr>
    </w:lvl>
    <w:lvl w:ilvl="4" w:tplc="08090003" w:tentative="1">
      <w:start w:val="1"/>
      <w:numFmt w:val="bullet"/>
      <w:lvlText w:val="o"/>
      <w:lvlJc w:val="left"/>
      <w:pPr>
        <w:ind w:left="4942" w:hanging="360"/>
      </w:pPr>
      <w:rPr>
        <w:rFonts w:ascii="Courier New" w:hAnsi="Courier New" w:cs="Verdana" w:hint="default"/>
      </w:rPr>
    </w:lvl>
    <w:lvl w:ilvl="5" w:tplc="08090005" w:tentative="1">
      <w:start w:val="1"/>
      <w:numFmt w:val="bullet"/>
      <w:lvlText w:val=""/>
      <w:lvlJc w:val="left"/>
      <w:pPr>
        <w:ind w:left="5662" w:hanging="360"/>
      </w:pPr>
      <w:rPr>
        <w:rFonts w:ascii="Wingdings" w:hAnsi="Wingdings" w:hint="default"/>
      </w:rPr>
    </w:lvl>
    <w:lvl w:ilvl="6" w:tplc="08090001" w:tentative="1">
      <w:start w:val="1"/>
      <w:numFmt w:val="bullet"/>
      <w:lvlText w:val=""/>
      <w:lvlJc w:val="left"/>
      <w:pPr>
        <w:ind w:left="6382" w:hanging="360"/>
      </w:pPr>
      <w:rPr>
        <w:rFonts w:ascii="Symbol" w:hAnsi="Symbol" w:hint="default"/>
      </w:rPr>
    </w:lvl>
    <w:lvl w:ilvl="7" w:tplc="08090003" w:tentative="1">
      <w:start w:val="1"/>
      <w:numFmt w:val="bullet"/>
      <w:lvlText w:val="o"/>
      <w:lvlJc w:val="left"/>
      <w:pPr>
        <w:ind w:left="7102" w:hanging="360"/>
      </w:pPr>
      <w:rPr>
        <w:rFonts w:ascii="Courier New" w:hAnsi="Courier New" w:cs="Verdana" w:hint="default"/>
      </w:rPr>
    </w:lvl>
    <w:lvl w:ilvl="8" w:tplc="08090005" w:tentative="1">
      <w:start w:val="1"/>
      <w:numFmt w:val="bullet"/>
      <w:lvlText w:val=""/>
      <w:lvlJc w:val="left"/>
      <w:pPr>
        <w:ind w:left="7822" w:hanging="360"/>
      </w:pPr>
      <w:rPr>
        <w:rFonts w:ascii="Wingdings" w:hAnsi="Wingdings" w:hint="default"/>
      </w:rPr>
    </w:lvl>
  </w:abstractNum>
  <w:abstractNum w:abstractNumId="75" w15:restartNumberingAfterBreak="0">
    <w:nsid w:val="51976153"/>
    <w:multiLevelType w:val="hybridMultilevel"/>
    <w:tmpl w:val="001A328C"/>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20C565B"/>
    <w:multiLevelType w:val="hybridMultilevel"/>
    <w:tmpl w:val="51CECF54"/>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3E70282"/>
    <w:multiLevelType w:val="hybridMultilevel"/>
    <w:tmpl w:val="D4AC8BCE"/>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549C382F"/>
    <w:multiLevelType w:val="hybridMultilevel"/>
    <w:tmpl w:val="7A601A5A"/>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80" w15:restartNumberingAfterBreak="0">
    <w:nsid w:val="54C96A36"/>
    <w:multiLevelType w:val="hybridMultilevel"/>
    <w:tmpl w:val="D1B83D8C"/>
    <w:lvl w:ilvl="0" w:tplc="869EFB8C">
      <w:start w:val="1"/>
      <w:numFmt w:val="decimal"/>
      <w:lvlText w:val="%1.2"/>
      <w:lvlJc w:val="left"/>
      <w:pPr>
        <w:ind w:left="1151" w:hanging="360"/>
      </w:pPr>
      <w:rPr>
        <w:rFonts w:hint="default"/>
      </w:rPr>
    </w:lvl>
    <w:lvl w:ilvl="1" w:tplc="08090019" w:tentative="1">
      <w:start w:val="1"/>
      <w:numFmt w:val="lowerLetter"/>
      <w:lvlText w:val="%2."/>
      <w:lvlJc w:val="left"/>
      <w:pPr>
        <w:ind w:left="1871" w:hanging="360"/>
      </w:pPr>
    </w:lvl>
    <w:lvl w:ilvl="2" w:tplc="0809001B" w:tentative="1">
      <w:start w:val="1"/>
      <w:numFmt w:val="lowerRoman"/>
      <w:lvlText w:val="%3."/>
      <w:lvlJc w:val="right"/>
      <w:pPr>
        <w:ind w:left="2591" w:hanging="180"/>
      </w:pPr>
    </w:lvl>
    <w:lvl w:ilvl="3" w:tplc="0809000F" w:tentative="1">
      <w:start w:val="1"/>
      <w:numFmt w:val="decimal"/>
      <w:lvlText w:val="%4."/>
      <w:lvlJc w:val="left"/>
      <w:pPr>
        <w:ind w:left="3311" w:hanging="360"/>
      </w:pPr>
    </w:lvl>
    <w:lvl w:ilvl="4" w:tplc="08090019" w:tentative="1">
      <w:start w:val="1"/>
      <w:numFmt w:val="lowerLetter"/>
      <w:lvlText w:val="%5."/>
      <w:lvlJc w:val="left"/>
      <w:pPr>
        <w:ind w:left="4031" w:hanging="360"/>
      </w:pPr>
    </w:lvl>
    <w:lvl w:ilvl="5" w:tplc="0809001B" w:tentative="1">
      <w:start w:val="1"/>
      <w:numFmt w:val="lowerRoman"/>
      <w:lvlText w:val="%6."/>
      <w:lvlJc w:val="right"/>
      <w:pPr>
        <w:ind w:left="4751" w:hanging="180"/>
      </w:pPr>
    </w:lvl>
    <w:lvl w:ilvl="6" w:tplc="0809000F" w:tentative="1">
      <w:start w:val="1"/>
      <w:numFmt w:val="decimal"/>
      <w:lvlText w:val="%7."/>
      <w:lvlJc w:val="left"/>
      <w:pPr>
        <w:ind w:left="5471" w:hanging="360"/>
      </w:pPr>
    </w:lvl>
    <w:lvl w:ilvl="7" w:tplc="08090019" w:tentative="1">
      <w:start w:val="1"/>
      <w:numFmt w:val="lowerLetter"/>
      <w:lvlText w:val="%8."/>
      <w:lvlJc w:val="left"/>
      <w:pPr>
        <w:ind w:left="6191" w:hanging="360"/>
      </w:pPr>
    </w:lvl>
    <w:lvl w:ilvl="8" w:tplc="0809001B" w:tentative="1">
      <w:start w:val="1"/>
      <w:numFmt w:val="lowerRoman"/>
      <w:lvlText w:val="%9."/>
      <w:lvlJc w:val="right"/>
      <w:pPr>
        <w:ind w:left="6911" w:hanging="180"/>
      </w:pPr>
    </w:lvl>
  </w:abstractNum>
  <w:abstractNum w:abstractNumId="81" w15:restartNumberingAfterBreak="0">
    <w:nsid w:val="58587393"/>
    <w:multiLevelType w:val="hybridMultilevel"/>
    <w:tmpl w:val="66040228"/>
    <w:lvl w:ilvl="0" w:tplc="8B3AD32C">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599E55F8"/>
    <w:multiLevelType w:val="hybridMultilevel"/>
    <w:tmpl w:val="ABAEDE80"/>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A2C174B"/>
    <w:multiLevelType w:val="hybridMultilevel"/>
    <w:tmpl w:val="D50CD7E0"/>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AF25141"/>
    <w:multiLevelType w:val="hybridMultilevel"/>
    <w:tmpl w:val="EE38936A"/>
    <w:lvl w:ilvl="0" w:tplc="08090001">
      <w:start w:val="1"/>
      <w:numFmt w:val="bullet"/>
      <w:lvlText w:val="–"/>
      <w:lvlJc w:val="left"/>
      <w:pPr>
        <w:ind w:left="360" w:hanging="360"/>
      </w:pPr>
      <w:rPr>
        <w:rFonts w:ascii="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FA631D3"/>
    <w:multiLevelType w:val="hybridMultilevel"/>
    <w:tmpl w:val="63205FEC"/>
    <w:lvl w:ilvl="0" w:tplc="869EFB8C">
      <w:start w:val="1"/>
      <w:numFmt w:val="decimal"/>
      <w:lvlText w:val="%1.2"/>
      <w:lvlJc w:val="left"/>
      <w:pPr>
        <w:ind w:left="1151" w:hanging="360"/>
      </w:pPr>
      <w:rPr>
        <w:rFonts w:hint="default"/>
      </w:rPr>
    </w:lvl>
    <w:lvl w:ilvl="1" w:tplc="08090019" w:tentative="1">
      <w:start w:val="1"/>
      <w:numFmt w:val="lowerLetter"/>
      <w:lvlText w:val="%2."/>
      <w:lvlJc w:val="left"/>
      <w:pPr>
        <w:ind w:left="1871" w:hanging="360"/>
      </w:pPr>
    </w:lvl>
    <w:lvl w:ilvl="2" w:tplc="0809001B" w:tentative="1">
      <w:start w:val="1"/>
      <w:numFmt w:val="lowerRoman"/>
      <w:lvlText w:val="%3."/>
      <w:lvlJc w:val="right"/>
      <w:pPr>
        <w:ind w:left="2591" w:hanging="180"/>
      </w:pPr>
    </w:lvl>
    <w:lvl w:ilvl="3" w:tplc="0809000F" w:tentative="1">
      <w:start w:val="1"/>
      <w:numFmt w:val="decimal"/>
      <w:lvlText w:val="%4."/>
      <w:lvlJc w:val="left"/>
      <w:pPr>
        <w:ind w:left="3311" w:hanging="360"/>
      </w:pPr>
    </w:lvl>
    <w:lvl w:ilvl="4" w:tplc="08090019" w:tentative="1">
      <w:start w:val="1"/>
      <w:numFmt w:val="lowerLetter"/>
      <w:lvlText w:val="%5."/>
      <w:lvlJc w:val="left"/>
      <w:pPr>
        <w:ind w:left="4031" w:hanging="360"/>
      </w:pPr>
    </w:lvl>
    <w:lvl w:ilvl="5" w:tplc="0809001B" w:tentative="1">
      <w:start w:val="1"/>
      <w:numFmt w:val="lowerRoman"/>
      <w:lvlText w:val="%6."/>
      <w:lvlJc w:val="right"/>
      <w:pPr>
        <w:ind w:left="4751" w:hanging="180"/>
      </w:pPr>
    </w:lvl>
    <w:lvl w:ilvl="6" w:tplc="0809000F" w:tentative="1">
      <w:start w:val="1"/>
      <w:numFmt w:val="decimal"/>
      <w:lvlText w:val="%7."/>
      <w:lvlJc w:val="left"/>
      <w:pPr>
        <w:ind w:left="5471" w:hanging="360"/>
      </w:pPr>
    </w:lvl>
    <w:lvl w:ilvl="7" w:tplc="08090019" w:tentative="1">
      <w:start w:val="1"/>
      <w:numFmt w:val="lowerLetter"/>
      <w:lvlText w:val="%8."/>
      <w:lvlJc w:val="left"/>
      <w:pPr>
        <w:ind w:left="6191" w:hanging="360"/>
      </w:pPr>
    </w:lvl>
    <w:lvl w:ilvl="8" w:tplc="0809001B" w:tentative="1">
      <w:start w:val="1"/>
      <w:numFmt w:val="lowerRoman"/>
      <w:lvlText w:val="%9."/>
      <w:lvlJc w:val="right"/>
      <w:pPr>
        <w:ind w:left="6911" w:hanging="180"/>
      </w:pPr>
    </w:lvl>
  </w:abstractNum>
  <w:abstractNum w:abstractNumId="86" w15:restartNumberingAfterBreak="0">
    <w:nsid w:val="6216409F"/>
    <w:multiLevelType w:val="hybridMultilevel"/>
    <w:tmpl w:val="7B46CF1E"/>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236755B"/>
    <w:multiLevelType w:val="hybridMultilevel"/>
    <w:tmpl w:val="0B923CEC"/>
    <w:lvl w:ilvl="0" w:tplc="C61E2486">
      <w:start w:val="1"/>
      <w:numFmt w:val="bullet"/>
      <w:lvlText w:val=""/>
      <w:lvlJc w:val="left"/>
      <w:pPr>
        <w:tabs>
          <w:tab w:val="num" w:pos="283"/>
        </w:tabs>
        <w:ind w:left="283" w:hanging="283"/>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39D5B00"/>
    <w:multiLevelType w:val="hybridMultilevel"/>
    <w:tmpl w:val="B0E0E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3D667A0"/>
    <w:multiLevelType w:val="multilevel"/>
    <w:tmpl w:val="4BB8381C"/>
    <w:lvl w:ilvl="0">
      <w:start w:val="1"/>
      <w:numFmt w:val="decimal"/>
      <w:lvlText w:val="%1"/>
      <w:lvlJc w:val="left"/>
      <w:pPr>
        <w:ind w:left="432" w:hanging="432"/>
      </w:pPr>
    </w:lvl>
    <w:lvl w:ilvl="1">
      <w:start w:val="1"/>
      <w:numFmt w:val="decimal"/>
      <w:lvlText w:val="%1.%2"/>
      <w:lvlJc w:val="left"/>
      <w:pPr>
        <w:ind w:left="723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64235F2A"/>
    <w:multiLevelType w:val="hybridMultilevel"/>
    <w:tmpl w:val="4C8CF7C6"/>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64474159"/>
    <w:multiLevelType w:val="hybridMultilevel"/>
    <w:tmpl w:val="8D7655DA"/>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4F01E78"/>
    <w:multiLevelType w:val="hybridMultilevel"/>
    <w:tmpl w:val="24D2F6A0"/>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94" w15:restartNumberingAfterBreak="0">
    <w:nsid w:val="668A10F7"/>
    <w:multiLevelType w:val="singleLevel"/>
    <w:tmpl w:val="08090001"/>
    <w:lvl w:ilvl="0">
      <w:start w:val="1"/>
      <w:numFmt w:val="bullet"/>
      <w:lvlText w:val=""/>
      <w:lvlJc w:val="left"/>
      <w:pPr>
        <w:ind w:left="720" w:hanging="360"/>
      </w:pPr>
      <w:rPr>
        <w:rFonts w:ascii="Symbol" w:hAnsi="Symbol" w:hint="default"/>
      </w:rPr>
    </w:lvl>
  </w:abstractNum>
  <w:abstractNum w:abstractNumId="95"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96" w15:restartNumberingAfterBreak="0">
    <w:nsid w:val="678B03B7"/>
    <w:multiLevelType w:val="hybridMultilevel"/>
    <w:tmpl w:val="82FA3596"/>
    <w:lvl w:ilvl="0" w:tplc="8B3AD32C">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924576A"/>
    <w:multiLevelType w:val="hybridMultilevel"/>
    <w:tmpl w:val="A72CE038"/>
    <w:lvl w:ilvl="0" w:tplc="F72E4C44">
      <w:start w:val="1"/>
      <w:numFmt w:val="lowerLetter"/>
      <w:lvlText w:val="%1)"/>
      <w:lvlJc w:val="left"/>
      <w:pPr>
        <w:ind w:left="284" w:hanging="28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A8668A1"/>
    <w:multiLevelType w:val="hybridMultilevel"/>
    <w:tmpl w:val="609240E6"/>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00" w15:restartNumberingAfterBreak="0">
    <w:nsid w:val="6F816D3E"/>
    <w:multiLevelType w:val="hybridMultilevel"/>
    <w:tmpl w:val="706C4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00302D8"/>
    <w:multiLevelType w:val="hybridMultilevel"/>
    <w:tmpl w:val="8B5CDDAE"/>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738E5FA5"/>
    <w:multiLevelType w:val="hybridMultilevel"/>
    <w:tmpl w:val="F98643E8"/>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4C90129"/>
    <w:multiLevelType w:val="hybridMultilevel"/>
    <w:tmpl w:val="621EB5F8"/>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15:restartNumberingAfterBreak="0">
    <w:nsid w:val="76493359"/>
    <w:multiLevelType w:val="hybridMultilevel"/>
    <w:tmpl w:val="3E0E0ECC"/>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8396553"/>
    <w:multiLevelType w:val="multilevel"/>
    <w:tmpl w:val="4BB8381C"/>
    <w:lvl w:ilvl="0">
      <w:start w:val="1"/>
      <w:numFmt w:val="decimal"/>
      <w:lvlText w:val="%1"/>
      <w:lvlJc w:val="left"/>
      <w:pPr>
        <w:ind w:left="432" w:hanging="432"/>
      </w:pPr>
    </w:lvl>
    <w:lvl w:ilvl="1">
      <w:start w:val="1"/>
      <w:numFmt w:val="decimal"/>
      <w:lvlText w:val="%1.%2"/>
      <w:lvlJc w:val="left"/>
      <w:pPr>
        <w:ind w:left="723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6" w15:restartNumberingAfterBreak="0">
    <w:nsid w:val="795F73AD"/>
    <w:multiLevelType w:val="multilevel"/>
    <w:tmpl w:val="91A02A4E"/>
    <w:lvl w:ilvl="0">
      <w:start w:val="1"/>
      <w:numFmt w:val="decimal"/>
      <w:lvlText w:val="%1."/>
      <w:lvlJc w:val="left"/>
      <w:pPr>
        <w:ind w:left="720" w:hanging="360"/>
      </w:pPr>
      <w:rPr>
        <w:rFonts w:hint="default"/>
      </w:rPr>
    </w:lvl>
    <w:lvl w:ilvl="1">
      <w:start w:val="2"/>
      <w:numFmt w:val="decimal"/>
      <w:isLgl/>
      <w:lvlText w:val="%1.%2"/>
      <w:lvlJc w:val="left"/>
      <w:pPr>
        <w:ind w:left="791"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93" w:hanging="720"/>
      </w:pPr>
      <w:rPr>
        <w:rFonts w:hint="default"/>
      </w:rPr>
    </w:lvl>
    <w:lvl w:ilvl="4">
      <w:start w:val="1"/>
      <w:numFmt w:val="decimal"/>
      <w:isLgl/>
      <w:lvlText w:val="%1.%2.%3.%4.%5"/>
      <w:lvlJc w:val="left"/>
      <w:pPr>
        <w:ind w:left="1724" w:hanging="1080"/>
      </w:pPr>
      <w:rPr>
        <w:rFonts w:hint="default"/>
      </w:rPr>
    </w:lvl>
    <w:lvl w:ilvl="5">
      <w:start w:val="1"/>
      <w:numFmt w:val="decimal"/>
      <w:isLgl/>
      <w:lvlText w:val="%1.%2.%3.%4.%5.%6"/>
      <w:lvlJc w:val="left"/>
      <w:pPr>
        <w:ind w:left="1795" w:hanging="1080"/>
      </w:pPr>
      <w:rPr>
        <w:rFonts w:hint="default"/>
      </w:rPr>
    </w:lvl>
    <w:lvl w:ilvl="6">
      <w:start w:val="1"/>
      <w:numFmt w:val="decimal"/>
      <w:isLgl/>
      <w:lvlText w:val="%1.%2.%3.%4.%5.%6.%7"/>
      <w:lvlJc w:val="left"/>
      <w:pPr>
        <w:ind w:left="2226" w:hanging="1440"/>
      </w:pPr>
      <w:rPr>
        <w:rFonts w:hint="default"/>
      </w:rPr>
    </w:lvl>
    <w:lvl w:ilvl="7">
      <w:start w:val="1"/>
      <w:numFmt w:val="decimal"/>
      <w:isLgl/>
      <w:lvlText w:val="%1.%2.%3.%4.%5.%6.%7.%8"/>
      <w:lvlJc w:val="left"/>
      <w:pPr>
        <w:ind w:left="2297" w:hanging="1440"/>
      </w:pPr>
      <w:rPr>
        <w:rFonts w:hint="default"/>
      </w:rPr>
    </w:lvl>
    <w:lvl w:ilvl="8">
      <w:start w:val="1"/>
      <w:numFmt w:val="decimal"/>
      <w:isLgl/>
      <w:lvlText w:val="%1.%2.%3.%4.%5.%6.%7.%8.%9"/>
      <w:lvlJc w:val="left"/>
      <w:pPr>
        <w:ind w:left="2728" w:hanging="1800"/>
      </w:pPr>
      <w:rPr>
        <w:rFonts w:hint="default"/>
      </w:rPr>
    </w:lvl>
  </w:abstractNum>
  <w:abstractNum w:abstractNumId="107" w15:restartNumberingAfterBreak="0">
    <w:nsid w:val="7B815749"/>
    <w:multiLevelType w:val="hybridMultilevel"/>
    <w:tmpl w:val="9064E33A"/>
    <w:lvl w:ilvl="0" w:tplc="8B3AD32C">
      <w:start w:val="1"/>
      <w:numFmt w:val="bullet"/>
      <w:lvlText w:val="-"/>
      <w:lvlJc w:val="left"/>
      <w:pPr>
        <w:ind w:left="720" w:hanging="360"/>
      </w:pPr>
      <w:rPr>
        <w:rFonts w:ascii="Courier New" w:hAnsi="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7D993940"/>
    <w:multiLevelType w:val="multilevel"/>
    <w:tmpl w:val="1C38F7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9" w15:restartNumberingAfterBreak="0">
    <w:nsid w:val="7E3E675B"/>
    <w:multiLevelType w:val="hybridMultilevel"/>
    <w:tmpl w:val="A89AA8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7E6C47A1"/>
    <w:multiLevelType w:val="hybridMultilevel"/>
    <w:tmpl w:val="3A646FEA"/>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E9B55D0"/>
    <w:multiLevelType w:val="hybridMultilevel"/>
    <w:tmpl w:val="CA70D780"/>
    <w:lvl w:ilvl="0" w:tplc="C61E2486">
      <w:start w:val="1"/>
      <w:numFmt w:val="bullet"/>
      <w:lvlText w:val=""/>
      <w:lvlJc w:val="left"/>
      <w:pPr>
        <w:tabs>
          <w:tab w:val="num" w:pos="283"/>
        </w:tabs>
        <w:ind w:left="283" w:hanging="283"/>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9"/>
  </w:num>
  <w:num w:numId="4">
    <w:abstractNumId w:val="37"/>
  </w:num>
  <w:num w:numId="5">
    <w:abstractNumId w:val="20"/>
  </w:num>
  <w:num w:numId="6">
    <w:abstractNumId w:val="16"/>
  </w:num>
  <w:num w:numId="7">
    <w:abstractNumId w:val="93"/>
  </w:num>
  <w:num w:numId="8">
    <w:abstractNumId w:val="95"/>
  </w:num>
  <w:num w:numId="9">
    <w:abstractNumId w:val="99"/>
  </w:num>
  <w:num w:numId="10">
    <w:abstractNumId w:val="30"/>
  </w:num>
  <w:num w:numId="11">
    <w:abstractNumId w:val="8"/>
  </w:num>
  <w:num w:numId="12">
    <w:abstractNumId w:val="65"/>
  </w:num>
  <w:num w:numId="13">
    <w:abstractNumId w:val="60"/>
  </w:num>
  <w:num w:numId="14">
    <w:abstractNumId w:val="63"/>
  </w:num>
  <w:num w:numId="15">
    <w:abstractNumId w:val="22"/>
  </w:num>
  <w:num w:numId="16">
    <w:abstractNumId w:val="36"/>
  </w:num>
  <w:num w:numId="17">
    <w:abstractNumId w:val="70"/>
  </w:num>
  <w:num w:numId="18">
    <w:abstractNumId w:val="35"/>
  </w:num>
  <w:num w:numId="19">
    <w:abstractNumId w:val="44"/>
  </w:num>
  <w:num w:numId="20">
    <w:abstractNumId w:val="5"/>
  </w:num>
  <w:num w:numId="21">
    <w:abstractNumId w:val="100"/>
  </w:num>
  <w:num w:numId="22">
    <w:abstractNumId w:val="68"/>
  </w:num>
  <w:num w:numId="23">
    <w:abstractNumId w:val="41"/>
  </w:num>
  <w:num w:numId="24">
    <w:abstractNumId w:val="74"/>
  </w:num>
  <w:num w:numId="25">
    <w:abstractNumId w:val="12"/>
  </w:num>
  <w:num w:numId="26">
    <w:abstractNumId w:val="64"/>
  </w:num>
  <w:num w:numId="27">
    <w:abstractNumId w:val="78"/>
  </w:num>
  <w:num w:numId="28">
    <w:abstractNumId w:val="106"/>
  </w:num>
  <w:num w:numId="29">
    <w:abstractNumId w:val="21"/>
  </w:num>
  <w:num w:numId="30">
    <w:abstractNumId w:val="111"/>
  </w:num>
  <w:num w:numId="31">
    <w:abstractNumId w:val="34"/>
  </w:num>
  <w:num w:numId="32">
    <w:abstractNumId w:val="40"/>
  </w:num>
  <w:num w:numId="33">
    <w:abstractNumId w:val="76"/>
  </w:num>
  <w:num w:numId="34">
    <w:abstractNumId w:val="110"/>
  </w:num>
  <w:num w:numId="35">
    <w:abstractNumId w:val="97"/>
  </w:num>
  <w:num w:numId="36">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6"/>
  </w:num>
  <w:num w:numId="38">
    <w:abstractNumId w:val="15"/>
  </w:num>
  <w:num w:numId="39">
    <w:abstractNumId w:val="7"/>
  </w:num>
  <w:num w:numId="40">
    <w:abstractNumId w:val="55"/>
  </w:num>
  <w:num w:numId="41">
    <w:abstractNumId w:val="98"/>
  </w:num>
  <w:num w:numId="42">
    <w:abstractNumId w:val="102"/>
  </w:num>
  <w:num w:numId="43">
    <w:abstractNumId w:val="47"/>
  </w:num>
  <w:num w:numId="44">
    <w:abstractNumId w:val="25"/>
  </w:num>
  <w:num w:numId="45">
    <w:abstractNumId w:val="67"/>
  </w:num>
  <w:num w:numId="46">
    <w:abstractNumId w:val="83"/>
  </w:num>
  <w:num w:numId="47">
    <w:abstractNumId w:val="11"/>
  </w:num>
  <w:num w:numId="48">
    <w:abstractNumId w:val="108"/>
  </w:num>
  <w:num w:numId="49">
    <w:abstractNumId w:val="23"/>
  </w:num>
  <w:num w:numId="50">
    <w:abstractNumId w:val="53"/>
  </w:num>
  <w:num w:numId="51">
    <w:abstractNumId w:val="82"/>
  </w:num>
  <w:num w:numId="52">
    <w:abstractNumId w:val="42"/>
  </w:num>
  <w:num w:numId="53">
    <w:abstractNumId w:val="101"/>
  </w:num>
  <w:num w:numId="54">
    <w:abstractNumId w:val="50"/>
  </w:num>
  <w:num w:numId="55">
    <w:abstractNumId w:val="90"/>
  </w:num>
  <w:num w:numId="56">
    <w:abstractNumId w:val="89"/>
  </w:num>
  <w:num w:numId="57">
    <w:abstractNumId w:val="87"/>
  </w:num>
  <w:num w:numId="58">
    <w:abstractNumId w:val="77"/>
  </w:num>
  <w:num w:numId="59">
    <w:abstractNumId w:val="103"/>
  </w:num>
  <w:num w:numId="60">
    <w:abstractNumId w:val="27"/>
  </w:num>
  <w:num w:numId="61">
    <w:abstractNumId w:val="91"/>
  </w:num>
  <w:num w:numId="62">
    <w:abstractNumId w:val="10"/>
  </w:num>
  <w:num w:numId="63">
    <w:abstractNumId w:val="48"/>
  </w:num>
  <w:num w:numId="64">
    <w:abstractNumId w:val="58"/>
  </w:num>
  <w:num w:numId="65">
    <w:abstractNumId w:val="75"/>
  </w:num>
  <w:num w:numId="66">
    <w:abstractNumId w:val="73"/>
  </w:num>
  <w:num w:numId="67">
    <w:abstractNumId w:val="18"/>
  </w:num>
  <w:num w:numId="68">
    <w:abstractNumId w:val="92"/>
  </w:num>
  <w:num w:numId="69">
    <w:abstractNumId w:val="43"/>
  </w:num>
  <w:num w:numId="70">
    <w:abstractNumId w:val="54"/>
  </w:num>
  <w:num w:numId="71">
    <w:abstractNumId w:val="84"/>
  </w:num>
  <w:num w:numId="72">
    <w:abstractNumId w:val="61"/>
  </w:num>
  <w:num w:numId="73">
    <w:abstractNumId w:val="86"/>
  </w:num>
  <w:num w:numId="74">
    <w:abstractNumId w:val="28"/>
  </w:num>
  <w:num w:numId="75">
    <w:abstractNumId w:val="81"/>
  </w:num>
  <w:num w:numId="76">
    <w:abstractNumId w:val="94"/>
  </w:num>
  <w:num w:numId="77">
    <w:abstractNumId w:val="60"/>
  </w:num>
  <w:num w:numId="78">
    <w:abstractNumId w:val="39"/>
  </w:num>
  <w:num w:numId="79">
    <w:abstractNumId w:val="96"/>
  </w:num>
  <w:num w:numId="80">
    <w:abstractNumId w:val="42"/>
  </w:num>
  <w:num w:numId="8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71"/>
  </w:num>
  <w:num w:numId="87">
    <w:abstractNumId w:val="104"/>
  </w:num>
  <w:num w:numId="88">
    <w:abstractNumId w:val="49"/>
  </w:num>
  <w:num w:numId="89">
    <w:abstractNumId w:val="62"/>
  </w:num>
  <w:num w:numId="90">
    <w:abstractNumId w:val="59"/>
  </w:num>
  <w:num w:numId="91">
    <w:abstractNumId w:val="69"/>
  </w:num>
  <w:num w:numId="92">
    <w:abstractNumId w:val="19"/>
  </w:num>
  <w:num w:numId="93">
    <w:abstractNumId w:val="105"/>
  </w:num>
  <w:num w:numId="94">
    <w:abstractNumId w:val="107"/>
  </w:num>
  <w:num w:numId="9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3"/>
  </w:num>
  <w:num w:numId="97">
    <w:abstractNumId w:val="4"/>
  </w:num>
  <w:num w:numId="98">
    <w:abstractNumId w:val="1"/>
  </w:num>
  <w:num w:numId="99">
    <w:abstractNumId w:val="52"/>
  </w:num>
  <w:num w:numId="100">
    <w:abstractNumId w:val="80"/>
  </w:num>
  <w:num w:numId="101">
    <w:abstractNumId w:val="29"/>
  </w:num>
  <w:num w:numId="102">
    <w:abstractNumId w:val="85"/>
  </w:num>
  <w:num w:numId="103">
    <w:abstractNumId w:val="46"/>
  </w:num>
  <w:num w:numId="104">
    <w:abstractNumId w:val="13"/>
  </w:num>
  <w:num w:numId="105">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9"/>
  </w:num>
  <w:num w:numId="107">
    <w:abstractNumId w:val="88"/>
  </w:num>
  <w:num w:numId="108">
    <w:abstractNumId w:val="60"/>
  </w:num>
  <w:num w:numId="109">
    <w:abstractNumId w:val="17"/>
  </w:num>
  <w:num w:numId="110">
    <w:abstractNumId w:val="60"/>
  </w:num>
  <w:num w:numId="111">
    <w:abstractNumId w:val="6"/>
  </w:num>
  <w:num w:numId="112">
    <w:abstractNumId w:val="72"/>
  </w:num>
  <w:num w:numId="113">
    <w:abstractNumId w:val="14"/>
  </w:num>
  <w:num w:numId="114">
    <w:abstractNumId w:val="38"/>
  </w:num>
  <w:num w:numId="115">
    <w:abstractNumId w:val="9"/>
  </w:num>
  <w:num w:numId="116">
    <w:abstractNumId w:val="23"/>
  </w:num>
  <w:num w:numId="117">
    <w:abstractNumId w:val="23"/>
  </w:num>
  <w:num w:numId="118">
    <w:abstractNumId w:val="23"/>
  </w:num>
  <w:num w:numId="119">
    <w:abstractNumId w:val="23"/>
  </w:num>
  <w:num w:numId="120">
    <w:abstractNumId w:val="23"/>
  </w:num>
  <w:num w:numId="121">
    <w:abstractNumId w:val="23"/>
  </w:num>
  <w:num w:numId="122">
    <w:abstractNumId w:val="23"/>
  </w:num>
  <w:num w:numId="123">
    <w:abstractNumId w:val="23"/>
  </w:num>
  <w:num w:numId="124">
    <w:abstractNumId w:val="23"/>
  </w:num>
  <w:num w:numId="125">
    <w:abstractNumId w:val="23"/>
  </w:num>
  <w:num w:numId="126">
    <w:abstractNumId w:val="23"/>
  </w:num>
  <w:num w:numId="127">
    <w:abstractNumId w:val="23"/>
  </w:num>
  <w:num w:numId="128">
    <w:abstractNumId w:val="23"/>
  </w:num>
  <w:num w:numId="129">
    <w:abstractNumId w:val="56"/>
  </w:num>
  <w:num w:numId="130">
    <w:abstractNumId w:val="31"/>
  </w:num>
  <w:num w:numId="131">
    <w:abstractNumId w:val="32"/>
  </w:num>
  <w:num w:numId="132">
    <w:abstractNumId w:val="66"/>
  </w:num>
  <w:num w:numId="133">
    <w:abstractNumId w:val="51"/>
  </w:num>
  <w:num w:numId="134">
    <w:abstractNumId w:val="33"/>
  </w:num>
  <w:num w:numId="135">
    <w:abstractNumId w:val="57"/>
  </w:num>
  <w:num w:numId="136">
    <w:abstractNumId w:val="24"/>
  </w:num>
  <w:num w:numId="137">
    <w:abstractNumId w:val="45"/>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hideSpellingErrors/>
  <w:hideGrammaticalErrors/>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fr-BE" w:vendorID="64" w:dllVersion="0" w:nlCheck="1" w:checkStyle="0"/>
  <w:activeWritingStyle w:appName="MSWord" w:lang="de-DE" w:vendorID="64" w:dllVersion="0" w:nlCheck="1" w:checkStyle="1"/>
  <w:activeWritingStyle w:appName="MSWord" w:lang="es-ES" w:vendorID="64" w:dllVersion="0"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0"/>
  <w:activeWritingStyle w:appName="MSWord" w:lang="fr-BE" w:vendorID="64" w:dllVersion="131078" w:nlCheck="1" w:checkStyle="0"/>
  <w:activeWritingStyle w:appName="MSWord" w:lang="es-ES" w:vendorID="64" w:dllVersion="131078" w:nlCheck="1" w:checkStyle="0"/>
  <w:attachedTemplate r:id="rId1"/>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6625" fillcolor="#ff9">
      <v:fill color="#ff9"/>
      <o:extrusion v:ext="view" on="t"/>
    </o:shapedefaults>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B9177F"/>
    <w:rsid w:val="00000255"/>
    <w:rsid w:val="0000051E"/>
    <w:rsid w:val="0000082F"/>
    <w:rsid w:val="00000B99"/>
    <w:rsid w:val="000012C6"/>
    <w:rsid w:val="00004282"/>
    <w:rsid w:val="00004D5F"/>
    <w:rsid w:val="00006549"/>
    <w:rsid w:val="00006D2F"/>
    <w:rsid w:val="00010C8F"/>
    <w:rsid w:val="000124BA"/>
    <w:rsid w:val="00014683"/>
    <w:rsid w:val="00014D66"/>
    <w:rsid w:val="0002115F"/>
    <w:rsid w:val="0002234D"/>
    <w:rsid w:val="00022F5A"/>
    <w:rsid w:val="00025D1A"/>
    <w:rsid w:val="00026F6C"/>
    <w:rsid w:val="000272D5"/>
    <w:rsid w:val="000277FE"/>
    <w:rsid w:val="0003031D"/>
    <w:rsid w:val="000303B0"/>
    <w:rsid w:val="000307E5"/>
    <w:rsid w:val="00030E14"/>
    <w:rsid w:val="0003369E"/>
    <w:rsid w:val="00034DDE"/>
    <w:rsid w:val="00034EB5"/>
    <w:rsid w:val="00035CA2"/>
    <w:rsid w:val="00035F6B"/>
    <w:rsid w:val="00036483"/>
    <w:rsid w:val="00036D47"/>
    <w:rsid w:val="00037AAD"/>
    <w:rsid w:val="00037ED3"/>
    <w:rsid w:val="00042069"/>
    <w:rsid w:val="00042AB5"/>
    <w:rsid w:val="00043FCC"/>
    <w:rsid w:val="00044DF2"/>
    <w:rsid w:val="000466F3"/>
    <w:rsid w:val="00051491"/>
    <w:rsid w:val="0005169F"/>
    <w:rsid w:val="00051DC3"/>
    <w:rsid w:val="00053690"/>
    <w:rsid w:val="00054714"/>
    <w:rsid w:val="00055123"/>
    <w:rsid w:val="00055264"/>
    <w:rsid w:val="000556C4"/>
    <w:rsid w:val="0005587F"/>
    <w:rsid w:val="0006320A"/>
    <w:rsid w:val="0006432B"/>
    <w:rsid w:val="0006595F"/>
    <w:rsid w:val="000670D8"/>
    <w:rsid w:val="000679A0"/>
    <w:rsid w:val="00067F66"/>
    <w:rsid w:val="00071C0D"/>
    <w:rsid w:val="00071F36"/>
    <w:rsid w:val="000725D3"/>
    <w:rsid w:val="00073624"/>
    <w:rsid w:val="00074444"/>
    <w:rsid w:val="000751DE"/>
    <w:rsid w:val="00076888"/>
    <w:rsid w:val="0008051C"/>
    <w:rsid w:val="00081A54"/>
    <w:rsid w:val="00082DA2"/>
    <w:rsid w:val="000838DB"/>
    <w:rsid w:val="00087DBF"/>
    <w:rsid w:val="00087FB4"/>
    <w:rsid w:val="00090776"/>
    <w:rsid w:val="00090893"/>
    <w:rsid w:val="00091FAD"/>
    <w:rsid w:val="00093179"/>
    <w:rsid w:val="000949A9"/>
    <w:rsid w:val="00094C9D"/>
    <w:rsid w:val="00094D06"/>
    <w:rsid w:val="00095403"/>
    <w:rsid w:val="0009622E"/>
    <w:rsid w:val="000A1B16"/>
    <w:rsid w:val="000A3105"/>
    <w:rsid w:val="000A34E6"/>
    <w:rsid w:val="000A46C5"/>
    <w:rsid w:val="000A57BB"/>
    <w:rsid w:val="000A5B3A"/>
    <w:rsid w:val="000B0A76"/>
    <w:rsid w:val="000B17F2"/>
    <w:rsid w:val="000B3473"/>
    <w:rsid w:val="000B60AC"/>
    <w:rsid w:val="000B67F6"/>
    <w:rsid w:val="000B6E5C"/>
    <w:rsid w:val="000B7E0A"/>
    <w:rsid w:val="000C1400"/>
    <w:rsid w:val="000C2631"/>
    <w:rsid w:val="000C4CD4"/>
    <w:rsid w:val="000C5520"/>
    <w:rsid w:val="000C63A4"/>
    <w:rsid w:val="000D033F"/>
    <w:rsid w:val="000D0345"/>
    <w:rsid w:val="000D1411"/>
    <w:rsid w:val="000D194F"/>
    <w:rsid w:val="000D1B9C"/>
    <w:rsid w:val="000D1F2D"/>
    <w:rsid w:val="000D24CE"/>
    <w:rsid w:val="000D2B22"/>
    <w:rsid w:val="000D30C0"/>
    <w:rsid w:val="000D5741"/>
    <w:rsid w:val="000D6CC7"/>
    <w:rsid w:val="000E2D80"/>
    <w:rsid w:val="000E4911"/>
    <w:rsid w:val="000F00BB"/>
    <w:rsid w:val="000F2CA3"/>
    <w:rsid w:val="000F3D46"/>
    <w:rsid w:val="000F49BF"/>
    <w:rsid w:val="000F572C"/>
    <w:rsid w:val="000F58EF"/>
    <w:rsid w:val="000F597E"/>
    <w:rsid w:val="000F676F"/>
    <w:rsid w:val="000F6BAB"/>
    <w:rsid w:val="000F71E3"/>
    <w:rsid w:val="0010067A"/>
    <w:rsid w:val="001016B3"/>
    <w:rsid w:val="00101C1F"/>
    <w:rsid w:val="00102C22"/>
    <w:rsid w:val="00103862"/>
    <w:rsid w:val="00105029"/>
    <w:rsid w:val="0010504A"/>
    <w:rsid w:val="001051EA"/>
    <w:rsid w:val="0010525F"/>
    <w:rsid w:val="001066F0"/>
    <w:rsid w:val="001118D6"/>
    <w:rsid w:val="00113DDA"/>
    <w:rsid w:val="00114348"/>
    <w:rsid w:val="00114F5E"/>
    <w:rsid w:val="00115027"/>
    <w:rsid w:val="00116564"/>
    <w:rsid w:val="00116588"/>
    <w:rsid w:val="001170F2"/>
    <w:rsid w:val="001178E9"/>
    <w:rsid w:val="001201FC"/>
    <w:rsid w:val="001205F5"/>
    <w:rsid w:val="00120D4D"/>
    <w:rsid w:val="00122EC7"/>
    <w:rsid w:val="001231E2"/>
    <w:rsid w:val="00125DFB"/>
    <w:rsid w:val="00126A1E"/>
    <w:rsid w:val="0012731F"/>
    <w:rsid w:val="00127A8F"/>
    <w:rsid w:val="00131E1B"/>
    <w:rsid w:val="00132D9C"/>
    <w:rsid w:val="00133043"/>
    <w:rsid w:val="0013443A"/>
    <w:rsid w:val="00135419"/>
    <w:rsid w:val="00135BA5"/>
    <w:rsid w:val="001369FE"/>
    <w:rsid w:val="00137623"/>
    <w:rsid w:val="001378F2"/>
    <w:rsid w:val="00140B75"/>
    <w:rsid w:val="00141E97"/>
    <w:rsid w:val="0014341F"/>
    <w:rsid w:val="00144A4A"/>
    <w:rsid w:val="00146CF4"/>
    <w:rsid w:val="0014770E"/>
    <w:rsid w:val="001479D2"/>
    <w:rsid w:val="00150B3F"/>
    <w:rsid w:val="001510C4"/>
    <w:rsid w:val="00154745"/>
    <w:rsid w:val="00156131"/>
    <w:rsid w:val="00157B51"/>
    <w:rsid w:val="00160676"/>
    <w:rsid w:val="00160E9B"/>
    <w:rsid w:val="00161A7F"/>
    <w:rsid w:val="0016388B"/>
    <w:rsid w:val="00165900"/>
    <w:rsid w:val="001668D6"/>
    <w:rsid w:val="00167272"/>
    <w:rsid w:val="00170413"/>
    <w:rsid w:val="001713A1"/>
    <w:rsid w:val="00171AB3"/>
    <w:rsid w:val="001725C5"/>
    <w:rsid w:val="00173DBA"/>
    <w:rsid w:val="00174387"/>
    <w:rsid w:val="0017511A"/>
    <w:rsid w:val="0017673E"/>
    <w:rsid w:val="00177D45"/>
    <w:rsid w:val="00180F4C"/>
    <w:rsid w:val="001828C0"/>
    <w:rsid w:val="00183AD9"/>
    <w:rsid w:val="00185B92"/>
    <w:rsid w:val="00186833"/>
    <w:rsid w:val="00187FDE"/>
    <w:rsid w:val="00191303"/>
    <w:rsid w:val="00191518"/>
    <w:rsid w:val="0019152F"/>
    <w:rsid w:val="0019195F"/>
    <w:rsid w:val="0019197B"/>
    <w:rsid w:val="00192AE9"/>
    <w:rsid w:val="00195902"/>
    <w:rsid w:val="00197A93"/>
    <w:rsid w:val="00197ABB"/>
    <w:rsid w:val="001A1E8C"/>
    <w:rsid w:val="001A2449"/>
    <w:rsid w:val="001A34C0"/>
    <w:rsid w:val="001A3D10"/>
    <w:rsid w:val="001A4521"/>
    <w:rsid w:val="001A4FC5"/>
    <w:rsid w:val="001A5B8F"/>
    <w:rsid w:val="001A6613"/>
    <w:rsid w:val="001A711E"/>
    <w:rsid w:val="001B08D9"/>
    <w:rsid w:val="001B3034"/>
    <w:rsid w:val="001B35AC"/>
    <w:rsid w:val="001B3DA3"/>
    <w:rsid w:val="001B53C6"/>
    <w:rsid w:val="001B5C49"/>
    <w:rsid w:val="001B7C97"/>
    <w:rsid w:val="001C0108"/>
    <w:rsid w:val="001C025D"/>
    <w:rsid w:val="001C3005"/>
    <w:rsid w:val="001C3291"/>
    <w:rsid w:val="001C439E"/>
    <w:rsid w:val="001C5A10"/>
    <w:rsid w:val="001C5DFB"/>
    <w:rsid w:val="001C643C"/>
    <w:rsid w:val="001C6D54"/>
    <w:rsid w:val="001D04F1"/>
    <w:rsid w:val="001D07E3"/>
    <w:rsid w:val="001D0F2D"/>
    <w:rsid w:val="001D2194"/>
    <w:rsid w:val="001D32A2"/>
    <w:rsid w:val="001D3583"/>
    <w:rsid w:val="001D3989"/>
    <w:rsid w:val="001D516A"/>
    <w:rsid w:val="001D6E6F"/>
    <w:rsid w:val="001D7183"/>
    <w:rsid w:val="001D7CE3"/>
    <w:rsid w:val="001E0C96"/>
    <w:rsid w:val="001E4AFA"/>
    <w:rsid w:val="001E4B9B"/>
    <w:rsid w:val="001E61FB"/>
    <w:rsid w:val="001E6A53"/>
    <w:rsid w:val="001E727E"/>
    <w:rsid w:val="001F0434"/>
    <w:rsid w:val="001F0ABF"/>
    <w:rsid w:val="001F2D51"/>
    <w:rsid w:val="001F31F1"/>
    <w:rsid w:val="001F36FB"/>
    <w:rsid w:val="001F39CC"/>
    <w:rsid w:val="001F66E8"/>
    <w:rsid w:val="00200695"/>
    <w:rsid w:val="00200A0D"/>
    <w:rsid w:val="00200AEF"/>
    <w:rsid w:val="00201114"/>
    <w:rsid w:val="00201435"/>
    <w:rsid w:val="00201C8D"/>
    <w:rsid w:val="0020312B"/>
    <w:rsid w:val="00203155"/>
    <w:rsid w:val="0020417D"/>
    <w:rsid w:val="002053EA"/>
    <w:rsid w:val="00207FB2"/>
    <w:rsid w:val="00211DFD"/>
    <w:rsid w:val="002124BB"/>
    <w:rsid w:val="00214881"/>
    <w:rsid w:val="002154BF"/>
    <w:rsid w:val="00215524"/>
    <w:rsid w:val="00215D7A"/>
    <w:rsid w:val="0021739A"/>
    <w:rsid w:val="00221B05"/>
    <w:rsid w:val="00222C19"/>
    <w:rsid w:val="00224191"/>
    <w:rsid w:val="00224948"/>
    <w:rsid w:val="00225533"/>
    <w:rsid w:val="002261D4"/>
    <w:rsid w:val="002275A3"/>
    <w:rsid w:val="00227942"/>
    <w:rsid w:val="00230148"/>
    <w:rsid w:val="002367A0"/>
    <w:rsid w:val="00240285"/>
    <w:rsid w:val="002404B0"/>
    <w:rsid w:val="00240671"/>
    <w:rsid w:val="00240A8E"/>
    <w:rsid w:val="002421AE"/>
    <w:rsid w:val="00242D8D"/>
    <w:rsid w:val="00242FC1"/>
    <w:rsid w:val="002440CF"/>
    <w:rsid w:val="00244B64"/>
    <w:rsid w:val="00244F4F"/>
    <w:rsid w:val="002455E9"/>
    <w:rsid w:val="00246736"/>
    <w:rsid w:val="00251FBB"/>
    <w:rsid w:val="002521F3"/>
    <w:rsid w:val="00252292"/>
    <w:rsid w:val="00255EB8"/>
    <w:rsid w:val="00256D6F"/>
    <w:rsid w:val="00260CAF"/>
    <w:rsid w:val="00261175"/>
    <w:rsid w:val="00262E91"/>
    <w:rsid w:val="002638FC"/>
    <w:rsid w:val="00264570"/>
    <w:rsid w:val="00265E39"/>
    <w:rsid w:val="0026648F"/>
    <w:rsid w:val="00266F8D"/>
    <w:rsid w:val="00267353"/>
    <w:rsid w:val="00271695"/>
    <w:rsid w:val="0027274B"/>
    <w:rsid w:val="002732A5"/>
    <w:rsid w:val="0027678E"/>
    <w:rsid w:val="00277B7F"/>
    <w:rsid w:val="00277FCC"/>
    <w:rsid w:val="00280DF6"/>
    <w:rsid w:val="002823AF"/>
    <w:rsid w:val="00284345"/>
    <w:rsid w:val="0028490E"/>
    <w:rsid w:val="00284B03"/>
    <w:rsid w:val="00285BE0"/>
    <w:rsid w:val="00285E94"/>
    <w:rsid w:val="00286F5E"/>
    <w:rsid w:val="0028797B"/>
    <w:rsid w:val="00290535"/>
    <w:rsid w:val="0029166A"/>
    <w:rsid w:val="00291880"/>
    <w:rsid w:val="002939D0"/>
    <w:rsid w:val="00294518"/>
    <w:rsid w:val="00294ACD"/>
    <w:rsid w:val="0029529F"/>
    <w:rsid w:val="002952F4"/>
    <w:rsid w:val="0029614D"/>
    <w:rsid w:val="00297F30"/>
    <w:rsid w:val="002A069D"/>
    <w:rsid w:val="002A0C7E"/>
    <w:rsid w:val="002A0FDB"/>
    <w:rsid w:val="002A2E98"/>
    <w:rsid w:val="002A39CF"/>
    <w:rsid w:val="002A5AE1"/>
    <w:rsid w:val="002A5E10"/>
    <w:rsid w:val="002A63BC"/>
    <w:rsid w:val="002A7043"/>
    <w:rsid w:val="002B2F91"/>
    <w:rsid w:val="002B70BF"/>
    <w:rsid w:val="002C01EF"/>
    <w:rsid w:val="002C1221"/>
    <w:rsid w:val="002C3451"/>
    <w:rsid w:val="002C42CD"/>
    <w:rsid w:val="002C5060"/>
    <w:rsid w:val="002C6E4B"/>
    <w:rsid w:val="002D3E6C"/>
    <w:rsid w:val="002D556A"/>
    <w:rsid w:val="002D72CB"/>
    <w:rsid w:val="002E0084"/>
    <w:rsid w:val="002E1286"/>
    <w:rsid w:val="002E4024"/>
    <w:rsid w:val="002E4736"/>
    <w:rsid w:val="002F2598"/>
    <w:rsid w:val="002F2D64"/>
    <w:rsid w:val="002F30AB"/>
    <w:rsid w:val="002F37F9"/>
    <w:rsid w:val="002F60C2"/>
    <w:rsid w:val="002F6E02"/>
    <w:rsid w:val="0030337B"/>
    <w:rsid w:val="00303526"/>
    <w:rsid w:val="00306E44"/>
    <w:rsid w:val="00307104"/>
    <w:rsid w:val="003147D1"/>
    <w:rsid w:val="00315514"/>
    <w:rsid w:val="00315F30"/>
    <w:rsid w:val="003160BA"/>
    <w:rsid w:val="003163DA"/>
    <w:rsid w:val="0031661D"/>
    <w:rsid w:val="00316F8A"/>
    <w:rsid w:val="00317E05"/>
    <w:rsid w:val="00317F6F"/>
    <w:rsid w:val="0032330A"/>
    <w:rsid w:val="00324F80"/>
    <w:rsid w:val="00326881"/>
    <w:rsid w:val="00326AA8"/>
    <w:rsid w:val="00327B71"/>
    <w:rsid w:val="00330590"/>
    <w:rsid w:val="00332DAF"/>
    <w:rsid w:val="0033351E"/>
    <w:rsid w:val="00334069"/>
    <w:rsid w:val="0033466F"/>
    <w:rsid w:val="003350E2"/>
    <w:rsid w:val="0033782F"/>
    <w:rsid w:val="0034406A"/>
    <w:rsid w:val="00344A1F"/>
    <w:rsid w:val="00344BA9"/>
    <w:rsid w:val="00345B05"/>
    <w:rsid w:val="00346C2C"/>
    <w:rsid w:val="0035044C"/>
    <w:rsid w:val="00352691"/>
    <w:rsid w:val="00352767"/>
    <w:rsid w:val="00353252"/>
    <w:rsid w:val="00353435"/>
    <w:rsid w:val="00355062"/>
    <w:rsid w:val="003550A8"/>
    <w:rsid w:val="0035650D"/>
    <w:rsid w:val="00356626"/>
    <w:rsid w:val="00356EEE"/>
    <w:rsid w:val="00356F74"/>
    <w:rsid w:val="00357843"/>
    <w:rsid w:val="0036039B"/>
    <w:rsid w:val="00361DED"/>
    <w:rsid w:val="00363565"/>
    <w:rsid w:val="0036421D"/>
    <w:rsid w:val="003645A3"/>
    <w:rsid w:val="00366BB1"/>
    <w:rsid w:val="00370EDF"/>
    <w:rsid w:val="00371AAC"/>
    <w:rsid w:val="00373207"/>
    <w:rsid w:val="00373A56"/>
    <w:rsid w:val="00373CEF"/>
    <w:rsid w:val="00373E8D"/>
    <w:rsid w:val="00374908"/>
    <w:rsid w:val="003750CA"/>
    <w:rsid w:val="0037551C"/>
    <w:rsid w:val="00375714"/>
    <w:rsid w:val="00381216"/>
    <w:rsid w:val="00381263"/>
    <w:rsid w:val="00381D99"/>
    <w:rsid w:val="0038444E"/>
    <w:rsid w:val="00385E20"/>
    <w:rsid w:val="00386CA1"/>
    <w:rsid w:val="00386E66"/>
    <w:rsid w:val="00390084"/>
    <w:rsid w:val="003903E7"/>
    <w:rsid w:val="00390998"/>
    <w:rsid w:val="00390E68"/>
    <w:rsid w:val="003915CC"/>
    <w:rsid w:val="00392AE1"/>
    <w:rsid w:val="00393733"/>
    <w:rsid w:val="003A05D0"/>
    <w:rsid w:val="003A17A9"/>
    <w:rsid w:val="003A281D"/>
    <w:rsid w:val="003A4108"/>
    <w:rsid w:val="003A4AC4"/>
    <w:rsid w:val="003A5D07"/>
    <w:rsid w:val="003A72A1"/>
    <w:rsid w:val="003B022D"/>
    <w:rsid w:val="003B0A0A"/>
    <w:rsid w:val="003B1E98"/>
    <w:rsid w:val="003B335C"/>
    <w:rsid w:val="003B565F"/>
    <w:rsid w:val="003B5B59"/>
    <w:rsid w:val="003B6794"/>
    <w:rsid w:val="003B76AD"/>
    <w:rsid w:val="003C1059"/>
    <w:rsid w:val="003C2080"/>
    <w:rsid w:val="003C2667"/>
    <w:rsid w:val="003C267E"/>
    <w:rsid w:val="003C308E"/>
    <w:rsid w:val="003C514C"/>
    <w:rsid w:val="003C660E"/>
    <w:rsid w:val="003C7DA8"/>
    <w:rsid w:val="003D0026"/>
    <w:rsid w:val="003D0CE1"/>
    <w:rsid w:val="003D1D45"/>
    <w:rsid w:val="003D2831"/>
    <w:rsid w:val="003D57BA"/>
    <w:rsid w:val="003D58D3"/>
    <w:rsid w:val="003D6EF3"/>
    <w:rsid w:val="003E1FB5"/>
    <w:rsid w:val="003E2BD8"/>
    <w:rsid w:val="003E39B3"/>
    <w:rsid w:val="003E41EA"/>
    <w:rsid w:val="003E4655"/>
    <w:rsid w:val="003E64EE"/>
    <w:rsid w:val="003E72AC"/>
    <w:rsid w:val="003F5287"/>
    <w:rsid w:val="003F7A04"/>
    <w:rsid w:val="00402194"/>
    <w:rsid w:val="00403025"/>
    <w:rsid w:val="004039F1"/>
    <w:rsid w:val="00404820"/>
    <w:rsid w:val="00405F73"/>
    <w:rsid w:val="00411069"/>
    <w:rsid w:val="00412FE9"/>
    <w:rsid w:val="0041308A"/>
    <w:rsid w:val="004132A4"/>
    <w:rsid w:val="004132E5"/>
    <w:rsid w:val="00414550"/>
    <w:rsid w:val="0041623B"/>
    <w:rsid w:val="00416CF5"/>
    <w:rsid w:val="004174DB"/>
    <w:rsid w:val="00420145"/>
    <w:rsid w:val="0042015A"/>
    <w:rsid w:val="00420F19"/>
    <w:rsid w:val="00421F62"/>
    <w:rsid w:val="00424F64"/>
    <w:rsid w:val="004303B0"/>
    <w:rsid w:val="00431799"/>
    <w:rsid w:val="00431DBE"/>
    <w:rsid w:val="0043203F"/>
    <w:rsid w:val="0043253C"/>
    <w:rsid w:val="00436305"/>
    <w:rsid w:val="00440FD7"/>
    <w:rsid w:val="00441BE1"/>
    <w:rsid w:val="00441E2E"/>
    <w:rsid w:val="0044664D"/>
    <w:rsid w:val="00446C59"/>
    <w:rsid w:val="00446E39"/>
    <w:rsid w:val="004471AC"/>
    <w:rsid w:val="00447BBB"/>
    <w:rsid w:val="004514DA"/>
    <w:rsid w:val="00451BCF"/>
    <w:rsid w:val="004544C4"/>
    <w:rsid w:val="00454AC9"/>
    <w:rsid w:val="00455164"/>
    <w:rsid w:val="00460ACC"/>
    <w:rsid w:val="004639C9"/>
    <w:rsid w:val="004645D0"/>
    <w:rsid w:val="00464830"/>
    <w:rsid w:val="004649CA"/>
    <w:rsid w:val="004670C7"/>
    <w:rsid w:val="00467A1B"/>
    <w:rsid w:val="00470158"/>
    <w:rsid w:val="004704C3"/>
    <w:rsid w:val="004714B1"/>
    <w:rsid w:val="0047361A"/>
    <w:rsid w:val="00473B94"/>
    <w:rsid w:val="004747F8"/>
    <w:rsid w:val="00474D41"/>
    <w:rsid w:val="0047611A"/>
    <w:rsid w:val="00477E20"/>
    <w:rsid w:val="004802E7"/>
    <w:rsid w:val="0048306E"/>
    <w:rsid w:val="004851F5"/>
    <w:rsid w:val="0048582C"/>
    <w:rsid w:val="004864CD"/>
    <w:rsid w:val="00486A57"/>
    <w:rsid w:val="00487F67"/>
    <w:rsid w:val="004904FE"/>
    <w:rsid w:val="0049298A"/>
    <w:rsid w:val="004941DC"/>
    <w:rsid w:val="00494BA8"/>
    <w:rsid w:val="00496290"/>
    <w:rsid w:val="00497EC2"/>
    <w:rsid w:val="004A07A0"/>
    <w:rsid w:val="004A1405"/>
    <w:rsid w:val="004A2880"/>
    <w:rsid w:val="004A3E8E"/>
    <w:rsid w:val="004A4528"/>
    <w:rsid w:val="004A459C"/>
    <w:rsid w:val="004A52B8"/>
    <w:rsid w:val="004A60FA"/>
    <w:rsid w:val="004A6915"/>
    <w:rsid w:val="004A7C2F"/>
    <w:rsid w:val="004B07C4"/>
    <w:rsid w:val="004B0D18"/>
    <w:rsid w:val="004B2228"/>
    <w:rsid w:val="004B2AEC"/>
    <w:rsid w:val="004B5266"/>
    <w:rsid w:val="004B5C63"/>
    <w:rsid w:val="004C00C0"/>
    <w:rsid w:val="004C2229"/>
    <w:rsid w:val="004C390F"/>
    <w:rsid w:val="004C4FA3"/>
    <w:rsid w:val="004C64F9"/>
    <w:rsid w:val="004C6F8E"/>
    <w:rsid w:val="004C779D"/>
    <w:rsid w:val="004D12B0"/>
    <w:rsid w:val="004D1F4F"/>
    <w:rsid w:val="004D2102"/>
    <w:rsid w:val="004D2CB4"/>
    <w:rsid w:val="004D32CF"/>
    <w:rsid w:val="004D3769"/>
    <w:rsid w:val="004D47D4"/>
    <w:rsid w:val="004D52D0"/>
    <w:rsid w:val="004D5660"/>
    <w:rsid w:val="004D60EF"/>
    <w:rsid w:val="004D6DC9"/>
    <w:rsid w:val="004E0CEB"/>
    <w:rsid w:val="004E1C92"/>
    <w:rsid w:val="004E20A1"/>
    <w:rsid w:val="004E21B3"/>
    <w:rsid w:val="004E3DE7"/>
    <w:rsid w:val="004E3DF9"/>
    <w:rsid w:val="004E41A0"/>
    <w:rsid w:val="004E530A"/>
    <w:rsid w:val="004E5D28"/>
    <w:rsid w:val="004E5E5E"/>
    <w:rsid w:val="004E6223"/>
    <w:rsid w:val="004E6D32"/>
    <w:rsid w:val="004E7FE1"/>
    <w:rsid w:val="004F0864"/>
    <w:rsid w:val="004F7F98"/>
    <w:rsid w:val="00501F68"/>
    <w:rsid w:val="005024C0"/>
    <w:rsid w:val="005045EC"/>
    <w:rsid w:val="00505911"/>
    <w:rsid w:val="00507472"/>
    <w:rsid w:val="005076C4"/>
    <w:rsid w:val="00507FE8"/>
    <w:rsid w:val="00510AE1"/>
    <w:rsid w:val="00511A16"/>
    <w:rsid w:val="00511D7D"/>
    <w:rsid w:val="005131BC"/>
    <w:rsid w:val="00515B76"/>
    <w:rsid w:val="00515F8E"/>
    <w:rsid w:val="005166A6"/>
    <w:rsid w:val="00516E22"/>
    <w:rsid w:val="005202E1"/>
    <w:rsid w:val="00521B4A"/>
    <w:rsid w:val="005227B7"/>
    <w:rsid w:val="00522995"/>
    <w:rsid w:val="00523842"/>
    <w:rsid w:val="00523E48"/>
    <w:rsid w:val="00524B71"/>
    <w:rsid w:val="00526AB6"/>
    <w:rsid w:val="00526F54"/>
    <w:rsid w:val="00526F84"/>
    <w:rsid w:val="005278E5"/>
    <w:rsid w:val="00530BF3"/>
    <w:rsid w:val="00532915"/>
    <w:rsid w:val="00534755"/>
    <w:rsid w:val="0053520C"/>
    <w:rsid w:val="0053784C"/>
    <w:rsid w:val="00537ACD"/>
    <w:rsid w:val="00540900"/>
    <w:rsid w:val="00542BFC"/>
    <w:rsid w:val="00542F9B"/>
    <w:rsid w:val="00543E9B"/>
    <w:rsid w:val="00544FB3"/>
    <w:rsid w:val="005467E1"/>
    <w:rsid w:val="00547CBC"/>
    <w:rsid w:val="0055032C"/>
    <w:rsid w:val="005509E0"/>
    <w:rsid w:val="0055207D"/>
    <w:rsid w:val="0055411A"/>
    <w:rsid w:val="00554B4A"/>
    <w:rsid w:val="00556D05"/>
    <w:rsid w:val="00557745"/>
    <w:rsid w:val="00557CF1"/>
    <w:rsid w:val="00560474"/>
    <w:rsid w:val="00560B12"/>
    <w:rsid w:val="005610A1"/>
    <w:rsid w:val="0056122D"/>
    <w:rsid w:val="005627AB"/>
    <w:rsid w:val="00563C9D"/>
    <w:rsid w:val="0056475C"/>
    <w:rsid w:val="0056520A"/>
    <w:rsid w:val="00566D43"/>
    <w:rsid w:val="00570126"/>
    <w:rsid w:val="00571409"/>
    <w:rsid w:val="00571F0C"/>
    <w:rsid w:val="00573540"/>
    <w:rsid w:val="00573F37"/>
    <w:rsid w:val="0057464C"/>
    <w:rsid w:val="00575C4F"/>
    <w:rsid w:val="00576034"/>
    <w:rsid w:val="00576E1E"/>
    <w:rsid w:val="0058195C"/>
    <w:rsid w:val="00581C0B"/>
    <w:rsid w:val="00581E6B"/>
    <w:rsid w:val="00585E1E"/>
    <w:rsid w:val="00586D87"/>
    <w:rsid w:val="005910C2"/>
    <w:rsid w:val="005920A8"/>
    <w:rsid w:val="00592F9F"/>
    <w:rsid w:val="00593753"/>
    <w:rsid w:val="005953C4"/>
    <w:rsid w:val="00597FE8"/>
    <w:rsid w:val="005A0A0F"/>
    <w:rsid w:val="005A336F"/>
    <w:rsid w:val="005A7007"/>
    <w:rsid w:val="005A7D76"/>
    <w:rsid w:val="005B0874"/>
    <w:rsid w:val="005B25A6"/>
    <w:rsid w:val="005B34BE"/>
    <w:rsid w:val="005B4796"/>
    <w:rsid w:val="005C08C1"/>
    <w:rsid w:val="005C2B8E"/>
    <w:rsid w:val="005C31A0"/>
    <w:rsid w:val="005C47CE"/>
    <w:rsid w:val="005C4A09"/>
    <w:rsid w:val="005C5066"/>
    <w:rsid w:val="005C5DC0"/>
    <w:rsid w:val="005C5E6C"/>
    <w:rsid w:val="005C6436"/>
    <w:rsid w:val="005C701F"/>
    <w:rsid w:val="005C745E"/>
    <w:rsid w:val="005C7943"/>
    <w:rsid w:val="005D20BB"/>
    <w:rsid w:val="005D20BE"/>
    <w:rsid w:val="005D2989"/>
    <w:rsid w:val="005D2A35"/>
    <w:rsid w:val="005D2D01"/>
    <w:rsid w:val="005D3D9D"/>
    <w:rsid w:val="005D4D29"/>
    <w:rsid w:val="005D5DB7"/>
    <w:rsid w:val="005D7627"/>
    <w:rsid w:val="005D787B"/>
    <w:rsid w:val="005E07A1"/>
    <w:rsid w:val="005E1C17"/>
    <w:rsid w:val="005E1C18"/>
    <w:rsid w:val="005E2D7A"/>
    <w:rsid w:val="005E4D84"/>
    <w:rsid w:val="005E536F"/>
    <w:rsid w:val="005E565B"/>
    <w:rsid w:val="005E75EE"/>
    <w:rsid w:val="005F1316"/>
    <w:rsid w:val="005F225E"/>
    <w:rsid w:val="005F40F8"/>
    <w:rsid w:val="005F6470"/>
    <w:rsid w:val="005F6FFE"/>
    <w:rsid w:val="005F71A4"/>
    <w:rsid w:val="005F766B"/>
    <w:rsid w:val="00600D9E"/>
    <w:rsid w:val="00601143"/>
    <w:rsid w:val="00601FC0"/>
    <w:rsid w:val="00602E62"/>
    <w:rsid w:val="0060433F"/>
    <w:rsid w:val="0060507C"/>
    <w:rsid w:val="00605186"/>
    <w:rsid w:val="006056F3"/>
    <w:rsid w:val="00605CD7"/>
    <w:rsid w:val="006069A8"/>
    <w:rsid w:val="006069B1"/>
    <w:rsid w:val="00612FE6"/>
    <w:rsid w:val="00613216"/>
    <w:rsid w:val="00614E92"/>
    <w:rsid w:val="00615E59"/>
    <w:rsid w:val="00617D0B"/>
    <w:rsid w:val="0062174E"/>
    <w:rsid w:val="00622326"/>
    <w:rsid w:val="00622F70"/>
    <w:rsid w:val="00623047"/>
    <w:rsid w:val="00625B7E"/>
    <w:rsid w:val="00626246"/>
    <w:rsid w:val="00627BA2"/>
    <w:rsid w:val="00631072"/>
    <w:rsid w:val="006317BB"/>
    <w:rsid w:val="006323AE"/>
    <w:rsid w:val="00634C79"/>
    <w:rsid w:val="00634CDF"/>
    <w:rsid w:val="00635428"/>
    <w:rsid w:val="006355D8"/>
    <w:rsid w:val="00635F3F"/>
    <w:rsid w:val="006361BA"/>
    <w:rsid w:val="00636704"/>
    <w:rsid w:val="0064058D"/>
    <w:rsid w:val="006408E6"/>
    <w:rsid w:val="00642181"/>
    <w:rsid w:val="006427F2"/>
    <w:rsid w:val="00642E85"/>
    <w:rsid w:val="00647122"/>
    <w:rsid w:val="006476A6"/>
    <w:rsid w:val="00647F5A"/>
    <w:rsid w:val="0065091F"/>
    <w:rsid w:val="00650FC2"/>
    <w:rsid w:val="0065333F"/>
    <w:rsid w:val="00653B84"/>
    <w:rsid w:val="00653DAA"/>
    <w:rsid w:val="006558BE"/>
    <w:rsid w:val="00656EC4"/>
    <w:rsid w:val="00657CCD"/>
    <w:rsid w:val="006603EF"/>
    <w:rsid w:val="006603FF"/>
    <w:rsid w:val="0066216E"/>
    <w:rsid w:val="00662973"/>
    <w:rsid w:val="00662AB5"/>
    <w:rsid w:val="00662C1E"/>
    <w:rsid w:val="006634CC"/>
    <w:rsid w:val="006649EE"/>
    <w:rsid w:val="006679F4"/>
    <w:rsid w:val="00667DDD"/>
    <w:rsid w:val="006700F3"/>
    <w:rsid w:val="00673025"/>
    <w:rsid w:val="00673222"/>
    <w:rsid w:val="00673A52"/>
    <w:rsid w:val="00674235"/>
    <w:rsid w:val="00674904"/>
    <w:rsid w:val="00676544"/>
    <w:rsid w:val="0068048E"/>
    <w:rsid w:val="00680A04"/>
    <w:rsid w:val="00681589"/>
    <w:rsid w:val="006826AD"/>
    <w:rsid w:val="00682899"/>
    <w:rsid w:val="00682B7D"/>
    <w:rsid w:val="00683ACA"/>
    <w:rsid w:val="006874A6"/>
    <w:rsid w:val="0068786C"/>
    <w:rsid w:val="006913EC"/>
    <w:rsid w:val="006914A3"/>
    <w:rsid w:val="00691722"/>
    <w:rsid w:val="006A003A"/>
    <w:rsid w:val="006A02EA"/>
    <w:rsid w:val="006A25A0"/>
    <w:rsid w:val="006A2E85"/>
    <w:rsid w:val="006A2EC2"/>
    <w:rsid w:val="006A3785"/>
    <w:rsid w:val="006A4A6B"/>
    <w:rsid w:val="006A5B0F"/>
    <w:rsid w:val="006A5DA3"/>
    <w:rsid w:val="006A6946"/>
    <w:rsid w:val="006B0802"/>
    <w:rsid w:val="006B45F0"/>
    <w:rsid w:val="006B715F"/>
    <w:rsid w:val="006C08BB"/>
    <w:rsid w:val="006C127C"/>
    <w:rsid w:val="006C2A10"/>
    <w:rsid w:val="006C32DF"/>
    <w:rsid w:val="006C3848"/>
    <w:rsid w:val="006C3B7D"/>
    <w:rsid w:val="006C5AD9"/>
    <w:rsid w:val="006C6C81"/>
    <w:rsid w:val="006D022E"/>
    <w:rsid w:val="006D1464"/>
    <w:rsid w:val="006D1E09"/>
    <w:rsid w:val="006D6737"/>
    <w:rsid w:val="006D7B1F"/>
    <w:rsid w:val="006D7D83"/>
    <w:rsid w:val="006E0088"/>
    <w:rsid w:val="006E0E1C"/>
    <w:rsid w:val="006E1D44"/>
    <w:rsid w:val="006E266A"/>
    <w:rsid w:val="006E28B0"/>
    <w:rsid w:val="006E2EC5"/>
    <w:rsid w:val="006E3A4C"/>
    <w:rsid w:val="006E3EC4"/>
    <w:rsid w:val="006E43C2"/>
    <w:rsid w:val="006E5486"/>
    <w:rsid w:val="006E6333"/>
    <w:rsid w:val="006F1E3D"/>
    <w:rsid w:val="006F33EA"/>
    <w:rsid w:val="006F4C19"/>
    <w:rsid w:val="006F4E0D"/>
    <w:rsid w:val="006F5057"/>
    <w:rsid w:val="006F569D"/>
    <w:rsid w:val="006F5747"/>
    <w:rsid w:val="006F746C"/>
    <w:rsid w:val="006F7E36"/>
    <w:rsid w:val="007006C5"/>
    <w:rsid w:val="00700DD6"/>
    <w:rsid w:val="00701064"/>
    <w:rsid w:val="007024E3"/>
    <w:rsid w:val="00705C98"/>
    <w:rsid w:val="00706425"/>
    <w:rsid w:val="007067F1"/>
    <w:rsid w:val="00710D3E"/>
    <w:rsid w:val="007118F9"/>
    <w:rsid w:val="00712045"/>
    <w:rsid w:val="00714364"/>
    <w:rsid w:val="00715761"/>
    <w:rsid w:val="00715DFF"/>
    <w:rsid w:val="0071682B"/>
    <w:rsid w:val="00717165"/>
    <w:rsid w:val="00717951"/>
    <w:rsid w:val="007200AA"/>
    <w:rsid w:val="00721D42"/>
    <w:rsid w:val="007223EE"/>
    <w:rsid w:val="00722562"/>
    <w:rsid w:val="00722611"/>
    <w:rsid w:val="00722BFA"/>
    <w:rsid w:val="00723C74"/>
    <w:rsid w:val="00726270"/>
    <w:rsid w:val="00726DBB"/>
    <w:rsid w:val="007324F1"/>
    <w:rsid w:val="007343FF"/>
    <w:rsid w:val="007354E6"/>
    <w:rsid w:val="007358AE"/>
    <w:rsid w:val="00736591"/>
    <w:rsid w:val="00740896"/>
    <w:rsid w:val="00740C7A"/>
    <w:rsid w:val="00742092"/>
    <w:rsid w:val="007426B6"/>
    <w:rsid w:val="007426EF"/>
    <w:rsid w:val="00742DB3"/>
    <w:rsid w:val="00746880"/>
    <w:rsid w:val="007529E9"/>
    <w:rsid w:val="00753E59"/>
    <w:rsid w:val="00754017"/>
    <w:rsid w:val="00754E3E"/>
    <w:rsid w:val="00755578"/>
    <w:rsid w:val="0075656A"/>
    <w:rsid w:val="00756820"/>
    <w:rsid w:val="00756B61"/>
    <w:rsid w:val="0076000C"/>
    <w:rsid w:val="00760E66"/>
    <w:rsid w:val="007618DD"/>
    <w:rsid w:val="00761A9A"/>
    <w:rsid w:val="007639C0"/>
    <w:rsid w:val="007654D9"/>
    <w:rsid w:val="00766E25"/>
    <w:rsid w:val="007671CF"/>
    <w:rsid w:val="00767AD0"/>
    <w:rsid w:val="00771264"/>
    <w:rsid w:val="007719DD"/>
    <w:rsid w:val="00771BF8"/>
    <w:rsid w:val="00771F51"/>
    <w:rsid w:val="00771FDB"/>
    <w:rsid w:val="0077266D"/>
    <w:rsid w:val="007757CA"/>
    <w:rsid w:val="00775DE2"/>
    <w:rsid w:val="00775FA7"/>
    <w:rsid w:val="007765DC"/>
    <w:rsid w:val="00776C36"/>
    <w:rsid w:val="007777A6"/>
    <w:rsid w:val="00780130"/>
    <w:rsid w:val="0078164B"/>
    <w:rsid w:val="007824EF"/>
    <w:rsid w:val="007833B5"/>
    <w:rsid w:val="00786220"/>
    <w:rsid w:val="0078684F"/>
    <w:rsid w:val="00786D23"/>
    <w:rsid w:val="007902DF"/>
    <w:rsid w:val="00790E6C"/>
    <w:rsid w:val="00790EB7"/>
    <w:rsid w:val="007918B1"/>
    <w:rsid w:val="007931B2"/>
    <w:rsid w:val="007956DF"/>
    <w:rsid w:val="007962D8"/>
    <w:rsid w:val="007A1C31"/>
    <w:rsid w:val="007A26C0"/>
    <w:rsid w:val="007A2D26"/>
    <w:rsid w:val="007A320D"/>
    <w:rsid w:val="007A3561"/>
    <w:rsid w:val="007A3FEE"/>
    <w:rsid w:val="007A48A2"/>
    <w:rsid w:val="007A48AA"/>
    <w:rsid w:val="007A6D96"/>
    <w:rsid w:val="007A731A"/>
    <w:rsid w:val="007A74DA"/>
    <w:rsid w:val="007B07B7"/>
    <w:rsid w:val="007B0D58"/>
    <w:rsid w:val="007B162E"/>
    <w:rsid w:val="007B170D"/>
    <w:rsid w:val="007B1BA3"/>
    <w:rsid w:val="007B1F62"/>
    <w:rsid w:val="007B2682"/>
    <w:rsid w:val="007B3385"/>
    <w:rsid w:val="007B4353"/>
    <w:rsid w:val="007B5730"/>
    <w:rsid w:val="007B6178"/>
    <w:rsid w:val="007B686D"/>
    <w:rsid w:val="007B6F5A"/>
    <w:rsid w:val="007B7D74"/>
    <w:rsid w:val="007C1FFF"/>
    <w:rsid w:val="007C2DC9"/>
    <w:rsid w:val="007C3693"/>
    <w:rsid w:val="007C5D03"/>
    <w:rsid w:val="007C62CF"/>
    <w:rsid w:val="007C6489"/>
    <w:rsid w:val="007C7670"/>
    <w:rsid w:val="007C7FF8"/>
    <w:rsid w:val="007D18F2"/>
    <w:rsid w:val="007D2B33"/>
    <w:rsid w:val="007D3AC0"/>
    <w:rsid w:val="007D47D2"/>
    <w:rsid w:val="007D4C99"/>
    <w:rsid w:val="007D679A"/>
    <w:rsid w:val="007D7BA2"/>
    <w:rsid w:val="007E2B42"/>
    <w:rsid w:val="007E3BB9"/>
    <w:rsid w:val="007E4E59"/>
    <w:rsid w:val="007E51A1"/>
    <w:rsid w:val="007E60E9"/>
    <w:rsid w:val="007E7483"/>
    <w:rsid w:val="007F0138"/>
    <w:rsid w:val="007F54D7"/>
    <w:rsid w:val="007F61DA"/>
    <w:rsid w:val="007F626B"/>
    <w:rsid w:val="007F6401"/>
    <w:rsid w:val="007F6CBD"/>
    <w:rsid w:val="007F73E8"/>
    <w:rsid w:val="00802388"/>
    <w:rsid w:val="00802AA6"/>
    <w:rsid w:val="00804112"/>
    <w:rsid w:val="00805BA2"/>
    <w:rsid w:val="00805F14"/>
    <w:rsid w:val="008060BE"/>
    <w:rsid w:val="00806ECB"/>
    <w:rsid w:val="0081149B"/>
    <w:rsid w:val="00811F6F"/>
    <w:rsid w:val="008124E1"/>
    <w:rsid w:val="0081285A"/>
    <w:rsid w:val="008139B6"/>
    <w:rsid w:val="00813F74"/>
    <w:rsid w:val="00814961"/>
    <w:rsid w:val="00814B4C"/>
    <w:rsid w:val="0081520E"/>
    <w:rsid w:val="00824B0E"/>
    <w:rsid w:val="00825549"/>
    <w:rsid w:val="00826AFD"/>
    <w:rsid w:val="0083016C"/>
    <w:rsid w:val="00830E0A"/>
    <w:rsid w:val="008326EC"/>
    <w:rsid w:val="00833326"/>
    <w:rsid w:val="00833A6A"/>
    <w:rsid w:val="00833DAC"/>
    <w:rsid w:val="00836F3B"/>
    <w:rsid w:val="00840C8B"/>
    <w:rsid w:val="00841523"/>
    <w:rsid w:val="008419C9"/>
    <w:rsid w:val="008430CB"/>
    <w:rsid w:val="008442A8"/>
    <w:rsid w:val="00844C64"/>
    <w:rsid w:val="00846384"/>
    <w:rsid w:val="008465DD"/>
    <w:rsid w:val="00852168"/>
    <w:rsid w:val="00853100"/>
    <w:rsid w:val="008559AA"/>
    <w:rsid w:val="008561A5"/>
    <w:rsid w:val="008574B5"/>
    <w:rsid w:val="00862435"/>
    <w:rsid w:val="008648C8"/>
    <w:rsid w:val="00864CEF"/>
    <w:rsid w:val="0086511C"/>
    <w:rsid w:val="0086523C"/>
    <w:rsid w:val="00865800"/>
    <w:rsid w:val="00866510"/>
    <w:rsid w:val="00866992"/>
    <w:rsid w:val="00866B09"/>
    <w:rsid w:val="00871804"/>
    <w:rsid w:val="00873426"/>
    <w:rsid w:val="0087375F"/>
    <w:rsid w:val="00873F31"/>
    <w:rsid w:val="0087645A"/>
    <w:rsid w:val="008776AA"/>
    <w:rsid w:val="008805FC"/>
    <w:rsid w:val="0088069B"/>
    <w:rsid w:val="00881E76"/>
    <w:rsid w:val="00882F1A"/>
    <w:rsid w:val="00884037"/>
    <w:rsid w:val="00884E41"/>
    <w:rsid w:val="00885733"/>
    <w:rsid w:val="00885E81"/>
    <w:rsid w:val="00890466"/>
    <w:rsid w:val="0089046F"/>
    <w:rsid w:val="00890A93"/>
    <w:rsid w:val="00890B5B"/>
    <w:rsid w:val="00891FD4"/>
    <w:rsid w:val="0089432C"/>
    <w:rsid w:val="008943EC"/>
    <w:rsid w:val="0089442B"/>
    <w:rsid w:val="00895724"/>
    <w:rsid w:val="008A065A"/>
    <w:rsid w:val="008A1167"/>
    <w:rsid w:val="008A1C7B"/>
    <w:rsid w:val="008A1F11"/>
    <w:rsid w:val="008A2524"/>
    <w:rsid w:val="008A2A16"/>
    <w:rsid w:val="008A5C68"/>
    <w:rsid w:val="008A5FEF"/>
    <w:rsid w:val="008A777B"/>
    <w:rsid w:val="008B11A9"/>
    <w:rsid w:val="008B3CD0"/>
    <w:rsid w:val="008B407E"/>
    <w:rsid w:val="008B7069"/>
    <w:rsid w:val="008B7224"/>
    <w:rsid w:val="008C0C1C"/>
    <w:rsid w:val="008C2277"/>
    <w:rsid w:val="008C2DE6"/>
    <w:rsid w:val="008C2EB1"/>
    <w:rsid w:val="008C4D82"/>
    <w:rsid w:val="008C50B9"/>
    <w:rsid w:val="008C58E8"/>
    <w:rsid w:val="008C6071"/>
    <w:rsid w:val="008C6168"/>
    <w:rsid w:val="008C69B4"/>
    <w:rsid w:val="008C779A"/>
    <w:rsid w:val="008D1CF1"/>
    <w:rsid w:val="008D4974"/>
    <w:rsid w:val="008D4D93"/>
    <w:rsid w:val="008D5AEB"/>
    <w:rsid w:val="008D5E00"/>
    <w:rsid w:val="008E02CF"/>
    <w:rsid w:val="008E0485"/>
    <w:rsid w:val="008E1725"/>
    <w:rsid w:val="008E1D44"/>
    <w:rsid w:val="008E1F1F"/>
    <w:rsid w:val="008E2510"/>
    <w:rsid w:val="008E36AD"/>
    <w:rsid w:val="008E5DD6"/>
    <w:rsid w:val="008E7752"/>
    <w:rsid w:val="008E776C"/>
    <w:rsid w:val="008F0924"/>
    <w:rsid w:val="008F1B84"/>
    <w:rsid w:val="008F6AEA"/>
    <w:rsid w:val="008F6DF2"/>
    <w:rsid w:val="008F7109"/>
    <w:rsid w:val="00901156"/>
    <w:rsid w:val="00905A70"/>
    <w:rsid w:val="00905D3E"/>
    <w:rsid w:val="009065C7"/>
    <w:rsid w:val="009109F9"/>
    <w:rsid w:val="00914607"/>
    <w:rsid w:val="00916008"/>
    <w:rsid w:val="00922D00"/>
    <w:rsid w:val="00922E30"/>
    <w:rsid w:val="00923794"/>
    <w:rsid w:val="00923EA2"/>
    <w:rsid w:val="00925086"/>
    <w:rsid w:val="009252FC"/>
    <w:rsid w:val="009257D4"/>
    <w:rsid w:val="009264A4"/>
    <w:rsid w:val="009273DE"/>
    <w:rsid w:val="00930113"/>
    <w:rsid w:val="00931263"/>
    <w:rsid w:val="00931721"/>
    <w:rsid w:val="0093341C"/>
    <w:rsid w:val="0093353E"/>
    <w:rsid w:val="00934CDB"/>
    <w:rsid w:val="00934D6E"/>
    <w:rsid w:val="00936A12"/>
    <w:rsid w:val="00941067"/>
    <w:rsid w:val="009419F1"/>
    <w:rsid w:val="0094555B"/>
    <w:rsid w:val="009478A6"/>
    <w:rsid w:val="00950417"/>
    <w:rsid w:val="009521B5"/>
    <w:rsid w:val="00953FEF"/>
    <w:rsid w:val="0095463C"/>
    <w:rsid w:val="00955946"/>
    <w:rsid w:val="0095626D"/>
    <w:rsid w:val="009602DD"/>
    <w:rsid w:val="00962740"/>
    <w:rsid w:val="0096357E"/>
    <w:rsid w:val="00963963"/>
    <w:rsid w:val="00963D6A"/>
    <w:rsid w:val="00964501"/>
    <w:rsid w:val="009648F3"/>
    <w:rsid w:val="009703CA"/>
    <w:rsid w:val="009706F7"/>
    <w:rsid w:val="00970794"/>
    <w:rsid w:val="00971777"/>
    <w:rsid w:val="00972A95"/>
    <w:rsid w:val="0097368E"/>
    <w:rsid w:val="00974FC5"/>
    <w:rsid w:val="00975639"/>
    <w:rsid w:val="00980B88"/>
    <w:rsid w:val="00981CF3"/>
    <w:rsid w:val="00983479"/>
    <w:rsid w:val="009846A5"/>
    <w:rsid w:val="00985484"/>
    <w:rsid w:val="00993426"/>
    <w:rsid w:val="00993634"/>
    <w:rsid w:val="00993781"/>
    <w:rsid w:val="00993953"/>
    <w:rsid w:val="00993F24"/>
    <w:rsid w:val="00994452"/>
    <w:rsid w:val="009953B1"/>
    <w:rsid w:val="009966DE"/>
    <w:rsid w:val="00996FA2"/>
    <w:rsid w:val="009971EC"/>
    <w:rsid w:val="009A0E3C"/>
    <w:rsid w:val="009A11BE"/>
    <w:rsid w:val="009A225B"/>
    <w:rsid w:val="009A3877"/>
    <w:rsid w:val="009A54B7"/>
    <w:rsid w:val="009A5D67"/>
    <w:rsid w:val="009A5DAB"/>
    <w:rsid w:val="009A660D"/>
    <w:rsid w:val="009A79B6"/>
    <w:rsid w:val="009B0380"/>
    <w:rsid w:val="009B19D5"/>
    <w:rsid w:val="009B1E47"/>
    <w:rsid w:val="009B25B3"/>
    <w:rsid w:val="009B327A"/>
    <w:rsid w:val="009B4DD7"/>
    <w:rsid w:val="009B5959"/>
    <w:rsid w:val="009B5EF8"/>
    <w:rsid w:val="009B6D38"/>
    <w:rsid w:val="009B79CF"/>
    <w:rsid w:val="009C07BB"/>
    <w:rsid w:val="009C43B8"/>
    <w:rsid w:val="009C6DA1"/>
    <w:rsid w:val="009C7376"/>
    <w:rsid w:val="009C7907"/>
    <w:rsid w:val="009D0E38"/>
    <w:rsid w:val="009D11DF"/>
    <w:rsid w:val="009D1351"/>
    <w:rsid w:val="009D166A"/>
    <w:rsid w:val="009D1AAC"/>
    <w:rsid w:val="009D2067"/>
    <w:rsid w:val="009D2983"/>
    <w:rsid w:val="009D2B4F"/>
    <w:rsid w:val="009D33E2"/>
    <w:rsid w:val="009D3C82"/>
    <w:rsid w:val="009D6AE9"/>
    <w:rsid w:val="009E06AE"/>
    <w:rsid w:val="009E2BED"/>
    <w:rsid w:val="009E506E"/>
    <w:rsid w:val="009E657F"/>
    <w:rsid w:val="009F0C55"/>
    <w:rsid w:val="009F233F"/>
    <w:rsid w:val="009F257B"/>
    <w:rsid w:val="009F5907"/>
    <w:rsid w:val="009F7065"/>
    <w:rsid w:val="009F71FD"/>
    <w:rsid w:val="00A00316"/>
    <w:rsid w:val="00A00345"/>
    <w:rsid w:val="00A00631"/>
    <w:rsid w:val="00A02B54"/>
    <w:rsid w:val="00A03BAD"/>
    <w:rsid w:val="00A04291"/>
    <w:rsid w:val="00A0449C"/>
    <w:rsid w:val="00A06F63"/>
    <w:rsid w:val="00A0730C"/>
    <w:rsid w:val="00A109BC"/>
    <w:rsid w:val="00A12E33"/>
    <w:rsid w:val="00A16F42"/>
    <w:rsid w:val="00A2062E"/>
    <w:rsid w:val="00A2351B"/>
    <w:rsid w:val="00A23D1E"/>
    <w:rsid w:val="00A24FE5"/>
    <w:rsid w:val="00A25777"/>
    <w:rsid w:val="00A25DE1"/>
    <w:rsid w:val="00A26317"/>
    <w:rsid w:val="00A26E0E"/>
    <w:rsid w:val="00A27210"/>
    <w:rsid w:val="00A30ADE"/>
    <w:rsid w:val="00A30DD5"/>
    <w:rsid w:val="00A311C3"/>
    <w:rsid w:val="00A35651"/>
    <w:rsid w:val="00A370FE"/>
    <w:rsid w:val="00A377C7"/>
    <w:rsid w:val="00A37890"/>
    <w:rsid w:val="00A40173"/>
    <w:rsid w:val="00A41CE6"/>
    <w:rsid w:val="00A43FFE"/>
    <w:rsid w:val="00A44244"/>
    <w:rsid w:val="00A44A0D"/>
    <w:rsid w:val="00A44F0C"/>
    <w:rsid w:val="00A46069"/>
    <w:rsid w:val="00A46AC0"/>
    <w:rsid w:val="00A46FA8"/>
    <w:rsid w:val="00A47BD5"/>
    <w:rsid w:val="00A508E9"/>
    <w:rsid w:val="00A50EAC"/>
    <w:rsid w:val="00A51E5C"/>
    <w:rsid w:val="00A52555"/>
    <w:rsid w:val="00A52857"/>
    <w:rsid w:val="00A53869"/>
    <w:rsid w:val="00A54D7C"/>
    <w:rsid w:val="00A618FA"/>
    <w:rsid w:val="00A62132"/>
    <w:rsid w:val="00A6244D"/>
    <w:rsid w:val="00A62E1C"/>
    <w:rsid w:val="00A63E57"/>
    <w:rsid w:val="00A64ADD"/>
    <w:rsid w:val="00A652FF"/>
    <w:rsid w:val="00A678BB"/>
    <w:rsid w:val="00A703EE"/>
    <w:rsid w:val="00A72A0F"/>
    <w:rsid w:val="00A75063"/>
    <w:rsid w:val="00A75FF8"/>
    <w:rsid w:val="00A761AC"/>
    <w:rsid w:val="00A76925"/>
    <w:rsid w:val="00A76A7B"/>
    <w:rsid w:val="00A80CC8"/>
    <w:rsid w:val="00A81DFE"/>
    <w:rsid w:val="00A8224F"/>
    <w:rsid w:val="00A84326"/>
    <w:rsid w:val="00A8637B"/>
    <w:rsid w:val="00A87B74"/>
    <w:rsid w:val="00A92152"/>
    <w:rsid w:val="00A939EC"/>
    <w:rsid w:val="00A9424A"/>
    <w:rsid w:val="00A9485B"/>
    <w:rsid w:val="00A96D66"/>
    <w:rsid w:val="00A97E82"/>
    <w:rsid w:val="00AA0052"/>
    <w:rsid w:val="00AA0F10"/>
    <w:rsid w:val="00AA0FC7"/>
    <w:rsid w:val="00AA1BDF"/>
    <w:rsid w:val="00AA325E"/>
    <w:rsid w:val="00AA3343"/>
    <w:rsid w:val="00AA4EF8"/>
    <w:rsid w:val="00AA55B7"/>
    <w:rsid w:val="00AA61B3"/>
    <w:rsid w:val="00AA64BC"/>
    <w:rsid w:val="00AA7572"/>
    <w:rsid w:val="00AA777B"/>
    <w:rsid w:val="00AB037F"/>
    <w:rsid w:val="00AB21D1"/>
    <w:rsid w:val="00AB3FE8"/>
    <w:rsid w:val="00AB5563"/>
    <w:rsid w:val="00AB5868"/>
    <w:rsid w:val="00AB5B98"/>
    <w:rsid w:val="00AB654E"/>
    <w:rsid w:val="00AB6FBF"/>
    <w:rsid w:val="00AC0E3E"/>
    <w:rsid w:val="00AC1333"/>
    <w:rsid w:val="00AC1952"/>
    <w:rsid w:val="00AC1B93"/>
    <w:rsid w:val="00AC1EA0"/>
    <w:rsid w:val="00AC30DE"/>
    <w:rsid w:val="00AC644B"/>
    <w:rsid w:val="00AC786C"/>
    <w:rsid w:val="00AD0864"/>
    <w:rsid w:val="00AD0C37"/>
    <w:rsid w:val="00AD1574"/>
    <w:rsid w:val="00AD4B2B"/>
    <w:rsid w:val="00AD4D79"/>
    <w:rsid w:val="00AD6BB5"/>
    <w:rsid w:val="00AD6EB2"/>
    <w:rsid w:val="00AE1136"/>
    <w:rsid w:val="00AE1239"/>
    <w:rsid w:val="00AE12AE"/>
    <w:rsid w:val="00AE2C47"/>
    <w:rsid w:val="00AE3070"/>
    <w:rsid w:val="00AE58B2"/>
    <w:rsid w:val="00AE5F39"/>
    <w:rsid w:val="00AE7E77"/>
    <w:rsid w:val="00AF042D"/>
    <w:rsid w:val="00AF1DD5"/>
    <w:rsid w:val="00AF232E"/>
    <w:rsid w:val="00AF4144"/>
    <w:rsid w:val="00AF45EA"/>
    <w:rsid w:val="00AF4EC4"/>
    <w:rsid w:val="00AF6898"/>
    <w:rsid w:val="00AF7D2D"/>
    <w:rsid w:val="00B00C99"/>
    <w:rsid w:val="00B01EC6"/>
    <w:rsid w:val="00B06533"/>
    <w:rsid w:val="00B076E6"/>
    <w:rsid w:val="00B1031D"/>
    <w:rsid w:val="00B108B3"/>
    <w:rsid w:val="00B12668"/>
    <w:rsid w:val="00B12B45"/>
    <w:rsid w:val="00B1357F"/>
    <w:rsid w:val="00B14932"/>
    <w:rsid w:val="00B15A64"/>
    <w:rsid w:val="00B164BF"/>
    <w:rsid w:val="00B16D2D"/>
    <w:rsid w:val="00B17A23"/>
    <w:rsid w:val="00B17E44"/>
    <w:rsid w:val="00B2034A"/>
    <w:rsid w:val="00B2051F"/>
    <w:rsid w:val="00B21F63"/>
    <w:rsid w:val="00B22069"/>
    <w:rsid w:val="00B227AE"/>
    <w:rsid w:val="00B22D52"/>
    <w:rsid w:val="00B22E89"/>
    <w:rsid w:val="00B23A35"/>
    <w:rsid w:val="00B24656"/>
    <w:rsid w:val="00B24992"/>
    <w:rsid w:val="00B254FE"/>
    <w:rsid w:val="00B26295"/>
    <w:rsid w:val="00B27241"/>
    <w:rsid w:val="00B27927"/>
    <w:rsid w:val="00B31E1E"/>
    <w:rsid w:val="00B31ED4"/>
    <w:rsid w:val="00B31FE7"/>
    <w:rsid w:val="00B33C4D"/>
    <w:rsid w:val="00B35134"/>
    <w:rsid w:val="00B36D4E"/>
    <w:rsid w:val="00B40B01"/>
    <w:rsid w:val="00B41E7B"/>
    <w:rsid w:val="00B42A29"/>
    <w:rsid w:val="00B431C0"/>
    <w:rsid w:val="00B435F8"/>
    <w:rsid w:val="00B439B8"/>
    <w:rsid w:val="00B4570B"/>
    <w:rsid w:val="00B45E5B"/>
    <w:rsid w:val="00B5073B"/>
    <w:rsid w:val="00B50826"/>
    <w:rsid w:val="00B50884"/>
    <w:rsid w:val="00B516EB"/>
    <w:rsid w:val="00B53A91"/>
    <w:rsid w:val="00B53F0F"/>
    <w:rsid w:val="00B54A33"/>
    <w:rsid w:val="00B54FC3"/>
    <w:rsid w:val="00B550D1"/>
    <w:rsid w:val="00B5559A"/>
    <w:rsid w:val="00B5772A"/>
    <w:rsid w:val="00B57D1C"/>
    <w:rsid w:val="00B603E2"/>
    <w:rsid w:val="00B632D7"/>
    <w:rsid w:val="00B650A5"/>
    <w:rsid w:val="00B65DC8"/>
    <w:rsid w:val="00B7074C"/>
    <w:rsid w:val="00B708DA"/>
    <w:rsid w:val="00B71ABD"/>
    <w:rsid w:val="00B73A0B"/>
    <w:rsid w:val="00B75363"/>
    <w:rsid w:val="00B759D0"/>
    <w:rsid w:val="00B778B9"/>
    <w:rsid w:val="00B80702"/>
    <w:rsid w:val="00B8118F"/>
    <w:rsid w:val="00B829F9"/>
    <w:rsid w:val="00B82C28"/>
    <w:rsid w:val="00B82E3A"/>
    <w:rsid w:val="00B83221"/>
    <w:rsid w:val="00B83DD2"/>
    <w:rsid w:val="00B8566F"/>
    <w:rsid w:val="00B915E3"/>
    <w:rsid w:val="00B9177F"/>
    <w:rsid w:val="00B93181"/>
    <w:rsid w:val="00B93316"/>
    <w:rsid w:val="00B936E5"/>
    <w:rsid w:val="00B94524"/>
    <w:rsid w:val="00B973FC"/>
    <w:rsid w:val="00B9764A"/>
    <w:rsid w:val="00BA175C"/>
    <w:rsid w:val="00BA3577"/>
    <w:rsid w:val="00BA6117"/>
    <w:rsid w:val="00BA6418"/>
    <w:rsid w:val="00BB0537"/>
    <w:rsid w:val="00BB0676"/>
    <w:rsid w:val="00BB30CB"/>
    <w:rsid w:val="00BB3BCB"/>
    <w:rsid w:val="00BB4C7D"/>
    <w:rsid w:val="00BB4EE7"/>
    <w:rsid w:val="00BB5EE5"/>
    <w:rsid w:val="00BB60F2"/>
    <w:rsid w:val="00BB626D"/>
    <w:rsid w:val="00BB66CD"/>
    <w:rsid w:val="00BB6C89"/>
    <w:rsid w:val="00BB7D96"/>
    <w:rsid w:val="00BC1119"/>
    <w:rsid w:val="00BC2A2F"/>
    <w:rsid w:val="00BC37F1"/>
    <w:rsid w:val="00BC3804"/>
    <w:rsid w:val="00BC485F"/>
    <w:rsid w:val="00BC71AB"/>
    <w:rsid w:val="00BC7A1D"/>
    <w:rsid w:val="00BD105A"/>
    <w:rsid w:val="00BD1238"/>
    <w:rsid w:val="00BD2155"/>
    <w:rsid w:val="00BD266E"/>
    <w:rsid w:val="00BD3AE8"/>
    <w:rsid w:val="00BD4058"/>
    <w:rsid w:val="00BD4062"/>
    <w:rsid w:val="00BD5BB1"/>
    <w:rsid w:val="00BD5CA9"/>
    <w:rsid w:val="00BD60C0"/>
    <w:rsid w:val="00BE159D"/>
    <w:rsid w:val="00BE1602"/>
    <w:rsid w:val="00BE1720"/>
    <w:rsid w:val="00BE1773"/>
    <w:rsid w:val="00BE2F0C"/>
    <w:rsid w:val="00BE4C77"/>
    <w:rsid w:val="00BE4DBA"/>
    <w:rsid w:val="00BE7406"/>
    <w:rsid w:val="00BF0B2C"/>
    <w:rsid w:val="00BF2047"/>
    <w:rsid w:val="00BF354F"/>
    <w:rsid w:val="00BF3F9C"/>
    <w:rsid w:val="00BF4311"/>
    <w:rsid w:val="00BF470D"/>
    <w:rsid w:val="00BF4A71"/>
    <w:rsid w:val="00BF52CD"/>
    <w:rsid w:val="00BF57B5"/>
    <w:rsid w:val="00BF5DFE"/>
    <w:rsid w:val="00BF677C"/>
    <w:rsid w:val="00BF6CFF"/>
    <w:rsid w:val="00BF72BC"/>
    <w:rsid w:val="00BF742B"/>
    <w:rsid w:val="00BF7782"/>
    <w:rsid w:val="00BF7BFE"/>
    <w:rsid w:val="00C00881"/>
    <w:rsid w:val="00C03AD1"/>
    <w:rsid w:val="00C04B56"/>
    <w:rsid w:val="00C05685"/>
    <w:rsid w:val="00C0584B"/>
    <w:rsid w:val="00C10E17"/>
    <w:rsid w:val="00C12818"/>
    <w:rsid w:val="00C12DF3"/>
    <w:rsid w:val="00C135AD"/>
    <w:rsid w:val="00C13B7F"/>
    <w:rsid w:val="00C13D5B"/>
    <w:rsid w:val="00C14040"/>
    <w:rsid w:val="00C16C94"/>
    <w:rsid w:val="00C20F1F"/>
    <w:rsid w:val="00C21E5D"/>
    <w:rsid w:val="00C22A67"/>
    <w:rsid w:val="00C23DA5"/>
    <w:rsid w:val="00C24ECE"/>
    <w:rsid w:val="00C267BD"/>
    <w:rsid w:val="00C26C07"/>
    <w:rsid w:val="00C272A9"/>
    <w:rsid w:val="00C274D0"/>
    <w:rsid w:val="00C305F4"/>
    <w:rsid w:val="00C30F4F"/>
    <w:rsid w:val="00C319BC"/>
    <w:rsid w:val="00C3204D"/>
    <w:rsid w:val="00C33D3C"/>
    <w:rsid w:val="00C37FFC"/>
    <w:rsid w:val="00C40870"/>
    <w:rsid w:val="00C422C7"/>
    <w:rsid w:val="00C42A5A"/>
    <w:rsid w:val="00C4384E"/>
    <w:rsid w:val="00C454F7"/>
    <w:rsid w:val="00C459B3"/>
    <w:rsid w:val="00C46101"/>
    <w:rsid w:val="00C5109E"/>
    <w:rsid w:val="00C515FE"/>
    <w:rsid w:val="00C51EF5"/>
    <w:rsid w:val="00C54A71"/>
    <w:rsid w:val="00C558FB"/>
    <w:rsid w:val="00C55A3D"/>
    <w:rsid w:val="00C57E8D"/>
    <w:rsid w:val="00C63702"/>
    <w:rsid w:val="00C644DA"/>
    <w:rsid w:val="00C65276"/>
    <w:rsid w:val="00C65717"/>
    <w:rsid w:val="00C668B0"/>
    <w:rsid w:val="00C66A96"/>
    <w:rsid w:val="00C70C3C"/>
    <w:rsid w:val="00C70DFB"/>
    <w:rsid w:val="00C7115C"/>
    <w:rsid w:val="00C712F0"/>
    <w:rsid w:val="00C72A9D"/>
    <w:rsid w:val="00C746B8"/>
    <w:rsid w:val="00C753C5"/>
    <w:rsid w:val="00C756CA"/>
    <w:rsid w:val="00C759C6"/>
    <w:rsid w:val="00C8237C"/>
    <w:rsid w:val="00C85284"/>
    <w:rsid w:val="00C85741"/>
    <w:rsid w:val="00C85A96"/>
    <w:rsid w:val="00C85CE2"/>
    <w:rsid w:val="00C85EB9"/>
    <w:rsid w:val="00C85F50"/>
    <w:rsid w:val="00C863C3"/>
    <w:rsid w:val="00C869FB"/>
    <w:rsid w:val="00C8750C"/>
    <w:rsid w:val="00C87ED6"/>
    <w:rsid w:val="00C909E8"/>
    <w:rsid w:val="00C90AE0"/>
    <w:rsid w:val="00C90F3C"/>
    <w:rsid w:val="00C925CB"/>
    <w:rsid w:val="00C927B9"/>
    <w:rsid w:val="00C94D30"/>
    <w:rsid w:val="00C957B1"/>
    <w:rsid w:val="00C95DCA"/>
    <w:rsid w:val="00C966EF"/>
    <w:rsid w:val="00CA00BF"/>
    <w:rsid w:val="00CA0DF5"/>
    <w:rsid w:val="00CA133B"/>
    <w:rsid w:val="00CA181B"/>
    <w:rsid w:val="00CA2A9B"/>
    <w:rsid w:val="00CA2C90"/>
    <w:rsid w:val="00CA2CEF"/>
    <w:rsid w:val="00CA2E1A"/>
    <w:rsid w:val="00CA2ED1"/>
    <w:rsid w:val="00CA3241"/>
    <w:rsid w:val="00CA352B"/>
    <w:rsid w:val="00CA49A7"/>
    <w:rsid w:val="00CA55C6"/>
    <w:rsid w:val="00CA6003"/>
    <w:rsid w:val="00CB0F10"/>
    <w:rsid w:val="00CB1AE7"/>
    <w:rsid w:val="00CB383D"/>
    <w:rsid w:val="00CB3B56"/>
    <w:rsid w:val="00CB4C2E"/>
    <w:rsid w:val="00CC3A70"/>
    <w:rsid w:val="00CC41D7"/>
    <w:rsid w:val="00CC483C"/>
    <w:rsid w:val="00CD04E8"/>
    <w:rsid w:val="00CD0733"/>
    <w:rsid w:val="00CD2E32"/>
    <w:rsid w:val="00CD38FD"/>
    <w:rsid w:val="00CD3D57"/>
    <w:rsid w:val="00CD4553"/>
    <w:rsid w:val="00CD480C"/>
    <w:rsid w:val="00CD6BC5"/>
    <w:rsid w:val="00CD7665"/>
    <w:rsid w:val="00CE2182"/>
    <w:rsid w:val="00CE237A"/>
    <w:rsid w:val="00CE3A5B"/>
    <w:rsid w:val="00CE7124"/>
    <w:rsid w:val="00CF277C"/>
    <w:rsid w:val="00CF27E9"/>
    <w:rsid w:val="00CF315E"/>
    <w:rsid w:val="00CF34E7"/>
    <w:rsid w:val="00CF40AE"/>
    <w:rsid w:val="00CF4DE7"/>
    <w:rsid w:val="00CF5F9C"/>
    <w:rsid w:val="00D0041D"/>
    <w:rsid w:val="00D018E6"/>
    <w:rsid w:val="00D040D9"/>
    <w:rsid w:val="00D06F7D"/>
    <w:rsid w:val="00D1104D"/>
    <w:rsid w:val="00D11D75"/>
    <w:rsid w:val="00D130EF"/>
    <w:rsid w:val="00D134E8"/>
    <w:rsid w:val="00D14449"/>
    <w:rsid w:val="00D2200D"/>
    <w:rsid w:val="00D24804"/>
    <w:rsid w:val="00D24C0D"/>
    <w:rsid w:val="00D274E3"/>
    <w:rsid w:val="00D301EF"/>
    <w:rsid w:val="00D30723"/>
    <w:rsid w:val="00D31574"/>
    <w:rsid w:val="00D31657"/>
    <w:rsid w:val="00D32179"/>
    <w:rsid w:val="00D342EE"/>
    <w:rsid w:val="00D343FE"/>
    <w:rsid w:val="00D354F9"/>
    <w:rsid w:val="00D35535"/>
    <w:rsid w:val="00D35628"/>
    <w:rsid w:val="00D36396"/>
    <w:rsid w:val="00D366E4"/>
    <w:rsid w:val="00D43467"/>
    <w:rsid w:val="00D44087"/>
    <w:rsid w:val="00D44730"/>
    <w:rsid w:val="00D44AC8"/>
    <w:rsid w:val="00D45AE3"/>
    <w:rsid w:val="00D46E06"/>
    <w:rsid w:val="00D46E43"/>
    <w:rsid w:val="00D51FCD"/>
    <w:rsid w:val="00D53E3D"/>
    <w:rsid w:val="00D543D3"/>
    <w:rsid w:val="00D56767"/>
    <w:rsid w:val="00D60B0A"/>
    <w:rsid w:val="00D664BA"/>
    <w:rsid w:val="00D6691B"/>
    <w:rsid w:val="00D66ADA"/>
    <w:rsid w:val="00D67140"/>
    <w:rsid w:val="00D70F9B"/>
    <w:rsid w:val="00D73D55"/>
    <w:rsid w:val="00D74FCF"/>
    <w:rsid w:val="00D76F10"/>
    <w:rsid w:val="00D774F9"/>
    <w:rsid w:val="00D777FD"/>
    <w:rsid w:val="00D77BEF"/>
    <w:rsid w:val="00D8245F"/>
    <w:rsid w:val="00D83BF4"/>
    <w:rsid w:val="00D84C3D"/>
    <w:rsid w:val="00D86317"/>
    <w:rsid w:val="00D8642C"/>
    <w:rsid w:val="00D8739E"/>
    <w:rsid w:val="00D92FF5"/>
    <w:rsid w:val="00D9318D"/>
    <w:rsid w:val="00D97671"/>
    <w:rsid w:val="00DA0B1B"/>
    <w:rsid w:val="00DA1B2B"/>
    <w:rsid w:val="00DA396C"/>
    <w:rsid w:val="00DA4713"/>
    <w:rsid w:val="00DA485A"/>
    <w:rsid w:val="00DA5158"/>
    <w:rsid w:val="00DA6753"/>
    <w:rsid w:val="00DA6B46"/>
    <w:rsid w:val="00DB0377"/>
    <w:rsid w:val="00DB0E77"/>
    <w:rsid w:val="00DB128F"/>
    <w:rsid w:val="00DB1EFB"/>
    <w:rsid w:val="00DB2EFE"/>
    <w:rsid w:val="00DB3FE4"/>
    <w:rsid w:val="00DB6C1C"/>
    <w:rsid w:val="00DB7A2E"/>
    <w:rsid w:val="00DC0E79"/>
    <w:rsid w:val="00DC0F02"/>
    <w:rsid w:val="00DC3C6E"/>
    <w:rsid w:val="00DC4CCF"/>
    <w:rsid w:val="00DC5C18"/>
    <w:rsid w:val="00DC7229"/>
    <w:rsid w:val="00DC76B1"/>
    <w:rsid w:val="00DD0C79"/>
    <w:rsid w:val="00DD2865"/>
    <w:rsid w:val="00DD3583"/>
    <w:rsid w:val="00DD3C17"/>
    <w:rsid w:val="00DD496E"/>
    <w:rsid w:val="00DD6448"/>
    <w:rsid w:val="00DD6609"/>
    <w:rsid w:val="00DD763B"/>
    <w:rsid w:val="00DE0045"/>
    <w:rsid w:val="00DE051A"/>
    <w:rsid w:val="00DE0C17"/>
    <w:rsid w:val="00DE0E3C"/>
    <w:rsid w:val="00DE3017"/>
    <w:rsid w:val="00DE51E9"/>
    <w:rsid w:val="00DE6CF9"/>
    <w:rsid w:val="00DE6EE9"/>
    <w:rsid w:val="00DE6F32"/>
    <w:rsid w:val="00DE7119"/>
    <w:rsid w:val="00DE7D46"/>
    <w:rsid w:val="00DF1622"/>
    <w:rsid w:val="00DF37E5"/>
    <w:rsid w:val="00DF3BC2"/>
    <w:rsid w:val="00DF3EBB"/>
    <w:rsid w:val="00DF5803"/>
    <w:rsid w:val="00DF6886"/>
    <w:rsid w:val="00DF71EF"/>
    <w:rsid w:val="00E0031A"/>
    <w:rsid w:val="00E00780"/>
    <w:rsid w:val="00E00D40"/>
    <w:rsid w:val="00E013F7"/>
    <w:rsid w:val="00E05659"/>
    <w:rsid w:val="00E06F34"/>
    <w:rsid w:val="00E107A3"/>
    <w:rsid w:val="00E10C05"/>
    <w:rsid w:val="00E10DC9"/>
    <w:rsid w:val="00E12A27"/>
    <w:rsid w:val="00E13B86"/>
    <w:rsid w:val="00E13E5B"/>
    <w:rsid w:val="00E148A6"/>
    <w:rsid w:val="00E1492D"/>
    <w:rsid w:val="00E15BBD"/>
    <w:rsid w:val="00E164FA"/>
    <w:rsid w:val="00E17F62"/>
    <w:rsid w:val="00E20E03"/>
    <w:rsid w:val="00E23439"/>
    <w:rsid w:val="00E258E5"/>
    <w:rsid w:val="00E26039"/>
    <w:rsid w:val="00E26849"/>
    <w:rsid w:val="00E27349"/>
    <w:rsid w:val="00E278C2"/>
    <w:rsid w:val="00E311F7"/>
    <w:rsid w:val="00E32E67"/>
    <w:rsid w:val="00E3331E"/>
    <w:rsid w:val="00E35883"/>
    <w:rsid w:val="00E3607D"/>
    <w:rsid w:val="00E36B9B"/>
    <w:rsid w:val="00E4062E"/>
    <w:rsid w:val="00E41A1F"/>
    <w:rsid w:val="00E41E5C"/>
    <w:rsid w:val="00E41FCA"/>
    <w:rsid w:val="00E46078"/>
    <w:rsid w:val="00E4687C"/>
    <w:rsid w:val="00E47CC7"/>
    <w:rsid w:val="00E50653"/>
    <w:rsid w:val="00E51CB4"/>
    <w:rsid w:val="00E52A4E"/>
    <w:rsid w:val="00E56A02"/>
    <w:rsid w:val="00E609AA"/>
    <w:rsid w:val="00E60B20"/>
    <w:rsid w:val="00E613CB"/>
    <w:rsid w:val="00E61748"/>
    <w:rsid w:val="00E620E7"/>
    <w:rsid w:val="00E62BE4"/>
    <w:rsid w:val="00E63EAD"/>
    <w:rsid w:val="00E63FE0"/>
    <w:rsid w:val="00E64872"/>
    <w:rsid w:val="00E656D1"/>
    <w:rsid w:val="00E65FE6"/>
    <w:rsid w:val="00E71D41"/>
    <w:rsid w:val="00E74910"/>
    <w:rsid w:val="00E7500C"/>
    <w:rsid w:val="00E75B2F"/>
    <w:rsid w:val="00E77167"/>
    <w:rsid w:val="00E81264"/>
    <w:rsid w:val="00E82181"/>
    <w:rsid w:val="00E82F49"/>
    <w:rsid w:val="00E832B4"/>
    <w:rsid w:val="00E85263"/>
    <w:rsid w:val="00E85AF5"/>
    <w:rsid w:val="00E873F3"/>
    <w:rsid w:val="00E90BDF"/>
    <w:rsid w:val="00E91E34"/>
    <w:rsid w:val="00E92E99"/>
    <w:rsid w:val="00E94BD5"/>
    <w:rsid w:val="00E94C75"/>
    <w:rsid w:val="00E9632A"/>
    <w:rsid w:val="00E979D8"/>
    <w:rsid w:val="00EA0414"/>
    <w:rsid w:val="00EA299F"/>
    <w:rsid w:val="00EA3687"/>
    <w:rsid w:val="00EA4891"/>
    <w:rsid w:val="00EA746C"/>
    <w:rsid w:val="00EB0C37"/>
    <w:rsid w:val="00EB189C"/>
    <w:rsid w:val="00EB1CB3"/>
    <w:rsid w:val="00EB3945"/>
    <w:rsid w:val="00EB3FFF"/>
    <w:rsid w:val="00EB62F6"/>
    <w:rsid w:val="00EB647C"/>
    <w:rsid w:val="00EB71B6"/>
    <w:rsid w:val="00EC3B22"/>
    <w:rsid w:val="00EC61EB"/>
    <w:rsid w:val="00EC7093"/>
    <w:rsid w:val="00ED01F3"/>
    <w:rsid w:val="00ED0EE7"/>
    <w:rsid w:val="00ED1F9D"/>
    <w:rsid w:val="00ED20A2"/>
    <w:rsid w:val="00ED3B54"/>
    <w:rsid w:val="00ED3EEA"/>
    <w:rsid w:val="00ED5362"/>
    <w:rsid w:val="00ED5661"/>
    <w:rsid w:val="00EE0EB3"/>
    <w:rsid w:val="00EE24D3"/>
    <w:rsid w:val="00EE5FDF"/>
    <w:rsid w:val="00EE616E"/>
    <w:rsid w:val="00EE63FD"/>
    <w:rsid w:val="00EE7515"/>
    <w:rsid w:val="00EF0BD2"/>
    <w:rsid w:val="00EF1485"/>
    <w:rsid w:val="00EF2688"/>
    <w:rsid w:val="00EF3410"/>
    <w:rsid w:val="00EF4086"/>
    <w:rsid w:val="00EF6229"/>
    <w:rsid w:val="00EF7D6E"/>
    <w:rsid w:val="00F015A6"/>
    <w:rsid w:val="00F0190C"/>
    <w:rsid w:val="00F028B1"/>
    <w:rsid w:val="00F0342B"/>
    <w:rsid w:val="00F035AC"/>
    <w:rsid w:val="00F03B2E"/>
    <w:rsid w:val="00F03CF7"/>
    <w:rsid w:val="00F040C0"/>
    <w:rsid w:val="00F047E1"/>
    <w:rsid w:val="00F04A21"/>
    <w:rsid w:val="00F04A9E"/>
    <w:rsid w:val="00F06BBA"/>
    <w:rsid w:val="00F07692"/>
    <w:rsid w:val="00F07EBD"/>
    <w:rsid w:val="00F10445"/>
    <w:rsid w:val="00F10748"/>
    <w:rsid w:val="00F124BA"/>
    <w:rsid w:val="00F12606"/>
    <w:rsid w:val="00F12A6E"/>
    <w:rsid w:val="00F12B53"/>
    <w:rsid w:val="00F145C4"/>
    <w:rsid w:val="00F14979"/>
    <w:rsid w:val="00F14BB3"/>
    <w:rsid w:val="00F1512F"/>
    <w:rsid w:val="00F20B7C"/>
    <w:rsid w:val="00F213AD"/>
    <w:rsid w:val="00F214CB"/>
    <w:rsid w:val="00F258FB"/>
    <w:rsid w:val="00F26B91"/>
    <w:rsid w:val="00F26CB8"/>
    <w:rsid w:val="00F301D7"/>
    <w:rsid w:val="00F30453"/>
    <w:rsid w:val="00F307CC"/>
    <w:rsid w:val="00F30AE1"/>
    <w:rsid w:val="00F3286A"/>
    <w:rsid w:val="00F332CA"/>
    <w:rsid w:val="00F33EC1"/>
    <w:rsid w:val="00F350EC"/>
    <w:rsid w:val="00F42423"/>
    <w:rsid w:val="00F42AD1"/>
    <w:rsid w:val="00F42F7A"/>
    <w:rsid w:val="00F43065"/>
    <w:rsid w:val="00F44272"/>
    <w:rsid w:val="00F44642"/>
    <w:rsid w:val="00F45080"/>
    <w:rsid w:val="00F47365"/>
    <w:rsid w:val="00F47713"/>
    <w:rsid w:val="00F47FCA"/>
    <w:rsid w:val="00F53913"/>
    <w:rsid w:val="00F54851"/>
    <w:rsid w:val="00F55BDE"/>
    <w:rsid w:val="00F60879"/>
    <w:rsid w:val="00F60DED"/>
    <w:rsid w:val="00F63ADF"/>
    <w:rsid w:val="00F64CDB"/>
    <w:rsid w:val="00F6731F"/>
    <w:rsid w:val="00F679E4"/>
    <w:rsid w:val="00F67E1C"/>
    <w:rsid w:val="00F70A89"/>
    <w:rsid w:val="00F73435"/>
    <w:rsid w:val="00F736F4"/>
    <w:rsid w:val="00F747CD"/>
    <w:rsid w:val="00F748EE"/>
    <w:rsid w:val="00F76DF9"/>
    <w:rsid w:val="00F76E73"/>
    <w:rsid w:val="00F77056"/>
    <w:rsid w:val="00F8127E"/>
    <w:rsid w:val="00F81861"/>
    <w:rsid w:val="00F81F3D"/>
    <w:rsid w:val="00F81F83"/>
    <w:rsid w:val="00F823B1"/>
    <w:rsid w:val="00F83FEA"/>
    <w:rsid w:val="00F84390"/>
    <w:rsid w:val="00F860AE"/>
    <w:rsid w:val="00F86D17"/>
    <w:rsid w:val="00F90343"/>
    <w:rsid w:val="00F90345"/>
    <w:rsid w:val="00F90BD5"/>
    <w:rsid w:val="00F91254"/>
    <w:rsid w:val="00F91F17"/>
    <w:rsid w:val="00F92950"/>
    <w:rsid w:val="00F96F11"/>
    <w:rsid w:val="00FA05F1"/>
    <w:rsid w:val="00FA18E7"/>
    <w:rsid w:val="00FA2012"/>
    <w:rsid w:val="00FA2294"/>
    <w:rsid w:val="00FA346E"/>
    <w:rsid w:val="00FA5922"/>
    <w:rsid w:val="00FA6751"/>
    <w:rsid w:val="00FA70E4"/>
    <w:rsid w:val="00FA74AE"/>
    <w:rsid w:val="00FB0053"/>
    <w:rsid w:val="00FB0FE6"/>
    <w:rsid w:val="00FB1AB6"/>
    <w:rsid w:val="00FB3C7C"/>
    <w:rsid w:val="00FB41F0"/>
    <w:rsid w:val="00FB50AC"/>
    <w:rsid w:val="00FC12CD"/>
    <w:rsid w:val="00FC1CCB"/>
    <w:rsid w:val="00FC3A54"/>
    <w:rsid w:val="00FC3AA2"/>
    <w:rsid w:val="00FC420B"/>
    <w:rsid w:val="00FC653B"/>
    <w:rsid w:val="00FC76E6"/>
    <w:rsid w:val="00FD1B3D"/>
    <w:rsid w:val="00FD1B8C"/>
    <w:rsid w:val="00FD2B45"/>
    <w:rsid w:val="00FD2E5C"/>
    <w:rsid w:val="00FD4A67"/>
    <w:rsid w:val="00FD6414"/>
    <w:rsid w:val="00FD74DD"/>
    <w:rsid w:val="00FE039B"/>
    <w:rsid w:val="00FE1EA5"/>
    <w:rsid w:val="00FE2A1B"/>
    <w:rsid w:val="00FE32DD"/>
    <w:rsid w:val="00FE334D"/>
    <w:rsid w:val="00FE417D"/>
    <w:rsid w:val="00FE6E18"/>
    <w:rsid w:val="00FE70C3"/>
    <w:rsid w:val="00FF0997"/>
    <w:rsid w:val="00FF19E2"/>
    <w:rsid w:val="00FF299C"/>
    <w:rsid w:val="00FF314E"/>
    <w:rsid w:val="00FF365B"/>
    <w:rsid w:val="00FF5318"/>
    <w:rsid w:val="00FF5AB6"/>
    <w:rsid w:val="00FF6182"/>
    <w:rsid w:val="00FF7438"/>
    <w:rsid w:val="00FF77A3"/>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fillcolor="#ff9">
      <v:fill color="#ff9"/>
      <o:extrusion v:ext="view" on="t"/>
    </o:shapedefaults>
    <o:shapelayout v:ext="edit">
      <o:idmap v:ext="edit" data="1"/>
    </o:shapelayout>
  </w:shapeDefaults>
  <w:decimalSymbol w:val=","/>
  <w:listSeparator w:val=";"/>
  <w14:docId w14:val="10A27F20"/>
  <w15:docId w15:val="{ECF246FC-5C99-4625-8C1E-CEC202D78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521"/>
    <w:pPr>
      <w:spacing w:after="240"/>
      <w:jc w:val="both"/>
    </w:pPr>
    <w:rPr>
      <w:lang w:eastAsia="en-US"/>
    </w:rPr>
  </w:style>
  <w:style w:type="paragraph" w:styleId="Heading1">
    <w:name w:val="heading 1"/>
    <w:basedOn w:val="Normal"/>
    <w:next w:val="Normal"/>
    <w:qFormat/>
    <w:rsid w:val="000F2CA3"/>
    <w:pPr>
      <w:keepNext/>
      <w:numPr>
        <w:numId w:val="50"/>
      </w:numPr>
      <w:spacing w:before="240"/>
      <w:outlineLvl w:val="0"/>
    </w:pPr>
    <w:rPr>
      <w:b/>
      <w:smallCaps/>
      <w:sz w:val="28"/>
    </w:rPr>
  </w:style>
  <w:style w:type="paragraph" w:styleId="Heading2">
    <w:name w:val="heading 2"/>
    <w:basedOn w:val="Normal"/>
    <w:next w:val="Normal"/>
    <w:link w:val="Heading2Char"/>
    <w:qFormat/>
    <w:rsid w:val="00895724"/>
    <w:pPr>
      <w:spacing w:before="100" w:beforeAutospacing="1"/>
      <w:ind w:left="431"/>
      <w:outlineLvl w:val="1"/>
    </w:pPr>
    <w:rPr>
      <w:b/>
    </w:rPr>
  </w:style>
  <w:style w:type="paragraph" w:styleId="Heading3">
    <w:name w:val="heading 3"/>
    <w:basedOn w:val="Heading2"/>
    <w:next w:val="Normal"/>
    <w:link w:val="Heading3Char1"/>
    <w:qFormat/>
    <w:rsid w:val="00AC0E3E"/>
    <w:pPr>
      <w:numPr>
        <w:numId w:val="49"/>
      </w:numPr>
      <w:outlineLvl w:val="2"/>
    </w:pPr>
  </w:style>
  <w:style w:type="paragraph" w:styleId="Heading4">
    <w:name w:val="heading 4"/>
    <w:basedOn w:val="Normal"/>
    <w:next w:val="Text4"/>
    <w:qFormat/>
    <w:rsid w:val="00673025"/>
    <w:pPr>
      <w:keepNext/>
      <w:numPr>
        <w:ilvl w:val="3"/>
        <w:numId w:val="15"/>
      </w:numPr>
      <w:outlineLvl w:val="3"/>
    </w:pPr>
  </w:style>
  <w:style w:type="paragraph" w:styleId="Heading5">
    <w:name w:val="heading 5"/>
    <w:basedOn w:val="Normal"/>
    <w:next w:val="Normal"/>
    <w:qFormat/>
    <w:rsid w:val="00673025"/>
    <w:pPr>
      <w:numPr>
        <w:ilvl w:val="4"/>
        <w:numId w:val="15"/>
      </w:numPr>
      <w:spacing w:before="240" w:after="60"/>
      <w:outlineLvl w:val="4"/>
    </w:pPr>
    <w:rPr>
      <w:rFonts w:ascii="Arial" w:hAnsi="Arial"/>
      <w:sz w:val="22"/>
    </w:rPr>
  </w:style>
  <w:style w:type="paragraph" w:styleId="Heading6">
    <w:name w:val="heading 6"/>
    <w:basedOn w:val="Normal"/>
    <w:next w:val="Normal"/>
    <w:qFormat/>
    <w:rsid w:val="00673025"/>
    <w:pPr>
      <w:numPr>
        <w:ilvl w:val="5"/>
        <w:numId w:val="15"/>
      </w:numPr>
      <w:spacing w:before="240" w:after="60"/>
      <w:outlineLvl w:val="5"/>
    </w:pPr>
    <w:rPr>
      <w:rFonts w:ascii="Arial" w:hAnsi="Arial"/>
      <w:i/>
      <w:sz w:val="22"/>
    </w:rPr>
  </w:style>
  <w:style w:type="paragraph" w:styleId="Heading7">
    <w:name w:val="heading 7"/>
    <w:basedOn w:val="Normal"/>
    <w:next w:val="Normal"/>
    <w:qFormat/>
    <w:rsid w:val="00673025"/>
    <w:pPr>
      <w:numPr>
        <w:ilvl w:val="6"/>
        <w:numId w:val="15"/>
      </w:numPr>
      <w:spacing w:before="240" w:after="60"/>
      <w:outlineLvl w:val="6"/>
    </w:pPr>
    <w:rPr>
      <w:rFonts w:ascii="Arial" w:hAnsi="Arial"/>
      <w:sz w:val="20"/>
    </w:rPr>
  </w:style>
  <w:style w:type="paragraph" w:styleId="Heading8">
    <w:name w:val="heading 8"/>
    <w:basedOn w:val="Normal"/>
    <w:next w:val="Normal"/>
    <w:qFormat/>
    <w:rsid w:val="00673025"/>
    <w:pPr>
      <w:numPr>
        <w:ilvl w:val="7"/>
        <w:numId w:val="15"/>
      </w:numPr>
      <w:spacing w:before="240" w:after="60"/>
      <w:outlineLvl w:val="7"/>
    </w:pPr>
    <w:rPr>
      <w:rFonts w:ascii="Arial" w:hAnsi="Arial"/>
      <w:i/>
      <w:sz w:val="20"/>
    </w:rPr>
  </w:style>
  <w:style w:type="paragraph" w:styleId="Heading9">
    <w:name w:val="heading 9"/>
    <w:basedOn w:val="Normal"/>
    <w:next w:val="Normal"/>
    <w:qFormat/>
    <w:rsid w:val="00673025"/>
    <w:pPr>
      <w:numPr>
        <w:ilvl w:val="8"/>
        <w:numId w:val="15"/>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link w:val="Text1Char"/>
    <w:rsid w:val="00B34A8C"/>
    <w:pPr>
      <w:ind w:left="482"/>
    </w:pPr>
  </w:style>
  <w:style w:type="paragraph" w:customStyle="1" w:styleId="Text2">
    <w:name w:val="Text 2"/>
    <w:basedOn w:val="Normal"/>
    <w:rsid w:val="00673025"/>
    <w:pPr>
      <w:tabs>
        <w:tab w:val="left" w:pos="2160"/>
      </w:tabs>
      <w:ind w:left="1077"/>
    </w:pPr>
  </w:style>
  <w:style w:type="paragraph" w:customStyle="1" w:styleId="Text3">
    <w:name w:val="Text 3"/>
    <w:basedOn w:val="Normal"/>
    <w:rsid w:val="00673025"/>
    <w:pPr>
      <w:tabs>
        <w:tab w:val="left" w:pos="2302"/>
      </w:tabs>
      <w:ind w:left="1916"/>
    </w:pPr>
  </w:style>
  <w:style w:type="paragraph" w:customStyle="1" w:styleId="Text4">
    <w:name w:val="Text 4"/>
    <w:basedOn w:val="Normal"/>
    <w:rsid w:val="00673025"/>
    <w:pPr>
      <w:ind w:left="2880"/>
    </w:pPr>
  </w:style>
  <w:style w:type="paragraph" w:customStyle="1" w:styleId="Address">
    <w:name w:val="Address"/>
    <w:basedOn w:val="Normal"/>
    <w:rsid w:val="00673025"/>
    <w:pPr>
      <w:spacing w:after="0"/>
      <w:jc w:val="left"/>
    </w:pPr>
  </w:style>
  <w:style w:type="paragraph" w:customStyle="1" w:styleId="AddressTL">
    <w:name w:val="AddressTL"/>
    <w:basedOn w:val="Normal"/>
    <w:next w:val="Normal"/>
    <w:rsid w:val="00673025"/>
    <w:pPr>
      <w:spacing w:after="720"/>
      <w:jc w:val="left"/>
    </w:pPr>
  </w:style>
  <w:style w:type="paragraph" w:customStyle="1" w:styleId="AddressTR">
    <w:name w:val="AddressTR"/>
    <w:basedOn w:val="Normal"/>
    <w:next w:val="Normal"/>
    <w:rsid w:val="00673025"/>
    <w:pPr>
      <w:spacing w:after="720"/>
      <w:ind w:left="5103"/>
      <w:jc w:val="left"/>
    </w:pPr>
  </w:style>
  <w:style w:type="paragraph" w:styleId="BlockText">
    <w:name w:val="Block Text"/>
    <w:basedOn w:val="Normal"/>
    <w:rsid w:val="00673025"/>
    <w:pPr>
      <w:spacing w:after="120"/>
      <w:ind w:left="1440" w:right="1440"/>
    </w:pPr>
  </w:style>
  <w:style w:type="paragraph" w:styleId="BodyText">
    <w:name w:val="Body Text"/>
    <w:basedOn w:val="Normal"/>
    <w:rsid w:val="00673025"/>
    <w:pPr>
      <w:spacing w:after="120"/>
    </w:pPr>
  </w:style>
  <w:style w:type="paragraph" w:styleId="BodyText2">
    <w:name w:val="Body Text 2"/>
    <w:basedOn w:val="Normal"/>
    <w:rsid w:val="00673025"/>
    <w:pPr>
      <w:spacing w:after="120" w:line="480" w:lineRule="auto"/>
    </w:pPr>
  </w:style>
  <w:style w:type="paragraph" w:styleId="BodyText3">
    <w:name w:val="Body Text 3"/>
    <w:basedOn w:val="Normal"/>
    <w:rsid w:val="00673025"/>
    <w:pPr>
      <w:spacing w:after="120"/>
    </w:pPr>
    <w:rPr>
      <w:sz w:val="16"/>
    </w:rPr>
  </w:style>
  <w:style w:type="paragraph" w:styleId="BodyTextFirstIndent">
    <w:name w:val="Body Text First Indent"/>
    <w:basedOn w:val="BodyText"/>
    <w:rsid w:val="00673025"/>
    <w:pPr>
      <w:ind w:firstLine="210"/>
    </w:pPr>
  </w:style>
  <w:style w:type="paragraph" w:styleId="BodyTextIndent">
    <w:name w:val="Body Text Indent"/>
    <w:basedOn w:val="Normal"/>
    <w:rsid w:val="00673025"/>
    <w:pPr>
      <w:spacing w:after="120"/>
      <w:ind w:left="283"/>
    </w:pPr>
  </w:style>
  <w:style w:type="paragraph" w:styleId="BodyTextFirstIndent2">
    <w:name w:val="Body Text First Indent 2"/>
    <w:basedOn w:val="BodyTextIndent"/>
    <w:rsid w:val="00673025"/>
    <w:pPr>
      <w:ind w:firstLine="210"/>
    </w:pPr>
  </w:style>
  <w:style w:type="paragraph" w:styleId="BodyTextIndent2">
    <w:name w:val="Body Text Indent 2"/>
    <w:basedOn w:val="Normal"/>
    <w:rsid w:val="00673025"/>
    <w:pPr>
      <w:spacing w:after="120" w:line="480" w:lineRule="auto"/>
      <w:ind w:left="283"/>
    </w:pPr>
  </w:style>
  <w:style w:type="paragraph" w:styleId="BodyTextIndent3">
    <w:name w:val="Body Text Indent 3"/>
    <w:basedOn w:val="Normal"/>
    <w:rsid w:val="00673025"/>
    <w:pPr>
      <w:spacing w:after="120"/>
      <w:ind w:left="283"/>
    </w:pPr>
    <w:rPr>
      <w:sz w:val="16"/>
    </w:rPr>
  </w:style>
  <w:style w:type="paragraph" w:styleId="Caption">
    <w:name w:val="caption"/>
    <w:basedOn w:val="Normal"/>
    <w:next w:val="Normal"/>
    <w:qFormat/>
    <w:rsid w:val="00673025"/>
    <w:pPr>
      <w:spacing w:before="120" w:after="120"/>
    </w:pPr>
    <w:rPr>
      <w:b/>
    </w:rPr>
  </w:style>
  <w:style w:type="paragraph" w:styleId="Closing">
    <w:name w:val="Closing"/>
    <w:basedOn w:val="Normal"/>
    <w:next w:val="Signature"/>
    <w:rsid w:val="00673025"/>
    <w:pPr>
      <w:tabs>
        <w:tab w:val="left" w:pos="5103"/>
      </w:tabs>
      <w:spacing w:before="240"/>
      <w:ind w:left="5103"/>
      <w:jc w:val="left"/>
    </w:pPr>
  </w:style>
  <w:style w:type="paragraph" w:styleId="Signature">
    <w:name w:val="Signature"/>
    <w:basedOn w:val="Normal"/>
    <w:next w:val="Contact"/>
    <w:rsid w:val="00673025"/>
    <w:pPr>
      <w:tabs>
        <w:tab w:val="left" w:pos="5103"/>
      </w:tabs>
      <w:spacing w:before="1200" w:after="0"/>
      <w:ind w:left="5103"/>
      <w:jc w:val="center"/>
    </w:pPr>
  </w:style>
  <w:style w:type="paragraph" w:customStyle="1" w:styleId="Enclosures">
    <w:name w:val="Enclosures"/>
    <w:basedOn w:val="Normal"/>
    <w:next w:val="Participants"/>
    <w:rsid w:val="00673025"/>
    <w:pPr>
      <w:keepNext/>
      <w:keepLines/>
      <w:tabs>
        <w:tab w:val="left" w:pos="5670"/>
      </w:tabs>
      <w:spacing w:before="480" w:after="0"/>
      <w:ind w:left="1985" w:hanging="1985"/>
      <w:jc w:val="left"/>
    </w:pPr>
  </w:style>
  <w:style w:type="paragraph" w:customStyle="1" w:styleId="Participants">
    <w:name w:val="Participants"/>
    <w:basedOn w:val="Normal"/>
    <w:next w:val="Copies"/>
    <w:rsid w:val="00673025"/>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rsid w:val="00673025"/>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semiHidden/>
    <w:rsid w:val="00673025"/>
    <w:rPr>
      <w:sz w:val="20"/>
    </w:rPr>
  </w:style>
  <w:style w:type="paragraph" w:styleId="Date">
    <w:name w:val="Date"/>
    <w:basedOn w:val="Normal"/>
    <w:next w:val="References"/>
    <w:rsid w:val="00673025"/>
    <w:pPr>
      <w:spacing w:after="0"/>
      <w:ind w:left="5103" w:right="-567"/>
      <w:jc w:val="left"/>
    </w:pPr>
  </w:style>
  <w:style w:type="paragraph" w:customStyle="1" w:styleId="References">
    <w:name w:val="References"/>
    <w:basedOn w:val="Normal"/>
    <w:next w:val="AddressTR"/>
    <w:rsid w:val="00673025"/>
    <w:pPr>
      <w:ind w:left="5103"/>
      <w:jc w:val="left"/>
    </w:pPr>
    <w:rPr>
      <w:sz w:val="20"/>
    </w:rPr>
  </w:style>
  <w:style w:type="paragraph" w:styleId="DocumentMap">
    <w:name w:val="Document Map"/>
    <w:basedOn w:val="Normal"/>
    <w:semiHidden/>
    <w:rsid w:val="00673025"/>
    <w:pPr>
      <w:shd w:val="clear" w:color="auto" w:fill="000080"/>
    </w:pPr>
    <w:rPr>
      <w:rFonts w:ascii="Tahoma" w:hAnsi="Tahoma"/>
    </w:rPr>
  </w:style>
  <w:style w:type="paragraph" w:customStyle="1" w:styleId="DoubSign">
    <w:name w:val="DoubSign"/>
    <w:basedOn w:val="Normal"/>
    <w:next w:val="Contact"/>
    <w:rsid w:val="00673025"/>
    <w:pPr>
      <w:tabs>
        <w:tab w:val="left" w:pos="5103"/>
      </w:tabs>
      <w:spacing w:before="1200" w:after="0"/>
      <w:jc w:val="left"/>
    </w:pPr>
  </w:style>
  <w:style w:type="paragraph" w:styleId="EndnoteText">
    <w:name w:val="endnote text"/>
    <w:basedOn w:val="Normal"/>
    <w:semiHidden/>
    <w:rsid w:val="00673025"/>
    <w:rPr>
      <w:sz w:val="20"/>
    </w:rPr>
  </w:style>
  <w:style w:type="paragraph" w:styleId="EnvelopeAddress">
    <w:name w:val="envelope address"/>
    <w:basedOn w:val="Normal"/>
    <w:rsid w:val="00673025"/>
    <w:pPr>
      <w:framePr w:w="7920" w:h="1980" w:hRule="exact" w:hSpace="180" w:wrap="auto" w:hAnchor="page" w:xAlign="center" w:yAlign="bottom"/>
      <w:spacing w:after="0"/>
    </w:pPr>
  </w:style>
  <w:style w:type="paragraph" w:styleId="EnvelopeReturn">
    <w:name w:val="envelope return"/>
    <w:basedOn w:val="Normal"/>
    <w:rsid w:val="00673025"/>
    <w:pPr>
      <w:spacing w:after="0"/>
    </w:pPr>
    <w:rPr>
      <w:sz w:val="20"/>
    </w:rPr>
  </w:style>
  <w:style w:type="paragraph" w:styleId="Footer">
    <w:name w:val="footer"/>
    <w:basedOn w:val="Normal"/>
    <w:link w:val="FooterChar"/>
    <w:uiPriority w:val="99"/>
    <w:rsid w:val="00673025"/>
    <w:pPr>
      <w:spacing w:after="0"/>
      <w:ind w:right="-567"/>
      <w:jc w:val="left"/>
    </w:pPr>
    <w:rPr>
      <w:rFonts w:ascii="Arial" w:hAnsi="Arial"/>
      <w:sz w:val="16"/>
    </w:rPr>
  </w:style>
  <w:style w:type="paragraph" w:styleId="FootnoteText">
    <w:name w:val="footnote text"/>
    <w:basedOn w:val="Normal"/>
    <w:link w:val="FootnoteTextChar"/>
    <w:uiPriority w:val="99"/>
    <w:semiHidden/>
    <w:rsid w:val="00673025"/>
    <w:pPr>
      <w:ind w:left="357" w:hanging="357"/>
    </w:pPr>
    <w:rPr>
      <w:sz w:val="20"/>
    </w:rPr>
  </w:style>
  <w:style w:type="paragraph" w:styleId="Header">
    <w:name w:val="header"/>
    <w:basedOn w:val="Normal"/>
    <w:rsid w:val="00673025"/>
    <w:pPr>
      <w:tabs>
        <w:tab w:val="center" w:pos="4153"/>
        <w:tab w:val="right" w:pos="8306"/>
      </w:tabs>
    </w:pPr>
  </w:style>
  <w:style w:type="paragraph" w:styleId="Index1">
    <w:name w:val="index 1"/>
    <w:basedOn w:val="Normal"/>
    <w:next w:val="Normal"/>
    <w:autoRedefine/>
    <w:semiHidden/>
    <w:rsid w:val="00673025"/>
    <w:pPr>
      <w:ind w:left="240" w:hanging="240"/>
    </w:pPr>
  </w:style>
  <w:style w:type="paragraph" w:styleId="Index2">
    <w:name w:val="index 2"/>
    <w:basedOn w:val="Normal"/>
    <w:next w:val="Normal"/>
    <w:autoRedefine/>
    <w:semiHidden/>
    <w:rsid w:val="00673025"/>
    <w:pPr>
      <w:ind w:left="480" w:hanging="240"/>
    </w:pPr>
  </w:style>
  <w:style w:type="paragraph" w:styleId="Index3">
    <w:name w:val="index 3"/>
    <w:basedOn w:val="Normal"/>
    <w:next w:val="Normal"/>
    <w:autoRedefine/>
    <w:semiHidden/>
    <w:rsid w:val="00673025"/>
    <w:pPr>
      <w:ind w:left="720" w:hanging="240"/>
    </w:pPr>
  </w:style>
  <w:style w:type="paragraph" w:styleId="Index4">
    <w:name w:val="index 4"/>
    <w:basedOn w:val="Normal"/>
    <w:next w:val="Normal"/>
    <w:autoRedefine/>
    <w:semiHidden/>
    <w:rsid w:val="00673025"/>
    <w:pPr>
      <w:ind w:left="960" w:hanging="240"/>
    </w:pPr>
  </w:style>
  <w:style w:type="paragraph" w:styleId="Index5">
    <w:name w:val="index 5"/>
    <w:basedOn w:val="Normal"/>
    <w:next w:val="Normal"/>
    <w:autoRedefine/>
    <w:semiHidden/>
    <w:rsid w:val="00673025"/>
    <w:pPr>
      <w:ind w:left="1200" w:hanging="240"/>
    </w:pPr>
  </w:style>
  <w:style w:type="paragraph" w:styleId="Index6">
    <w:name w:val="index 6"/>
    <w:basedOn w:val="Normal"/>
    <w:next w:val="Normal"/>
    <w:autoRedefine/>
    <w:semiHidden/>
    <w:rsid w:val="00673025"/>
    <w:pPr>
      <w:ind w:left="1440" w:hanging="240"/>
    </w:pPr>
  </w:style>
  <w:style w:type="paragraph" w:styleId="Index7">
    <w:name w:val="index 7"/>
    <w:basedOn w:val="Normal"/>
    <w:next w:val="Normal"/>
    <w:autoRedefine/>
    <w:semiHidden/>
    <w:rsid w:val="00673025"/>
    <w:pPr>
      <w:ind w:left="1680" w:hanging="240"/>
    </w:pPr>
  </w:style>
  <w:style w:type="paragraph" w:styleId="Index8">
    <w:name w:val="index 8"/>
    <w:basedOn w:val="Normal"/>
    <w:next w:val="Normal"/>
    <w:autoRedefine/>
    <w:semiHidden/>
    <w:rsid w:val="00673025"/>
    <w:pPr>
      <w:ind w:left="1920" w:hanging="240"/>
    </w:pPr>
  </w:style>
  <w:style w:type="paragraph" w:styleId="Index9">
    <w:name w:val="index 9"/>
    <w:basedOn w:val="Normal"/>
    <w:next w:val="Normal"/>
    <w:autoRedefine/>
    <w:semiHidden/>
    <w:rsid w:val="00673025"/>
    <w:pPr>
      <w:ind w:left="2160" w:hanging="240"/>
    </w:pPr>
  </w:style>
  <w:style w:type="paragraph" w:styleId="IndexHeading">
    <w:name w:val="index heading"/>
    <w:basedOn w:val="Normal"/>
    <w:next w:val="Index1"/>
    <w:semiHidden/>
    <w:rsid w:val="00673025"/>
    <w:rPr>
      <w:rFonts w:ascii="Arial" w:hAnsi="Arial"/>
      <w:b/>
    </w:rPr>
  </w:style>
  <w:style w:type="paragraph" w:styleId="List">
    <w:name w:val="List"/>
    <w:basedOn w:val="Normal"/>
    <w:rsid w:val="00673025"/>
    <w:pPr>
      <w:ind w:left="283" w:hanging="283"/>
    </w:pPr>
  </w:style>
  <w:style w:type="paragraph" w:styleId="List2">
    <w:name w:val="List 2"/>
    <w:basedOn w:val="Normal"/>
    <w:rsid w:val="00673025"/>
    <w:pPr>
      <w:ind w:left="566" w:hanging="283"/>
    </w:pPr>
  </w:style>
  <w:style w:type="paragraph" w:styleId="List3">
    <w:name w:val="List 3"/>
    <w:basedOn w:val="Normal"/>
    <w:rsid w:val="00673025"/>
    <w:pPr>
      <w:ind w:left="849" w:hanging="283"/>
    </w:pPr>
  </w:style>
  <w:style w:type="paragraph" w:styleId="List4">
    <w:name w:val="List 4"/>
    <w:basedOn w:val="Normal"/>
    <w:rsid w:val="00673025"/>
    <w:pPr>
      <w:ind w:left="1132" w:hanging="283"/>
    </w:pPr>
  </w:style>
  <w:style w:type="paragraph" w:styleId="List5">
    <w:name w:val="List 5"/>
    <w:basedOn w:val="Normal"/>
    <w:rsid w:val="00673025"/>
    <w:pPr>
      <w:ind w:left="1415" w:hanging="283"/>
    </w:pPr>
  </w:style>
  <w:style w:type="paragraph" w:styleId="ListBullet">
    <w:name w:val="List Bullet"/>
    <w:basedOn w:val="Normal"/>
    <w:rsid w:val="00673025"/>
    <w:pPr>
      <w:numPr>
        <w:numId w:val="3"/>
      </w:numPr>
    </w:pPr>
  </w:style>
  <w:style w:type="paragraph" w:styleId="ListBullet2">
    <w:name w:val="List Bullet 2"/>
    <w:basedOn w:val="Text2"/>
    <w:rsid w:val="00673025"/>
    <w:pPr>
      <w:numPr>
        <w:numId w:val="4"/>
      </w:numPr>
      <w:tabs>
        <w:tab w:val="clear" w:pos="2160"/>
      </w:tabs>
    </w:pPr>
  </w:style>
  <w:style w:type="paragraph" w:styleId="ListBullet3">
    <w:name w:val="List Bullet 3"/>
    <w:basedOn w:val="Text3"/>
    <w:rsid w:val="00673025"/>
    <w:pPr>
      <w:numPr>
        <w:numId w:val="5"/>
      </w:numPr>
      <w:tabs>
        <w:tab w:val="clear" w:pos="2302"/>
      </w:tabs>
    </w:pPr>
  </w:style>
  <w:style w:type="paragraph" w:styleId="ListBullet4">
    <w:name w:val="List Bullet 4"/>
    <w:basedOn w:val="Text4"/>
    <w:rsid w:val="00673025"/>
    <w:pPr>
      <w:numPr>
        <w:numId w:val="6"/>
      </w:numPr>
    </w:pPr>
  </w:style>
  <w:style w:type="paragraph" w:styleId="ListBullet5">
    <w:name w:val="List Bullet 5"/>
    <w:basedOn w:val="Normal"/>
    <w:autoRedefine/>
    <w:rsid w:val="00673025"/>
    <w:pPr>
      <w:numPr>
        <w:numId w:val="1"/>
      </w:numPr>
    </w:pPr>
  </w:style>
  <w:style w:type="paragraph" w:styleId="ListContinue">
    <w:name w:val="List Continue"/>
    <w:basedOn w:val="Normal"/>
    <w:rsid w:val="00673025"/>
    <w:pPr>
      <w:spacing w:after="120"/>
      <w:ind w:left="283"/>
    </w:pPr>
  </w:style>
  <w:style w:type="paragraph" w:styleId="ListContinue2">
    <w:name w:val="List Continue 2"/>
    <w:basedOn w:val="Normal"/>
    <w:rsid w:val="00673025"/>
    <w:pPr>
      <w:spacing w:after="120"/>
      <w:ind w:left="566"/>
    </w:pPr>
  </w:style>
  <w:style w:type="paragraph" w:styleId="ListContinue3">
    <w:name w:val="List Continue 3"/>
    <w:basedOn w:val="Normal"/>
    <w:rsid w:val="00673025"/>
    <w:pPr>
      <w:spacing w:after="120"/>
      <w:ind w:left="849"/>
    </w:pPr>
  </w:style>
  <w:style w:type="paragraph" w:styleId="ListContinue4">
    <w:name w:val="List Continue 4"/>
    <w:basedOn w:val="Normal"/>
    <w:rsid w:val="00673025"/>
    <w:pPr>
      <w:spacing w:after="120"/>
      <w:ind w:left="1132"/>
    </w:pPr>
  </w:style>
  <w:style w:type="paragraph" w:styleId="ListContinue5">
    <w:name w:val="List Continue 5"/>
    <w:basedOn w:val="Normal"/>
    <w:rsid w:val="00673025"/>
    <w:pPr>
      <w:spacing w:after="120"/>
      <w:ind w:left="1415"/>
    </w:pPr>
  </w:style>
  <w:style w:type="paragraph" w:styleId="ListNumber">
    <w:name w:val="List Number"/>
    <w:basedOn w:val="Normal"/>
    <w:rsid w:val="00673025"/>
    <w:pPr>
      <w:numPr>
        <w:numId w:val="77"/>
      </w:numPr>
    </w:pPr>
  </w:style>
  <w:style w:type="paragraph" w:styleId="ListNumber2">
    <w:name w:val="List Number 2"/>
    <w:basedOn w:val="Text2"/>
    <w:rsid w:val="00673025"/>
    <w:pPr>
      <w:numPr>
        <w:numId w:val="14"/>
      </w:numPr>
      <w:tabs>
        <w:tab w:val="clear" w:pos="2160"/>
      </w:tabs>
    </w:pPr>
  </w:style>
  <w:style w:type="paragraph" w:styleId="ListNumber3">
    <w:name w:val="List Number 3"/>
    <w:basedOn w:val="Text3"/>
    <w:rsid w:val="00673025"/>
    <w:pPr>
      <w:numPr>
        <w:numId w:val="11"/>
      </w:numPr>
      <w:tabs>
        <w:tab w:val="clear" w:pos="2302"/>
      </w:tabs>
    </w:pPr>
  </w:style>
  <w:style w:type="paragraph" w:styleId="ListNumber4">
    <w:name w:val="List Number 4"/>
    <w:basedOn w:val="Text4"/>
    <w:rsid w:val="00673025"/>
    <w:pPr>
      <w:numPr>
        <w:numId w:val="12"/>
      </w:numPr>
    </w:pPr>
  </w:style>
  <w:style w:type="paragraph" w:styleId="ListNumber5">
    <w:name w:val="List Number 5"/>
    <w:basedOn w:val="Normal"/>
    <w:rsid w:val="00673025"/>
    <w:pPr>
      <w:numPr>
        <w:numId w:val="2"/>
      </w:numPr>
    </w:pPr>
  </w:style>
  <w:style w:type="paragraph" w:styleId="MacroText">
    <w:name w:val="macro"/>
    <w:semiHidden/>
    <w:rsid w:val="0067302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rsid w:val="0067302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rsid w:val="00673025"/>
    <w:pPr>
      <w:ind w:left="720"/>
    </w:pPr>
  </w:style>
  <w:style w:type="paragraph" w:styleId="NoteHeading">
    <w:name w:val="Note Heading"/>
    <w:basedOn w:val="Normal"/>
    <w:next w:val="Normal"/>
    <w:rsid w:val="00673025"/>
  </w:style>
  <w:style w:type="paragraph" w:customStyle="1" w:styleId="NoteHead">
    <w:name w:val="NoteHead"/>
    <w:basedOn w:val="Normal"/>
    <w:next w:val="Subject"/>
    <w:rsid w:val="00B34A8C"/>
    <w:pPr>
      <w:spacing w:before="240"/>
      <w:jc w:val="center"/>
    </w:pPr>
    <w:rPr>
      <w:b/>
      <w:smallCaps/>
    </w:rPr>
  </w:style>
  <w:style w:type="paragraph" w:customStyle="1" w:styleId="Subject">
    <w:name w:val="Subject"/>
    <w:basedOn w:val="Normal"/>
    <w:next w:val="Normal"/>
    <w:rsid w:val="00673025"/>
    <w:pPr>
      <w:spacing w:after="480"/>
      <w:ind w:left="1531" w:hanging="1531"/>
      <w:jc w:val="left"/>
    </w:pPr>
    <w:rPr>
      <w:b/>
    </w:rPr>
  </w:style>
  <w:style w:type="paragraph" w:customStyle="1" w:styleId="NoteList">
    <w:name w:val="NoteList"/>
    <w:basedOn w:val="Normal"/>
    <w:next w:val="Subject"/>
    <w:rsid w:val="00673025"/>
    <w:pPr>
      <w:tabs>
        <w:tab w:val="left" w:pos="5823"/>
      </w:tabs>
      <w:spacing w:before="720" w:after="720"/>
      <w:ind w:left="5104" w:hanging="3119"/>
      <w:jc w:val="left"/>
    </w:pPr>
    <w:rPr>
      <w:b/>
      <w:smallCaps/>
    </w:rPr>
  </w:style>
  <w:style w:type="paragraph" w:customStyle="1" w:styleId="NumPar1">
    <w:name w:val="NumPar 1"/>
    <w:basedOn w:val="Heading1"/>
    <w:next w:val="Normal"/>
    <w:rsid w:val="001A4521"/>
    <w:pPr>
      <w:keepNext w:val="0"/>
      <w:spacing w:before="0"/>
      <w:outlineLvl w:val="9"/>
    </w:pPr>
    <w:rPr>
      <w:b w:val="0"/>
      <w:smallCaps w:val="0"/>
    </w:rPr>
  </w:style>
  <w:style w:type="paragraph" w:customStyle="1" w:styleId="NumPar2">
    <w:name w:val="NumPar 2"/>
    <w:basedOn w:val="Normal"/>
    <w:next w:val="Text2"/>
    <w:rsid w:val="00673025"/>
    <w:rPr>
      <w:b/>
    </w:rPr>
  </w:style>
  <w:style w:type="paragraph" w:customStyle="1" w:styleId="NumPar3">
    <w:name w:val="NumPar 3"/>
    <w:basedOn w:val="Normal"/>
    <w:next w:val="Text3"/>
    <w:rsid w:val="00673025"/>
    <w:rPr>
      <w:i/>
    </w:rPr>
  </w:style>
  <w:style w:type="paragraph" w:customStyle="1" w:styleId="NumPar4">
    <w:name w:val="NumPar 4"/>
    <w:basedOn w:val="Heading4"/>
    <w:next w:val="Text4"/>
    <w:rsid w:val="00673025"/>
    <w:pPr>
      <w:keepNext w:val="0"/>
      <w:outlineLvl w:val="9"/>
    </w:pPr>
  </w:style>
  <w:style w:type="paragraph" w:styleId="PlainText">
    <w:name w:val="Plain Text"/>
    <w:basedOn w:val="Normal"/>
    <w:rsid w:val="00673025"/>
    <w:rPr>
      <w:rFonts w:ascii="Courier New" w:hAnsi="Courier New"/>
      <w:sz w:val="20"/>
    </w:rPr>
  </w:style>
  <w:style w:type="paragraph" w:styleId="Salutation">
    <w:name w:val="Salutation"/>
    <w:basedOn w:val="Normal"/>
    <w:next w:val="Normal"/>
    <w:rsid w:val="00673025"/>
  </w:style>
  <w:style w:type="paragraph" w:styleId="Subtitle">
    <w:name w:val="Subtitle"/>
    <w:basedOn w:val="Normal"/>
    <w:qFormat/>
    <w:rsid w:val="00673025"/>
    <w:pPr>
      <w:spacing w:after="60"/>
      <w:jc w:val="center"/>
      <w:outlineLvl w:val="1"/>
    </w:pPr>
    <w:rPr>
      <w:rFonts w:ascii="Arial" w:hAnsi="Arial"/>
    </w:rPr>
  </w:style>
  <w:style w:type="paragraph" w:styleId="TableofAuthorities">
    <w:name w:val="table of authorities"/>
    <w:basedOn w:val="Normal"/>
    <w:next w:val="Normal"/>
    <w:semiHidden/>
    <w:rsid w:val="00673025"/>
    <w:pPr>
      <w:ind w:left="240" w:hanging="240"/>
    </w:pPr>
  </w:style>
  <w:style w:type="paragraph" w:styleId="TableofFigures">
    <w:name w:val="table of figures"/>
    <w:basedOn w:val="Normal"/>
    <w:next w:val="Normal"/>
    <w:semiHidden/>
    <w:rsid w:val="00673025"/>
    <w:pPr>
      <w:ind w:left="480" w:hanging="480"/>
    </w:pPr>
  </w:style>
  <w:style w:type="paragraph" w:styleId="Title">
    <w:name w:val="Title"/>
    <w:basedOn w:val="Normal"/>
    <w:qFormat/>
    <w:rsid w:val="00673025"/>
    <w:pPr>
      <w:spacing w:before="240" w:after="60"/>
      <w:jc w:val="center"/>
      <w:outlineLvl w:val="0"/>
    </w:pPr>
    <w:rPr>
      <w:rFonts w:ascii="Arial" w:hAnsi="Arial"/>
      <w:b/>
      <w:kern w:val="28"/>
      <w:sz w:val="32"/>
    </w:rPr>
  </w:style>
  <w:style w:type="paragraph" w:styleId="TOAHeading">
    <w:name w:val="toa heading"/>
    <w:basedOn w:val="Normal"/>
    <w:next w:val="Normal"/>
    <w:semiHidden/>
    <w:rsid w:val="00673025"/>
    <w:pPr>
      <w:spacing w:before="120"/>
    </w:pPr>
    <w:rPr>
      <w:rFonts w:ascii="Arial" w:hAnsi="Arial"/>
      <w:b/>
    </w:rPr>
  </w:style>
  <w:style w:type="paragraph" w:styleId="TOC1">
    <w:name w:val="toc 1"/>
    <w:basedOn w:val="Normal"/>
    <w:next w:val="Normal"/>
    <w:uiPriority w:val="39"/>
    <w:rsid w:val="00673025"/>
    <w:pPr>
      <w:tabs>
        <w:tab w:val="right" w:leader="dot" w:pos="8640"/>
      </w:tabs>
      <w:spacing w:before="120" w:after="120"/>
      <w:ind w:left="482" w:right="720" w:hanging="482"/>
    </w:pPr>
    <w:rPr>
      <w:caps/>
    </w:rPr>
  </w:style>
  <w:style w:type="paragraph" w:styleId="TOC2">
    <w:name w:val="toc 2"/>
    <w:basedOn w:val="Normal"/>
    <w:next w:val="Normal"/>
    <w:uiPriority w:val="39"/>
    <w:rsid w:val="00673025"/>
    <w:pPr>
      <w:tabs>
        <w:tab w:val="right" w:leader="dot" w:pos="8640"/>
      </w:tabs>
      <w:spacing w:before="60" w:after="60"/>
      <w:ind w:left="1077" w:right="720" w:hanging="595"/>
    </w:pPr>
  </w:style>
  <w:style w:type="paragraph" w:styleId="TOC3">
    <w:name w:val="toc 3"/>
    <w:basedOn w:val="Normal"/>
    <w:next w:val="Normal"/>
    <w:uiPriority w:val="39"/>
    <w:rsid w:val="00673025"/>
    <w:pPr>
      <w:tabs>
        <w:tab w:val="right" w:leader="dot" w:pos="8640"/>
      </w:tabs>
      <w:spacing w:before="60" w:after="60"/>
      <w:ind w:left="1916" w:right="720" w:hanging="839"/>
    </w:pPr>
  </w:style>
  <w:style w:type="paragraph" w:styleId="TOC4">
    <w:name w:val="toc 4"/>
    <w:basedOn w:val="Normal"/>
    <w:next w:val="Normal"/>
    <w:uiPriority w:val="39"/>
    <w:rsid w:val="00673025"/>
    <w:pPr>
      <w:tabs>
        <w:tab w:val="right" w:leader="dot" w:pos="8641"/>
      </w:tabs>
      <w:spacing w:before="60" w:after="60"/>
      <w:ind w:left="2880" w:right="720" w:hanging="964"/>
    </w:pPr>
  </w:style>
  <w:style w:type="paragraph" w:styleId="TOC5">
    <w:name w:val="toc 5"/>
    <w:basedOn w:val="Normal"/>
    <w:next w:val="Normal"/>
    <w:uiPriority w:val="39"/>
    <w:rsid w:val="00673025"/>
    <w:pPr>
      <w:tabs>
        <w:tab w:val="right" w:leader="dot" w:pos="8641"/>
      </w:tabs>
      <w:spacing w:before="240" w:after="120"/>
      <w:ind w:right="720"/>
    </w:pPr>
    <w:rPr>
      <w:caps/>
    </w:rPr>
  </w:style>
  <w:style w:type="paragraph" w:styleId="TOC6">
    <w:name w:val="toc 6"/>
    <w:basedOn w:val="Normal"/>
    <w:next w:val="Normal"/>
    <w:autoRedefine/>
    <w:uiPriority w:val="39"/>
    <w:rsid w:val="00673025"/>
    <w:pPr>
      <w:ind w:left="1200"/>
    </w:pPr>
  </w:style>
  <w:style w:type="paragraph" w:styleId="TOC7">
    <w:name w:val="toc 7"/>
    <w:basedOn w:val="Normal"/>
    <w:next w:val="Normal"/>
    <w:autoRedefine/>
    <w:uiPriority w:val="39"/>
    <w:rsid w:val="00673025"/>
    <w:pPr>
      <w:ind w:left="1440"/>
    </w:pPr>
  </w:style>
  <w:style w:type="paragraph" w:styleId="TOC8">
    <w:name w:val="toc 8"/>
    <w:basedOn w:val="Normal"/>
    <w:next w:val="Normal"/>
    <w:autoRedefine/>
    <w:uiPriority w:val="39"/>
    <w:rsid w:val="00673025"/>
    <w:pPr>
      <w:ind w:left="1680"/>
    </w:pPr>
  </w:style>
  <w:style w:type="paragraph" w:styleId="TOC9">
    <w:name w:val="toc 9"/>
    <w:basedOn w:val="Normal"/>
    <w:next w:val="Normal"/>
    <w:autoRedefine/>
    <w:uiPriority w:val="39"/>
    <w:rsid w:val="00673025"/>
    <w:pPr>
      <w:ind w:left="1920"/>
    </w:pPr>
  </w:style>
  <w:style w:type="paragraph" w:customStyle="1" w:styleId="YReferences">
    <w:name w:val="YReferences"/>
    <w:basedOn w:val="Normal"/>
    <w:next w:val="Normal"/>
    <w:rsid w:val="00673025"/>
    <w:pPr>
      <w:spacing w:after="480"/>
      <w:ind w:left="1531" w:hanging="1531"/>
    </w:pPr>
  </w:style>
  <w:style w:type="paragraph" w:customStyle="1" w:styleId="ListBullet1">
    <w:name w:val="List Bullet 1"/>
    <w:basedOn w:val="Normal"/>
    <w:rsid w:val="00A73E02"/>
  </w:style>
  <w:style w:type="paragraph" w:customStyle="1" w:styleId="ListDash">
    <w:name w:val="List Dash"/>
    <w:basedOn w:val="Normal"/>
    <w:rsid w:val="00673025"/>
    <w:pPr>
      <w:numPr>
        <w:numId w:val="7"/>
      </w:numPr>
    </w:pPr>
  </w:style>
  <w:style w:type="paragraph" w:customStyle="1" w:styleId="ListDash1">
    <w:name w:val="List Dash 1"/>
    <w:basedOn w:val="Normal"/>
    <w:rsid w:val="00A73E02"/>
    <w:pPr>
      <w:numPr>
        <w:numId w:val="8"/>
      </w:numPr>
    </w:pPr>
  </w:style>
  <w:style w:type="paragraph" w:customStyle="1" w:styleId="ListDash2">
    <w:name w:val="List Dash 2"/>
    <w:basedOn w:val="Text2"/>
    <w:rsid w:val="00673025"/>
    <w:pPr>
      <w:tabs>
        <w:tab w:val="clear" w:pos="2160"/>
      </w:tabs>
      <w:ind w:left="0"/>
    </w:pPr>
  </w:style>
  <w:style w:type="paragraph" w:customStyle="1" w:styleId="ListDash3">
    <w:name w:val="List Dash 3"/>
    <w:basedOn w:val="Text3"/>
    <w:rsid w:val="00673025"/>
    <w:pPr>
      <w:numPr>
        <w:numId w:val="9"/>
      </w:numPr>
      <w:tabs>
        <w:tab w:val="clear" w:pos="2302"/>
      </w:tabs>
    </w:pPr>
  </w:style>
  <w:style w:type="paragraph" w:customStyle="1" w:styleId="ListDash4">
    <w:name w:val="List Dash 4"/>
    <w:basedOn w:val="Text4"/>
    <w:rsid w:val="00673025"/>
    <w:pPr>
      <w:numPr>
        <w:numId w:val="10"/>
      </w:numPr>
    </w:pPr>
  </w:style>
  <w:style w:type="paragraph" w:customStyle="1" w:styleId="ListNumberLevel2">
    <w:name w:val="List Number (Level 2)"/>
    <w:basedOn w:val="Normal"/>
    <w:rsid w:val="00673025"/>
    <w:pPr>
      <w:numPr>
        <w:ilvl w:val="1"/>
        <w:numId w:val="13"/>
      </w:numPr>
    </w:pPr>
  </w:style>
  <w:style w:type="paragraph" w:customStyle="1" w:styleId="ListNumberLevel3">
    <w:name w:val="List Number (Level 3)"/>
    <w:basedOn w:val="Normal"/>
    <w:rsid w:val="00673025"/>
    <w:pPr>
      <w:numPr>
        <w:ilvl w:val="2"/>
        <w:numId w:val="13"/>
      </w:numPr>
    </w:pPr>
  </w:style>
  <w:style w:type="paragraph" w:customStyle="1" w:styleId="ListNumberLevel4">
    <w:name w:val="List Number (Level 4)"/>
    <w:basedOn w:val="Normal"/>
    <w:rsid w:val="00673025"/>
    <w:pPr>
      <w:numPr>
        <w:ilvl w:val="3"/>
        <w:numId w:val="13"/>
      </w:numPr>
    </w:pPr>
  </w:style>
  <w:style w:type="paragraph" w:customStyle="1" w:styleId="ListNumber1">
    <w:name w:val="List Number 1"/>
    <w:basedOn w:val="Normal"/>
    <w:rsid w:val="00A73E02"/>
    <w:pPr>
      <w:numPr>
        <w:numId w:val="26"/>
      </w:numPr>
    </w:pPr>
  </w:style>
  <w:style w:type="paragraph" w:customStyle="1" w:styleId="ListNumber1Level2">
    <w:name w:val="List Number 1 (Level 2)"/>
    <w:basedOn w:val="Normal"/>
    <w:rsid w:val="00A73E02"/>
    <w:pPr>
      <w:numPr>
        <w:ilvl w:val="1"/>
        <w:numId w:val="26"/>
      </w:numPr>
    </w:pPr>
  </w:style>
  <w:style w:type="paragraph" w:customStyle="1" w:styleId="ListNumber1Level3">
    <w:name w:val="List Number 1 (Level 3)"/>
    <w:basedOn w:val="Normal"/>
    <w:rsid w:val="00A73E02"/>
    <w:pPr>
      <w:numPr>
        <w:ilvl w:val="2"/>
        <w:numId w:val="26"/>
      </w:numPr>
    </w:pPr>
  </w:style>
  <w:style w:type="paragraph" w:customStyle="1" w:styleId="ListNumber1Level4">
    <w:name w:val="List Number 1 (Level 4)"/>
    <w:basedOn w:val="Normal"/>
    <w:rsid w:val="00A73E02"/>
    <w:pPr>
      <w:numPr>
        <w:ilvl w:val="3"/>
        <w:numId w:val="26"/>
      </w:numPr>
    </w:pPr>
  </w:style>
  <w:style w:type="paragraph" w:customStyle="1" w:styleId="ListNumber2Level2">
    <w:name w:val="List Number 2 (Level 2)"/>
    <w:basedOn w:val="Text2"/>
    <w:rsid w:val="00673025"/>
    <w:pPr>
      <w:numPr>
        <w:ilvl w:val="1"/>
        <w:numId w:val="14"/>
      </w:numPr>
      <w:tabs>
        <w:tab w:val="clear" w:pos="2160"/>
      </w:tabs>
    </w:pPr>
  </w:style>
  <w:style w:type="paragraph" w:customStyle="1" w:styleId="ListNumber2Level3">
    <w:name w:val="List Number 2 (Level 3)"/>
    <w:basedOn w:val="Text2"/>
    <w:rsid w:val="00673025"/>
    <w:pPr>
      <w:numPr>
        <w:ilvl w:val="2"/>
        <w:numId w:val="14"/>
      </w:numPr>
      <w:tabs>
        <w:tab w:val="clear" w:pos="2160"/>
      </w:tabs>
    </w:pPr>
  </w:style>
  <w:style w:type="paragraph" w:customStyle="1" w:styleId="ListNumber2Level4">
    <w:name w:val="List Number 2 (Level 4)"/>
    <w:basedOn w:val="Text2"/>
    <w:rsid w:val="00673025"/>
    <w:pPr>
      <w:numPr>
        <w:ilvl w:val="3"/>
        <w:numId w:val="14"/>
      </w:numPr>
      <w:tabs>
        <w:tab w:val="clear" w:pos="2160"/>
      </w:tabs>
    </w:pPr>
  </w:style>
  <w:style w:type="paragraph" w:customStyle="1" w:styleId="ListNumber3Level2">
    <w:name w:val="List Number 3 (Level 2)"/>
    <w:basedOn w:val="Text3"/>
    <w:rsid w:val="00673025"/>
    <w:pPr>
      <w:numPr>
        <w:ilvl w:val="1"/>
        <w:numId w:val="11"/>
      </w:numPr>
      <w:tabs>
        <w:tab w:val="clear" w:pos="2302"/>
      </w:tabs>
    </w:pPr>
  </w:style>
  <w:style w:type="paragraph" w:customStyle="1" w:styleId="ListNumber3Level3">
    <w:name w:val="List Number 3 (Level 3)"/>
    <w:basedOn w:val="Text3"/>
    <w:rsid w:val="00673025"/>
    <w:pPr>
      <w:numPr>
        <w:ilvl w:val="2"/>
        <w:numId w:val="11"/>
      </w:numPr>
      <w:tabs>
        <w:tab w:val="clear" w:pos="2302"/>
      </w:tabs>
    </w:pPr>
  </w:style>
  <w:style w:type="paragraph" w:customStyle="1" w:styleId="ListNumber3Level4">
    <w:name w:val="List Number 3 (Level 4)"/>
    <w:basedOn w:val="Text3"/>
    <w:rsid w:val="00673025"/>
    <w:pPr>
      <w:numPr>
        <w:ilvl w:val="3"/>
        <w:numId w:val="11"/>
      </w:numPr>
      <w:tabs>
        <w:tab w:val="clear" w:pos="2302"/>
      </w:tabs>
    </w:pPr>
  </w:style>
  <w:style w:type="paragraph" w:customStyle="1" w:styleId="ListNumber4Level2">
    <w:name w:val="List Number 4 (Level 2)"/>
    <w:basedOn w:val="Text4"/>
    <w:rsid w:val="00673025"/>
    <w:pPr>
      <w:numPr>
        <w:ilvl w:val="1"/>
        <w:numId w:val="12"/>
      </w:numPr>
    </w:pPr>
  </w:style>
  <w:style w:type="paragraph" w:customStyle="1" w:styleId="ListNumber4Level3">
    <w:name w:val="List Number 4 (Level 3)"/>
    <w:basedOn w:val="Text4"/>
    <w:rsid w:val="00673025"/>
    <w:pPr>
      <w:numPr>
        <w:ilvl w:val="2"/>
        <w:numId w:val="12"/>
      </w:numPr>
    </w:pPr>
  </w:style>
  <w:style w:type="paragraph" w:customStyle="1" w:styleId="ListNumber4Level4">
    <w:name w:val="List Number 4 (Level 4)"/>
    <w:basedOn w:val="Text4"/>
    <w:rsid w:val="00673025"/>
    <w:pPr>
      <w:numPr>
        <w:ilvl w:val="3"/>
        <w:numId w:val="12"/>
      </w:numPr>
    </w:pPr>
  </w:style>
  <w:style w:type="paragraph" w:customStyle="1" w:styleId="TOCHeading1">
    <w:name w:val="TOC Heading1"/>
    <w:basedOn w:val="Normal"/>
    <w:next w:val="Normal"/>
    <w:uiPriority w:val="39"/>
    <w:qFormat/>
    <w:rsid w:val="00673025"/>
    <w:pPr>
      <w:keepNext/>
      <w:spacing w:before="240"/>
      <w:jc w:val="center"/>
    </w:pPr>
    <w:rPr>
      <w:b/>
    </w:rPr>
  </w:style>
  <w:style w:type="paragraph" w:customStyle="1" w:styleId="Contact">
    <w:name w:val="Contact"/>
    <w:basedOn w:val="Normal"/>
    <w:next w:val="Enclosures"/>
    <w:rsid w:val="00673025"/>
    <w:pPr>
      <w:spacing w:before="480" w:after="0"/>
      <w:ind w:left="567" w:hanging="567"/>
      <w:jc w:val="left"/>
    </w:pPr>
  </w:style>
  <w:style w:type="paragraph" w:customStyle="1" w:styleId="DisclaimerNotice">
    <w:name w:val="Disclaimer Notice"/>
    <w:basedOn w:val="Normal"/>
    <w:next w:val="AddressTR"/>
    <w:rsid w:val="00673025"/>
    <w:pPr>
      <w:ind w:left="5103"/>
      <w:jc w:val="left"/>
    </w:pPr>
    <w:rPr>
      <w:i/>
      <w:sz w:val="20"/>
    </w:rPr>
  </w:style>
  <w:style w:type="paragraph" w:customStyle="1" w:styleId="Disclaimer">
    <w:name w:val="Disclaimer"/>
    <w:basedOn w:val="Normal"/>
    <w:rsid w:val="00673025"/>
    <w:pPr>
      <w:keepLines/>
      <w:pBdr>
        <w:top w:val="single" w:sz="4" w:space="1" w:color="auto"/>
      </w:pBdr>
      <w:spacing w:before="480" w:after="0"/>
    </w:pPr>
    <w:rPr>
      <w:i/>
    </w:rPr>
  </w:style>
  <w:style w:type="character" w:styleId="FollowedHyperlink">
    <w:name w:val="FollowedHyperlink"/>
    <w:rsid w:val="00673025"/>
    <w:rPr>
      <w:color w:val="800080"/>
      <w:u w:val="single"/>
    </w:rPr>
  </w:style>
  <w:style w:type="paragraph" w:customStyle="1" w:styleId="DisclaimerSJ">
    <w:name w:val="Disclaimer_SJ"/>
    <w:basedOn w:val="Normal"/>
    <w:next w:val="Normal"/>
    <w:rsid w:val="00673025"/>
    <w:pPr>
      <w:spacing w:after="0"/>
    </w:pPr>
    <w:rPr>
      <w:rFonts w:ascii="Arial" w:hAnsi="Arial"/>
      <w:b/>
      <w:sz w:val="16"/>
    </w:rPr>
  </w:style>
  <w:style w:type="paragraph" w:customStyle="1" w:styleId="ZCom">
    <w:name w:val="Z_Com"/>
    <w:basedOn w:val="Normal"/>
    <w:next w:val="ZDGName"/>
    <w:rsid w:val="00B9177F"/>
    <w:pPr>
      <w:widowControl w:val="0"/>
      <w:autoSpaceDE w:val="0"/>
      <w:autoSpaceDN w:val="0"/>
      <w:spacing w:after="0"/>
      <w:ind w:right="85"/>
    </w:pPr>
    <w:rPr>
      <w:rFonts w:ascii="Arial" w:eastAsia="MS Mincho" w:hAnsi="Arial" w:cs="Arial"/>
      <w:lang w:eastAsia="ja-JP"/>
    </w:rPr>
  </w:style>
  <w:style w:type="paragraph" w:customStyle="1" w:styleId="ZDGName">
    <w:name w:val="Z_DGName"/>
    <w:basedOn w:val="Normal"/>
    <w:uiPriority w:val="99"/>
    <w:rsid w:val="00B9177F"/>
    <w:pPr>
      <w:widowControl w:val="0"/>
      <w:autoSpaceDE w:val="0"/>
      <w:autoSpaceDN w:val="0"/>
      <w:spacing w:after="0"/>
      <w:ind w:right="85"/>
      <w:jc w:val="left"/>
    </w:pPr>
    <w:rPr>
      <w:rFonts w:ascii="Arial" w:eastAsia="MS Mincho" w:hAnsi="Arial" w:cs="Arial"/>
      <w:sz w:val="16"/>
      <w:szCs w:val="16"/>
      <w:lang w:eastAsia="ja-JP"/>
    </w:rPr>
  </w:style>
  <w:style w:type="paragraph" w:styleId="BalloonText">
    <w:name w:val="Balloon Text"/>
    <w:basedOn w:val="Normal"/>
    <w:semiHidden/>
    <w:rsid w:val="004445A5"/>
    <w:rPr>
      <w:rFonts w:ascii="Tahoma" w:hAnsi="Tahoma" w:cs="Tahoma"/>
      <w:sz w:val="16"/>
      <w:szCs w:val="16"/>
    </w:rPr>
  </w:style>
  <w:style w:type="character" w:styleId="FootnoteReference">
    <w:name w:val="footnote reference"/>
    <w:uiPriority w:val="99"/>
    <w:semiHidden/>
    <w:rsid w:val="00693DA3"/>
    <w:rPr>
      <w:vertAlign w:val="superscript"/>
    </w:rPr>
  </w:style>
  <w:style w:type="table" w:styleId="TableGrid">
    <w:name w:val="Table Grid"/>
    <w:basedOn w:val="TableNormal"/>
    <w:rsid w:val="005845A3"/>
    <w:pPr>
      <w:spacing w:after="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rsid w:val="00881065"/>
    <w:rPr>
      <w:i/>
      <w:sz w:val="24"/>
      <w:lang w:val="es-ES" w:eastAsia="en-US" w:bidi="ar-SA"/>
    </w:rPr>
  </w:style>
  <w:style w:type="character" w:customStyle="1" w:styleId="Text1Char">
    <w:name w:val="Text 1 Char"/>
    <w:link w:val="Text1"/>
    <w:rsid w:val="00B34A8C"/>
    <w:rPr>
      <w:sz w:val="24"/>
      <w:lang w:val="es-ES" w:eastAsia="en-US" w:bidi="ar-SA"/>
    </w:rPr>
  </w:style>
  <w:style w:type="paragraph" w:customStyle="1" w:styleId="Indent">
    <w:name w:val="Indent"/>
    <w:basedOn w:val="Normal"/>
    <w:rsid w:val="00E711EE"/>
    <w:pPr>
      <w:tabs>
        <w:tab w:val="left" w:pos="1134"/>
      </w:tabs>
      <w:spacing w:after="60"/>
      <w:ind w:left="1134"/>
    </w:pPr>
    <w:rPr>
      <w:sz w:val="20"/>
      <w:lang w:eastAsia="en-GB"/>
    </w:rPr>
  </w:style>
  <w:style w:type="character" w:customStyle="1" w:styleId="Text1Char1">
    <w:name w:val="Text 1 Char1"/>
    <w:rsid w:val="00E711EE"/>
    <w:rPr>
      <w:lang w:val="es-ES" w:eastAsia="en-US" w:bidi="ar-SA"/>
    </w:rPr>
  </w:style>
  <w:style w:type="character" w:customStyle="1" w:styleId="Text1Car">
    <w:name w:val="Text 1 Car"/>
    <w:rsid w:val="00B87E40"/>
    <w:rPr>
      <w:sz w:val="24"/>
      <w:lang w:val="es-ES" w:eastAsia="en-US" w:bidi="ar-SA"/>
    </w:rPr>
  </w:style>
  <w:style w:type="character" w:customStyle="1" w:styleId="italic1">
    <w:name w:val="italic1"/>
    <w:rsid w:val="002346C7"/>
    <w:rPr>
      <w:i/>
      <w:iCs/>
    </w:rPr>
  </w:style>
  <w:style w:type="paragraph" w:customStyle="1" w:styleId="psparanumber">
    <w:name w:val="ps_para_number"/>
    <w:basedOn w:val="Normal"/>
    <w:rsid w:val="00751545"/>
    <w:pPr>
      <w:spacing w:after="0" w:line="360" w:lineRule="atLeast"/>
      <w:jc w:val="left"/>
    </w:pPr>
    <w:rPr>
      <w:rFonts w:eastAsia="MS Mincho"/>
      <w:color w:val="000000"/>
      <w:lang w:eastAsia="ja-JP"/>
    </w:rPr>
  </w:style>
  <w:style w:type="character" w:customStyle="1" w:styleId="CharacterStyle1">
    <w:name w:val="Character Style 1"/>
    <w:rsid w:val="00B10DC2"/>
    <w:rPr>
      <w:sz w:val="24"/>
      <w:szCs w:val="24"/>
    </w:rPr>
  </w:style>
  <w:style w:type="paragraph" w:customStyle="1" w:styleId="Normal6">
    <w:name w:val="Normal6"/>
    <w:basedOn w:val="Normal"/>
    <w:link w:val="Normal6Char"/>
    <w:rsid w:val="00E308A5"/>
    <w:pPr>
      <w:widowControl w:val="0"/>
      <w:spacing w:after="120"/>
      <w:jc w:val="left"/>
    </w:pPr>
    <w:rPr>
      <w:rFonts w:eastAsia="Calibri"/>
      <w:lang w:eastAsia="en-GB"/>
    </w:rPr>
  </w:style>
  <w:style w:type="character" w:customStyle="1" w:styleId="Normal6Char">
    <w:name w:val="Normal6 Char"/>
    <w:link w:val="Normal6"/>
    <w:rsid w:val="00E308A5"/>
    <w:rPr>
      <w:rFonts w:eastAsia="Calibri"/>
      <w:sz w:val="24"/>
      <w:lang w:val="es-ES" w:eastAsia="en-GB" w:bidi="ar-SA"/>
    </w:rPr>
  </w:style>
  <w:style w:type="character" w:customStyle="1" w:styleId="FooterChar">
    <w:name w:val="Footer Char"/>
    <w:link w:val="Footer"/>
    <w:uiPriority w:val="99"/>
    <w:rsid w:val="00E46DF1"/>
    <w:rPr>
      <w:rFonts w:ascii="Arial" w:hAnsi="Arial"/>
      <w:sz w:val="16"/>
      <w:lang w:eastAsia="en-US"/>
    </w:rPr>
  </w:style>
  <w:style w:type="character" w:customStyle="1" w:styleId="Heading2Char">
    <w:name w:val="Heading 2 Char"/>
    <w:link w:val="Heading2"/>
    <w:rsid w:val="00895724"/>
    <w:rPr>
      <w:b/>
      <w:lang w:eastAsia="en-US"/>
    </w:rPr>
  </w:style>
  <w:style w:type="paragraph" w:customStyle="1" w:styleId="MediumList2-Accent21">
    <w:name w:val="Medium List 2 - Accent 21"/>
    <w:hidden/>
    <w:uiPriority w:val="99"/>
    <w:semiHidden/>
    <w:rsid w:val="00795887"/>
    <w:rPr>
      <w:lang w:eastAsia="en-US"/>
    </w:rPr>
  </w:style>
  <w:style w:type="character" w:styleId="CommentReference">
    <w:name w:val="annotation reference"/>
    <w:rsid w:val="00062144"/>
    <w:rPr>
      <w:sz w:val="16"/>
      <w:szCs w:val="16"/>
    </w:rPr>
  </w:style>
  <w:style w:type="paragraph" w:styleId="CommentSubject">
    <w:name w:val="annotation subject"/>
    <w:basedOn w:val="CommentText"/>
    <w:next w:val="CommentText"/>
    <w:link w:val="CommentSubjectChar"/>
    <w:rsid w:val="00062144"/>
    <w:rPr>
      <w:b/>
      <w:bCs/>
    </w:rPr>
  </w:style>
  <w:style w:type="character" w:customStyle="1" w:styleId="CommentTextChar">
    <w:name w:val="Comment Text Char"/>
    <w:link w:val="CommentText"/>
    <w:semiHidden/>
    <w:rsid w:val="00062144"/>
    <w:rPr>
      <w:lang w:eastAsia="en-US"/>
    </w:rPr>
  </w:style>
  <w:style w:type="character" w:customStyle="1" w:styleId="CommentSubjectChar">
    <w:name w:val="Comment Subject Char"/>
    <w:link w:val="CommentSubject"/>
    <w:rsid w:val="00062144"/>
    <w:rPr>
      <w:b/>
      <w:bCs/>
      <w:lang w:eastAsia="en-US"/>
    </w:rPr>
  </w:style>
  <w:style w:type="character" w:styleId="Hyperlink">
    <w:name w:val="Hyperlink"/>
    <w:uiPriority w:val="99"/>
    <w:unhideWhenUsed/>
    <w:rsid w:val="00045511"/>
    <w:rPr>
      <w:color w:val="0000FF"/>
      <w:u w:val="single"/>
    </w:rPr>
  </w:style>
  <w:style w:type="paragraph" w:customStyle="1" w:styleId="CarCar21">
    <w:name w:val="Car Car21"/>
    <w:basedOn w:val="Normal"/>
    <w:rsid w:val="000745D9"/>
    <w:pPr>
      <w:spacing w:after="160" w:line="240" w:lineRule="exact"/>
      <w:jc w:val="left"/>
    </w:pPr>
    <w:rPr>
      <w:rFonts w:ascii="Tahoma" w:hAnsi="Tahoma"/>
      <w:sz w:val="20"/>
    </w:rPr>
  </w:style>
  <w:style w:type="character" w:customStyle="1" w:styleId="FootnoteTextChar">
    <w:name w:val="Footnote Text Char"/>
    <w:link w:val="FootnoteText"/>
    <w:uiPriority w:val="99"/>
    <w:semiHidden/>
    <w:rsid w:val="00E52363"/>
    <w:rPr>
      <w:lang w:eastAsia="en-US"/>
    </w:rPr>
  </w:style>
  <w:style w:type="character" w:customStyle="1" w:styleId="Heading3Char1">
    <w:name w:val="Heading 3 Char1"/>
    <w:link w:val="Heading3"/>
    <w:rsid w:val="00AC0E3E"/>
    <w:rPr>
      <w:b/>
      <w:lang w:eastAsia="en-US"/>
    </w:rPr>
  </w:style>
  <w:style w:type="paragraph" w:customStyle="1" w:styleId="MediumGrid1-Accent21">
    <w:name w:val="Medium Grid 1 - Accent 21"/>
    <w:basedOn w:val="Normal"/>
    <w:uiPriority w:val="34"/>
    <w:qFormat/>
    <w:rsid w:val="00433280"/>
    <w:pPr>
      <w:ind w:left="720"/>
    </w:pPr>
  </w:style>
  <w:style w:type="paragraph" w:customStyle="1" w:styleId="ColorfulList-Accent11">
    <w:name w:val="Colorful List - Accent 11"/>
    <w:basedOn w:val="Normal"/>
    <w:qFormat/>
    <w:rsid w:val="00101BA9"/>
    <w:pPr>
      <w:ind w:left="720"/>
    </w:pPr>
  </w:style>
  <w:style w:type="table" w:customStyle="1" w:styleId="Quote1">
    <w:name w:val="Quote1"/>
    <w:basedOn w:val="TableNormal"/>
    <w:qFormat/>
    <w:rsid w:val="0012786C"/>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MediumGrid2-Accent3">
    <w:name w:val="Medium Grid 2 Accent 3"/>
    <w:basedOn w:val="TableNormal"/>
    <w:rsid w:val="0012786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Grid2-Accent5">
    <w:name w:val="Medium Grid 2 Accent 5"/>
    <w:basedOn w:val="TableNormal"/>
    <w:rsid w:val="0012786C"/>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MediumGrid2-Accent6">
    <w:name w:val="Medium Grid 2 Accent 6"/>
    <w:basedOn w:val="TableNormal"/>
    <w:rsid w:val="0012786C"/>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customStyle="1" w:styleId="IntenseQuote1">
    <w:name w:val="Intense Quote1"/>
    <w:basedOn w:val="TableNormal"/>
    <w:qFormat/>
    <w:rsid w:val="00E53564"/>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ColorfulShading-Accent11">
    <w:name w:val="Colorful Shading - Accent 11"/>
    <w:hidden/>
    <w:rsid w:val="00003BAB"/>
    <w:rPr>
      <w:lang w:eastAsia="en-US"/>
    </w:rPr>
  </w:style>
  <w:style w:type="paragraph" w:styleId="Revision">
    <w:name w:val="Revision"/>
    <w:hidden/>
    <w:rsid w:val="00950417"/>
    <w:rPr>
      <w:lang w:eastAsia="en-US"/>
    </w:rPr>
  </w:style>
  <w:style w:type="paragraph" w:styleId="NormalWeb">
    <w:name w:val="Normal (Web)"/>
    <w:basedOn w:val="Normal"/>
    <w:uiPriority w:val="99"/>
    <w:unhideWhenUsed/>
    <w:rsid w:val="00D14449"/>
    <w:pPr>
      <w:spacing w:before="100" w:beforeAutospacing="1" w:after="100" w:afterAutospacing="1"/>
      <w:jc w:val="left"/>
    </w:pPr>
    <w:rPr>
      <w:rFonts w:ascii="Verdana" w:hAnsi="Verdana"/>
      <w:lang w:eastAsia="zh-CN"/>
    </w:rPr>
  </w:style>
  <w:style w:type="character" w:styleId="Strong">
    <w:name w:val="Strong"/>
    <w:uiPriority w:val="22"/>
    <w:qFormat/>
    <w:rsid w:val="00F736F4"/>
    <w:rPr>
      <w:b/>
      <w:bCs/>
    </w:rPr>
  </w:style>
  <w:style w:type="character" w:styleId="Emphasis">
    <w:name w:val="Emphasis"/>
    <w:uiPriority w:val="20"/>
    <w:qFormat/>
    <w:rsid w:val="00F736F4"/>
    <w:rPr>
      <w:i/>
      <w:iCs/>
    </w:rPr>
  </w:style>
  <w:style w:type="paragraph" w:customStyle="1" w:styleId="CharCharCharCharCharCharCharCharChar">
    <w:name w:val="Char Char Char Char Char Char Char Char Char"/>
    <w:basedOn w:val="Normal"/>
    <w:rsid w:val="00B27241"/>
    <w:pPr>
      <w:spacing w:after="160" w:line="240" w:lineRule="exact"/>
      <w:jc w:val="left"/>
    </w:pPr>
    <w:rPr>
      <w:rFonts w:ascii="Tahoma" w:hAnsi="Tahoma"/>
      <w:sz w:val="20"/>
    </w:rPr>
  </w:style>
  <w:style w:type="paragraph" w:styleId="ListParagraph">
    <w:name w:val="List Paragraph"/>
    <w:basedOn w:val="Normal"/>
    <w:uiPriority w:val="34"/>
    <w:qFormat/>
    <w:rsid w:val="007B7D74"/>
    <w:pPr>
      <w:ind w:left="720"/>
    </w:pPr>
  </w:style>
  <w:style w:type="paragraph" w:customStyle="1" w:styleId="Body1">
    <w:name w:val="Body 1"/>
    <w:basedOn w:val="Normal"/>
    <w:rsid w:val="009971EC"/>
    <w:pPr>
      <w:numPr>
        <w:ilvl w:val="2"/>
        <w:numId w:val="47"/>
      </w:numPr>
    </w:pPr>
  </w:style>
  <w:style w:type="character" w:customStyle="1" w:styleId="Bodytext2Bold">
    <w:name w:val="Body text (2) + Bold"/>
    <w:basedOn w:val="DefaultParagraphFont"/>
    <w:rsid w:val="0065091F"/>
    <w:rPr>
      <w:rFonts w:ascii="Times New Roman" w:eastAsia="Times New Roman" w:hAnsi="Times New Roman" w:cs="Times New Roman"/>
      <w:b/>
      <w:bCs/>
      <w:i w:val="0"/>
      <w:iCs w:val="0"/>
      <w:smallCaps w:val="0"/>
      <w:strike w:val="0"/>
      <w:color w:val="000000"/>
      <w:spacing w:val="0"/>
      <w:w w:val="100"/>
      <w:position w:val="0"/>
      <w:sz w:val="24"/>
      <w:szCs w:val="24"/>
      <w:u w:val="none"/>
      <w:lang w:val="es-ES" w:eastAsia="en-US" w:bidi="en-US"/>
    </w:rPr>
  </w:style>
  <w:style w:type="character" w:customStyle="1" w:styleId="Bodytext20">
    <w:name w:val="Body text (2)"/>
    <w:basedOn w:val="DefaultParagraphFont"/>
    <w:rsid w:val="0065091F"/>
    <w:rPr>
      <w:rFonts w:ascii="Times New Roman" w:eastAsia="Times New Roman" w:hAnsi="Times New Roman" w:cs="Times New Roman"/>
      <w:b w:val="0"/>
      <w:bCs w:val="0"/>
      <w:i w:val="0"/>
      <w:iCs w:val="0"/>
      <w:smallCaps w:val="0"/>
      <w:strike w:val="0"/>
      <w:color w:val="000000"/>
      <w:spacing w:val="0"/>
      <w:w w:val="100"/>
      <w:position w:val="0"/>
      <w:sz w:val="24"/>
      <w:szCs w:val="24"/>
      <w:u w:val="none"/>
      <w:lang w:val="es-E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79326">
      <w:bodyDiv w:val="1"/>
      <w:marLeft w:val="0"/>
      <w:marRight w:val="0"/>
      <w:marTop w:val="0"/>
      <w:marBottom w:val="0"/>
      <w:divBdr>
        <w:top w:val="none" w:sz="0" w:space="0" w:color="auto"/>
        <w:left w:val="none" w:sz="0" w:space="0" w:color="auto"/>
        <w:bottom w:val="none" w:sz="0" w:space="0" w:color="auto"/>
        <w:right w:val="none" w:sz="0" w:space="0" w:color="auto"/>
      </w:divBdr>
      <w:divsChild>
        <w:div w:id="1728340699">
          <w:marLeft w:val="0"/>
          <w:marRight w:val="0"/>
          <w:marTop w:val="0"/>
          <w:marBottom w:val="0"/>
          <w:divBdr>
            <w:top w:val="none" w:sz="0" w:space="0" w:color="auto"/>
            <w:left w:val="none" w:sz="0" w:space="0" w:color="auto"/>
            <w:bottom w:val="none" w:sz="0" w:space="0" w:color="auto"/>
            <w:right w:val="none" w:sz="0" w:space="0" w:color="auto"/>
          </w:divBdr>
          <w:divsChild>
            <w:div w:id="1546141246">
              <w:marLeft w:val="0"/>
              <w:marRight w:val="0"/>
              <w:marTop w:val="0"/>
              <w:marBottom w:val="0"/>
              <w:divBdr>
                <w:top w:val="none" w:sz="0" w:space="0" w:color="auto"/>
                <w:left w:val="none" w:sz="0" w:space="0" w:color="auto"/>
                <w:bottom w:val="none" w:sz="0" w:space="0" w:color="auto"/>
                <w:right w:val="none" w:sz="0" w:space="0" w:color="auto"/>
              </w:divBdr>
              <w:divsChild>
                <w:div w:id="59848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812096">
      <w:bodyDiv w:val="1"/>
      <w:marLeft w:val="0"/>
      <w:marRight w:val="0"/>
      <w:marTop w:val="0"/>
      <w:marBottom w:val="0"/>
      <w:divBdr>
        <w:top w:val="none" w:sz="0" w:space="0" w:color="auto"/>
        <w:left w:val="none" w:sz="0" w:space="0" w:color="auto"/>
        <w:bottom w:val="none" w:sz="0" w:space="0" w:color="auto"/>
        <w:right w:val="none" w:sz="0" w:space="0" w:color="auto"/>
      </w:divBdr>
    </w:div>
    <w:div w:id="275330118">
      <w:bodyDiv w:val="1"/>
      <w:marLeft w:val="0"/>
      <w:marRight w:val="0"/>
      <w:marTop w:val="0"/>
      <w:marBottom w:val="0"/>
      <w:divBdr>
        <w:top w:val="none" w:sz="0" w:space="0" w:color="auto"/>
        <w:left w:val="none" w:sz="0" w:space="0" w:color="auto"/>
        <w:bottom w:val="none" w:sz="0" w:space="0" w:color="auto"/>
        <w:right w:val="none" w:sz="0" w:space="0" w:color="auto"/>
      </w:divBdr>
      <w:divsChild>
        <w:div w:id="1445689156">
          <w:marLeft w:val="0"/>
          <w:marRight w:val="0"/>
          <w:marTop w:val="0"/>
          <w:marBottom w:val="0"/>
          <w:divBdr>
            <w:top w:val="none" w:sz="0" w:space="0" w:color="auto"/>
            <w:left w:val="none" w:sz="0" w:space="0" w:color="auto"/>
            <w:bottom w:val="none" w:sz="0" w:space="0" w:color="auto"/>
            <w:right w:val="none" w:sz="0" w:space="0" w:color="auto"/>
          </w:divBdr>
          <w:divsChild>
            <w:div w:id="596911642">
              <w:marLeft w:val="0"/>
              <w:marRight w:val="0"/>
              <w:marTop w:val="0"/>
              <w:marBottom w:val="0"/>
              <w:divBdr>
                <w:top w:val="none" w:sz="0" w:space="0" w:color="auto"/>
                <w:left w:val="none" w:sz="0" w:space="0" w:color="auto"/>
                <w:bottom w:val="none" w:sz="0" w:space="0" w:color="auto"/>
                <w:right w:val="none" w:sz="0" w:space="0" w:color="auto"/>
              </w:divBdr>
              <w:divsChild>
                <w:div w:id="98627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643088">
      <w:bodyDiv w:val="1"/>
      <w:marLeft w:val="0"/>
      <w:marRight w:val="0"/>
      <w:marTop w:val="0"/>
      <w:marBottom w:val="0"/>
      <w:divBdr>
        <w:top w:val="none" w:sz="0" w:space="0" w:color="auto"/>
        <w:left w:val="none" w:sz="0" w:space="0" w:color="auto"/>
        <w:bottom w:val="none" w:sz="0" w:space="0" w:color="auto"/>
        <w:right w:val="none" w:sz="0" w:space="0" w:color="auto"/>
      </w:divBdr>
      <w:divsChild>
        <w:div w:id="306318981">
          <w:marLeft w:val="0"/>
          <w:marRight w:val="0"/>
          <w:marTop w:val="0"/>
          <w:marBottom w:val="0"/>
          <w:divBdr>
            <w:top w:val="none" w:sz="0" w:space="0" w:color="auto"/>
            <w:left w:val="none" w:sz="0" w:space="0" w:color="auto"/>
            <w:bottom w:val="none" w:sz="0" w:space="0" w:color="auto"/>
            <w:right w:val="none" w:sz="0" w:space="0" w:color="auto"/>
          </w:divBdr>
          <w:divsChild>
            <w:div w:id="2144611935">
              <w:marLeft w:val="0"/>
              <w:marRight w:val="0"/>
              <w:marTop w:val="0"/>
              <w:marBottom w:val="0"/>
              <w:divBdr>
                <w:top w:val="none" w:sz="0" w:space="0" w:color="auto"/>
                <w:left w:val="none" w:sz="0" w:space="0" w:color="auto"/>
                <w:bottom w:val="none" w:sz="0" w:space="0" w:color="auto"/>
                <w:right w:val="none" w:sz="0" w:space="0" w:color="auto"/>
              </w:divBdr>
              <w:divsChild>
                <w:div w:id="4371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145310">
      <w:bodyDiv w:val="1"/>
      <w:marLeft w:val="0"/>
      <w:marRight w:val="0"/>
      <w:marTop w:val="0"/>
      <w:marBottom w:val="0"/>
      <w:divBdr>
        <w:top w:val="none" w:sz="0" w:space="0" w:color="auto"/>
        <w:left w:val="none" w:sz="0" w:space="0" w:color="auto"/>
        <w:bottom w:val="none" w:sz="0" w:space="0" w:color="auto"/>
        <w:right w:val="none" w:sz="0" w:space="0" w:color="auto"/>
      </w:divBdr>
    </w:div>
    <w:div w:id="352730406">
      <w:bodyDiv w:val="1"/>
      <w:marLeft w:val="0"/>
      <w:marRight w:val="0"/>
      <w:marTop w:val="0"/>
      <w:marBottom w:val="0"/>
      <w:divBdr>
        <w:top w:val="none" w:sz="0" w:space="0" w:color="auto"/>
        <w:left w:val="none" w:sz="0" w:space="0" w:color="auto"/>
        <w:bottom w:val="none" w:sz="0" w:space="0" w:color="auto"/>
        <w:right w:val="none" w:sz="0" w:space="0" w:color="auto"/>
      </w:divBdr>
      <w:divsChild>
        <w:div w:id="862403001">
          <w:marLeft w:val="0"/>
          <w:marRight w:val="0"/>
          <w:marTop w:val="0"/>
          <w:marBottom w:val="0"/>
          <w:divBdr>
            <w:top w:val="none" w:sz="0" w:space="0" w:color="auto"/>
            <w:left w:val="none" w:sz="0" w:space="0" w:color="auto"/>
            <w:bottom w:val="none" w:sz="0" w:space="0" w:color="auto"/>
            <w:right w:val="none" w:sz="0" w:space="0" w:color="auto"/>
          </w:divBdr>
          <w:divsChild>
            <w:div w:id="283925371">
              <w:marLeft w:val="0"/>
              <w:marRight w:val="0"/>
              <w:marTop w:val="0"/>
              <w:marBottom w:val="0"/>
              <w:divBdr>
                <w:top w:val="none" w:sz="0" w:space="0" w:color="auto"/>
                <w:left w:val="none" w:sz="0" w:space="0" w:color="auto"/>
                <w:bottom w:val="none" w:sz="0" w:space="0" w:color="auto"/>
                <w:right w:val="none" w:sz="0" w:space="0" w:color="auto"/>
              </w:divBdr>
              <w:divsChild>
                <w:div w:id="124036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82584">
      <w:bodyDiv w:val="1"/>
      <w:marLeft w:val="0"/>
      <w:marRight w:val="0"/>
      <w:marTop w:val="0"/>
      <w:marBottom w:val="0"/>
      <w:divBdr>
        <w:top w:val="none" w:sz="0" w:space="0" w:color="auto"/>
        <w:left w:val="none" w:sz="0" w:space="0" w:color="auto"/>
        <w:bottom w:val="none" w:sz="0" w:space="0" w:color="auto"/>
        <w:right w:val="none" w:sz="0" w:space="0" w:color="auto"/>
      </w:divBdr>
    </w:div>
    <w:div w:id="456263733">
      <w:bodyDiv w:val="1"/>
      <w:marLeft w:val="0"/>
      <w:marRight w:val="0"/>
      <w:marTop w:val="0"/>
      <w:marBottom w:val="0"/>
      <w:divBdr>
        <w:top w:val="none" w:sz="0" w:space="0" w:color="auto"/>
        <w:left w:val="none" w:sz="0" w:space="0" w:color="auto"/>
        <w:bottom w:val="none" w:sz="0" w:space="0" w:color="auto"/>
        <w:right w:val="none" w:sz="0" w:space="0" w:color="auto"/>
      </w:divBdr>
    </w:div>
    <w:div w:id="734931810">
      <w:bodyDiv w:val="1"/>
      <w:marLeft w:val="0"/>
      <w:marRight w:val="0"/>
      <w:marTop w:val="0"/>
      <w:marBottom w:val="0"/>
      <w:divBdr>
        <w:top w:val="none" w:sz="0" w:space="0" w:color="auto"/>
        <w:left w:val="none" w:sz="0" w:space="0" w:color="auto"/>
        <w:bottom w:val="none" w:sz="0" w:space="0" w:color="auto"/>
        <w:right w:val="none" w:sz="0" w:space="0" w:color="auto"/>
      </w:divBdr>
      <w:divsChild>
        <w:div w:id="9649401">
          <w:marLeft w:val="0"/>
          <w:marRight w:val="0"/>
          <w:marTop w:val="0"/>
          <w:marBottom w:val="0"/>
          <w:divBdr>
            <w:top w:val="none" w:sz="0" w:space="0" w:color="auto"/>
            <w:left w:val="none" w:sz="0" w:space="0" w:color="auto"/>
            <w:bottom w:val="none" w:sz="0" w:space="0" w:color="auto"/>
            <w:right w:val="none" w:sz="0" w:space="0" w:color="auto"/>
          </w:divBdr>
          <w:divsChild>
            <w:div w:id="1854950986">
              <w:marLeft w:val="0"/>
              <w:marRight w:val="0"/>
              <w:marTop w:val="0"/>
              <w:marBottom w:val="0"/>
              <w:divBdr>
                <w:top w:val="none" w:sz="0" w:space="0" w:color="auto"/>
                <w:left w:val="none" w:sz="0" w:space="0" w:color="auto"/>
                <w:bottom w:val="none" w:sz="0" w:space="0" w:color="auto"/>
                <w:right w:val="none" w:sz="0" w:space="0" w:color="auto"/>
              </w:divBdr>
              <w:divsChild>
                <w:div w:id="17905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648947">
      <w:bodyDiv w:val="1"/>
      <w:marLeft w:val="0"/>
      <w:marRight w:val="0"/>
      <w:marTop w:val="0"/>
      <w:marBottom w:val="0"/>
      <w:divBdr>
        <w:top w:val="none" w:sz="0" w:space="0" w:color="auto"/>
        <w:left w:val="none" w:sz="0" w:space="0" w:color="auto"/>
        <w:bottom w:val="none" w:sz="0" w:space="0" w:color="auto"/>
        <w:right w:val="none" w:sz="0" w:space="0" w:color="auto"/>
      </w:divBdr>
      <w:divsChild>
        <w:div w:id="704064078">
          <w:marLeft w:val="0"/>
          <w:marRight w:val="0"/>
          <w:marTop w:val="0"/>
          <w:marBottom w:val="0"/>
          <w:divBdr>
            <w:top w:val="none" w:sz="0" w:space="0" w:color="auto"/>
            <w:left w:val="none" w:sz="0" w:space="0" w:color="auto"/>
            <w:bottom w:val="none" w:sz="0" w:space="0" w:color="auto"/>
            <w:right w:val="none" w:sz="0" w:space="0" w:color="auto"/>
          </w:divBdr>
          <w:divsChild>
            <w:div w:id="1446659852">
              <w:marLeft w:val="0"/>
              <w:marRight w:val="0"/>
              <w:marTop w:val="0"/>
              <w:marBottom w:val="0"/>
              <w:divBdr>
                <w:top w:val="none" w:sz="0" w:space="0" w:color="auto"/>
                <w:left w:val="none" w:sz="0" w:space="0" w:color="auto"/>
                <w:bottom w:val="none" w:sz="0" w:space="0" w:color="auto"/>
                <w:right w:val="none" w:sz="0" w:space="0" w:color="auto"/>
              </w:divBdr>
              <w:divsChild>
                <w:div w:id="826048446">
                  <w:marLeft w:val="0"/>
                  <w:marRight w:val="0"/>
                  <w:marTop w:val="0"/>
                  <w:marBottom w:val="0"/>
                  <w:divBdr>
                    <w:top w:val="none" w:sz="0" w:space="0" w:color="auto"/>
                    <w:left w:val="none" w:sz="0" w:space="0" w:color="auto"/>
                    <w:bottom w:val="none" w:sz="0" w:space="0" w:color="auto"/>
                    <w:right w:val="none" w:sz="0" w:space="0" w:color="auto"/>
                  </w:divBdr>
                </w:div>
              </w:divsChild>
            </w:div>
            <w:div w:id="201140041">
              <w:marLeft w:val="0"/>
              <w:marRight w:val="0"/>
              <w:marTop w:val="0"/>
              <w:marBottom w:val="0"/>
              <w:divBdr>
                <w:top w:val="none" w:sz="0" w:space="0" w:color="auto"/>
                <w:left w:val="none" w:sz="0" w:space="0" w:color="auto"/>
                <w:bottom w:val="none" w:sz="0" w:space="0" w:color="auto"/>
                <w:right w:val="none" w:sz="0" w:space="0" w:color="auto"/>
              </w:divBdr>
              <w:divsChild>
                <w:div w:id="64284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158761">
          <w:marLeft w:val="0"/>
          <w:marRight w:val="0"/>
          <w:marTop w:val="0"/>
          <w:marBottom w:val="0"/>
          <w:divBdr>
            <w:top w:val="none" w:sz="0" w:space="0" w:color="auto"/>
            <w:left w:val="none" w:sz="0" w:space="0" w:color="auto"/>
            <w:bottom w:val="none" w:sz="0" w:space="0" w:color="auto"/>
            <w:right w:val="none" w:sz="0" w:space="0" w:color="auto"/>
          </w:divBdr>
          <w:divsChild>
            <w:div w:id="669455098">
              <w:marLeft w:val="0"/>
              <w:marRight w:val="0"/>
              <w:marTop w:val="0"/>
              <w:marBottom w:val="0"/>
              <w:divBdr>
                <w:top w:val="none" w:sz="0" w:space="0" w:color="auto"/>
                <w:left w:val="none" w:sz="0" w:space="0" w:color="auto"/>
                <w:bottom w:val="none" w:sz="0" w:space="0" w:color="auto"/>
                <w:right w:val="none" w:sz="0" w:space="0" w:color="auto"/>
              </w:divBdr>
              <w:divsChild>
                <w:div w:id="41217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467578">
      <w:bodyDiv w:val="1"/>
      <w:marLeft w:val="0"/>
      <w:marRight w:val="0"/>
      <w:marTop w:val="0"/>
      <w:marBottom w:val="0"/>
      <w:divBdr>
        <w:top w:val="none" w:sz="0" w:space="0" w:color="auto"/>
        <w:left w:val="none" w:sz="0" w:space="0" w:color="auto"/>
        <w:bottom w:val="none" w:sz="0" w:space="0" w:color="auto"/>
        <w:right w:val="none" w:sz="0" w:space="0" w:color="auto"/>
      </w:divBdr>
      <w:divsChild>
        <w:div w:id="1901165735">
          <w:marLeft w:val="0"/>
          <w:marRight w:val="0"/>
          <w:marTop w:val="0"/>
          <w:marBottom w:val="0"/>
          <w:divBdr>
            <w:top w:val="none" w:sz="0" w:space="0" w:color="auto"/>
            <w:left w:val="none" w:sz="0" w:space="0" w:color="auto"/>
            <w:bottom w:val="none" w:sz="0" w:space="0" w:color="auto"/>
            <w:right w:val="none" w:sz="0" w:space="0" w:color="auto"/>
          </w:divBdr>
          <w:divsChild>
            <w:div w:id="605771651">
              <w:marLeft w:val="0"/>
              <w:marRight w:val="0"/>
              <w:marTop w:val="0"/>
              <w:marBottom w:val="0"/>
              <w:divBdr>
                <w:top w:val="none" w:sz="0" w:space="0" w:color="auto"/>
                <w:left w:val="none" w:sz="0" w:space="0" w:color="auto"/>
                <w:bottom w:val="none" w:sz="0" w:space="0" w:color="auto"/>
                <w:right w:val="none" w:sz="0" w:space="0" w:color="auto"/>
              </w:divBdr>
              <w:divsChild>
                <w:div w:id="161324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912215">
      <w:bodyDiv w:val="1"/>
      <w:marLeft w:val="0"/>
      <w:marRight w:val="0"/>
      <w:marTop w:val="0"/>
      <w:marBottom w:val="0"/>
      <w:divBdr>
        <w:top w:val="none" w:sz="0" w:space="0" w:color="auto"/>
        <w:left w:val="none" w:sz="0" w:space="0" w:color="auto"/>
        <w:bottom w:val="none" w:sz="0" w:space="0" w:color="auto"/>
        <w:right w:val="none" w:sz="0" w:space="0" w:color="auto"/>
      </w:divBdr>
      <w:divsChild>
        <w:div w:id="299919969">
          <w:marLeft w:val="0"/>
          <w:marRight w:val="0"/>
          <w:marTop w:val="0"/>
          <w:marBottom w:val="0"/>
          <w:divBdr>
            <w:top w:val="none" w:sz="0" w:space="0" w:color="auto"/>
            <w:left w:val="none" w:sz="0" w:space="0" w:color="auto"/>
            <w:bottom w:val="none" w:sz="0" w:space="0" w:color="auto"/>
            <w:right w:val="none" w:sz="0" w:space="0" w:color="auto"/>
          </w:divBdr>
          <w:divsChild>
            <w:div w:id="1854104313">
              <w:marLeft w:val="0"/>
              <w:marRight w:val="0"/>
              <w:marTop w:val="0"/>
              <w:marBottom w:val="0"/>
              <w:divBdr>
                <w:top w:val="none" w:sz="0" w:space="0" w:color="auto"/>
                <w:left w:val="none" w:sz="0" w:space="0" w:color="auto"/>
                <w:bottom w:val="none" w:sz="0" w:space="0" w:color="auto"/>
                <w:right w:val="none" w:sz="0" w:space="0" w:color="auto"/>
              </w:divBdr>
              <w:divsChild>
                <w:div w:id="187184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230411">
      <w:bodyDiv w:val="1"/>
      <w:marLeft w:val="0"/>
      <w:marRight w:val="0"/>
      <w:marTop w:val="0"/>
      <w:marBottom w:val="0"/>
      <w:divBdr>
        <w:top w:val="none" w:sz="0" w:space="0" w:color="auto"/>
        <w:left w:val="none" w:sz="0" w:space="0" w:color="auto"/>
        <w:bottom w:val="none" w:sz="0" w:space="0" w:color="auto"/>
        <w:right w:val="none" w:sz="0" w:space="0" w:color="auto"/>
      </w:divBdr>
    </w:div>
    <w:div w:id="1062093900">
      <w:bodyDiv w:val="1"/>
      <w:marLeft w:val="0"/>
      <w:marRight w:val="0"/>
      <w:marTop w:val="0"/>
      <w:marBottom w:val="0"/>
      <w:divBdr>
        <w:top w:val="none" w:sz="0" w:space="0" w:color="auto"/>
        <w:left w:val="none" w:sz="0" w:space="0" w:color="auto"/>
        <w:bottom w:val="none" w:sz="0" w:space="0" w:color="auto"/>
        <w:right w:val="none" w:sz="0" w:space="0" w:color="auto"/>
      </w:divBdr>
      <w:divsChild>
        <w:div w:id="1546872577">
          <w:marLeft w:val="0"/>
          <w:marRight w:val="0"/>
          <w:marTop w:val="0"/>
          <w:marBottom w:val="0"/>
          <w:divBdr>
            <w:top w:val="none" w:sz="0" w:space="0" w:color="auto"/>
            <w:left w:val="none" w:sz="0" w:space="0" w:color="auto"/>
            <w:bottom w:val="none" w:sz="0" w:space="0" w:color="auto"/>
            <w:right w:val="none" w:sz="0" w:space="0" w:color="auto"/>
          </w:divBdr>
          <w:divsChild>
            <w:div w:id="347756869">
              <w:marLeft w:val="0"/>
              <w:marRight w:val="0"/>
              <w:marTop w:val="0"/>
              <w:marBottom w:val="0"/>
              <w:divBdr>
                <w:top w:val="none" w:sz="0" w:space="0" w:color="auto"/>
                <w:left w:val="none" w:sz="0" w:space="0" w:color="auto"/>
                <w:bottom w:val="none" w:sz="0" w:space="0" w:color="auto"/>
                <w:right w:val="none" w:sz="0" w:space="0" w:color="auto"/>
              </w:divBdr>
              <w:divsChild>
                <w:div w:id="2108114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149553">
      <w:bodyDiv w:val="1"/>
      <w:marLeft w:val="0"/>
      <w:marRight w:val="0"/>
      <w:marTop w:val="0"/>
      <w:marBottom w:val="0"/>
      <w:divBdr>
        <w:top w:val="none" w:sz="0" w:space="0" w:color="auto"/>
        <w:left w:val="none" w:sz="0" w:space="0" w:color="auto"/>
        <w:bottom w:val="none" w:sz="0" w:space="0" w:color="auto"/>
        <w:right w:val="none" w:sz="0" w:space="0" w:color="auto"/>
      </w:divBdr>
      <w:divsChild>
        <w:div w:id="393696083">
          <w:marLeft w:val="0"/>
          <w:marRight w:val="0"/>
          <w:marTop w:val="0"/>
          <w:marBottom w:val="0"/>
          <w:divBdr>
            <w:top w:val="none" w:sz="0" w:space="0" w:color="auto"/>
            <w:left w:val="none" w:sz="0" w:space="0" w:color="auto"/>
            <w:bottom w:val="none" w:sz="0" w:space="0" w:color="auto"/>
            <w:right w:val="none" w:sz="0" w:space="0" w:color="auto"/>
          </w:divBdr>
          <w:divsChild>
            <w:div w:id="1036732735">
              <w:marLeft w:val="0"/>
              <w:marRight w:val="0"/>
              <w:marTop w:val="0"/>
              <w:marBottom w:val="0"/>
              <w:divBdr>
                <w:top w:val="none" w:sz="0" w:space="0" w:color="auto"/>
                <w:left w:val="none" w:sz="0" w:space="0" w:color="auto"/>
                <w:bottom w:val="none" w:sz="0" w:space="0" w:color="auto"/>
                <w:right w:val="none" w:sz="0" w:space="0" w:color="auto"/>
              </w:divBdr>
              <w:divsChild>
                <w:div w:id="960721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756224">
      <w:bodyDiv w:val="1"/>
      <w:marLeft w:val="0"/>
      <w:marRight w:val="0"/>
      <w:marTop w:val="0"/>
      <w:marBottom w:val="0"/>
      <w:divBdr>
        <w:top w:val="none" w:sz="0" w:space="0" w:color="auto"/>
        <w:left w:val="none" w:sz="0" w:space="0" w:color="auto"/>
        <w:bottom w:val="none" w:sz="0" w:space="0" w:color="auto"/>
        <w:right w:val="none" w:sz="0" w:space="0" w:color="auto"/>
      </w:divBdr>
    </w:div>
    <w:div w:id="1268851941">
      <w:bodyDiv w:val="1"/>
      <w:marLeft w:val="0"/>
      <w:marRight w:val="0"/>
      <w:marTop w:val="0"/>
      <w:marBottom w:val="0"/>
      <w:divBdr>
        <w:top w:val="none" w:sz="0" w:space="0" w:color="auto"/>
        <w:left w:val="none" w:sz="0" w:space="0" w:color="auto"/>
        <w:bottom w:val="none" w:sz="0" w:space="0" w:color="auto"/>
        <w:right w:val="none" w:sz="0" w:space="0" w:color="auto"/>
      </w:divBdr>
    </w:div>
    <w:div w:id="1347439611">
      <w:bodyDiv w:val="1"/>
      <w:marLeft w:val="0"/>
      <w:marRight w:val="0"/>
      <w:marTop w:val="0"/>
      <w:marBottom w:val="0"/>
      <w:divBdr>
        <w:top w:val="none" w:sz="0" w:space="0" w:color="auto"/>
        <w:left w:val="none" w:sz="0" w:space="0" w:color="auto"/>
        <w:bottom w:val="none" w:sz="0" w:space="0" w:color="auto"/>
        <w:right w:val="none" w:sz="0" w:space="0" w:color="auto"/>
      </w:divBdr>
      <w:divsChild>
        <w:div w:id="983779518">
          <w:marLeft w:val="0"/>
          <w:marRight w:val="0"/>
          <w:marTop w:val="0"/>
          <w:marBottom w:val="0"/>
          <w:divBdr>
            <w:top w:val="none" w:sz="0" w:space="0" w:color="auto"/>
            <w:left w:val="none" w:sz="0" w:space="0" w:color="auto"/>
            <w:bottom w:val="none" w:sz="0" w:space="0" w:color="auto"/>
            <w:right w:val="none" w:sz="0" w:space="0" w:color="auto"/>
          </w:divBdr>
          <w:divsChild>
            <w:div w:id="2083481378">
              <w:marLeft w:val="0"/>
              <w:marRight w:val="0"/>
              <w:marTop w:val="0"/>
              <w:marBottom w:val="0"/>
              <w:divBdr>
                <w:top w:val="none" w:sz="0" w:space="0" w:color="auto"/>
                <w:left w:val="none" w:sz="0" w:space="0" w:color="auto"/>
                <w:bottom w:val="none" w:sz="0" w:space="0" w:color="auto"/>
                <w:right w:val="none" w:sz="0" w:space="0" w:color="auto"/>
              </w:divBdr>
              <w:divsChild>
                <w:div w:id="1842818481">
                  <w:marLeft w:val="0"/>
                  <w:marRight w:val="0"/>
                  <w:marTop w:val="0"/>
                  <w:marBottom w:val="0"/>
                  <w:divBdr>
                    <w:top w:val="none" w:sz="0" w:space="0" w:color="auto"/>
                    <w:left w:val="none" w:sz="0" w:space="0" w:color="auto"/>
                    <w:bottom w:val="none" w:sz="0" w:space="0" w:color="auto"/>
                    <w:right w:val="none" w:sz="0" w:space="0" w:color="auto"/>
                  </w:divBdr>
                  <w:divsChild>
                    <w:div w:id="1873224756">
                      <w:marLeft w:val="0"/>
                      <w:marRight w:val="0"/>
                      <w:marTop w:val="0"/>
                      <w:marBottom w:val="0"/>
                      <w:divBdr>
                        <w:top w:val="none" w:sz="0" w:space="0" w:color="auto"/>
                        <w:left w:val="none" w:sz="0" w:space="0" w:color="auto"/>
                        <w:bottom w:val="none" w:sz="0" w:space="0" w:color="auto"/>
                        <w:right w:val="none" w:sz="0" w:space="0" w:color="auto"/>
                      </w:divBdr>
                      <w:divsChild>
                        <w:div w:id="774398152">
                          <w:marLeft w:val="0"/>
                          <w:marRight w:val="0"/>
                          <w:marTop w:val="0"/>
                          <w:marBottom w:val="0"/>
                          <w:divBdr>
                            <w:top w:val="none" w:sz="0" w:space="0" w:color="auto"/>
                            <w:left w:val="none" w:sz="0" w:space="0" w:color="auto"/>
                            <w:bottom w:val="none" w:sz="0" w:space="0" w:color="auto"/>
                            <w:right w:val="none" w:sz="0" w:space="0" w:color="auto"/>
                          </w:divBdr>
                          <w:divsChild>
                            <w:div w:id="468595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1924156">
      <w:bodyDiv w:val="1"/>
      <w:marLeft w:val="0"/>
      <w:marRight w:val="0"/>
      <w:marTop w:val="0"/>
      <w:marBottom w:val="0"/>
      <w:divBdr>
        <w:top w:val="none" w:sz="0" w:space="0" w:color="auto"/>
        <w:left w:val="none" w:sz="0" w:space="0" w:color="auto"/>
        <w:bottom w:val="none" w:sz="0" w:space="0" w:color="auto"/>
        <w:right w:val="none" w:sz="0" w:space="0" w:color="auto"/>
      </w:divBdr>
      <w:divsChild>
        <w:div w:id="1143229244">
          <w:marLeft w:val="0"/>
          <w:marRight w:val="0"/>
          <w:marTop w:val="0"/>
          <w:marBottom w:val="0"/>
          <w:divBdr>
            <w:top w:val="none" w:sz="0" w:space="0" w:color="auto"/>
            <w:left w:val="none" w:sz="0" w:space="0" w:color="auto"/>
            <w:bottom w:val="none" w:sz="0" w:space="0" w:color="auto"/>
            <w:right w:val="none" w:sz="0" w:space="0" w:color="auto"/>
          </w:divBdr>
          <w:divsChild>
            <w:div w:id="103623268">
              <w:marLeft w:val="0"/>
              <w:marRight w:val="0"/>
              <w:marTop w:val="0"/>
              <w:marBottom w:val="0"/>
              <w:divBdr>
                <w:top w:val="none" w:sz="0" w:space="0" w:color="auto"/>
                <w:left w:val="none" w:sz="0" w:space="0" w:color="auto"/>
                <w:bottom w:val="none" w:sz="0" w:space="0" w:color="auto"/>
                <w:right w:val="none" w:sz="0" w:space="0" w:color="auto"/>
              </w:divBdr>
              <w:divsChild>
                <w:div w:id="90120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2561417">
      <w:bodyDiv w:val="1"/>
      <w:marLeft w:val="0"/>
      <w:marRight w:val="0"/>
      <w:marTop w:val="0"/>
      <w:marBottom w:val="0"/>
      <w:divBdr>
        <w:top w:val="none" w:sz="0" w:space="0" w:color="auto"/>
        <w:left w:val="none" w:sz="0" w:space="0" w:color="auto"/>
        <w:bottom w:val="none" w:sz="0" w:space="0" w:color="auto"/>
        <w:right w:val="none" w:sz="0" w:space="0" w:color="auto"/>
      </w:divBdr>
      <w:divsChild>
        <w:div w:id="1698459391">
          <w:marLeft w:val="0"/>
          <w:marRight w:val="0"/>
          <w:marTop w:val="0"/>
          <w:marBottom w:val="0"/>
          <w:divBdr>
            <w:top w:val="none" w:sz="0" w:space="0" w:color="auto"/>
            <w:left w:val="none" w:sz="0" w:space="0" w:color="auto"/>
            <w:bottom w:val="none" w:sz="0" w:space="0" w:color="auto"/>
            <w:right w:val="none" w:sz="0" w:space="0" w:color="auto"/>
          </w:divBdr>
          <w:divsChild>
            <w:div w:id="2100634686">
              <w:marLeft w:val="0"/>
              <w:marRight w:val="0"/>
              <w:marTop w:val="0"/>
              <w:marBottom w:val="0"/>
              <w:divBdr>
                <w:top w:val="none" w:sz="0" w:space="0" w:color="auto"/>
                <w:left w:val="none" w:sz="0" w:space="0" w:color="auto"/>
                <w:bottom w:val="none" w:sz="0" w:space="0" w:color="auto"/>
                <w:right w:val="none" w:sz="0" w:space="0" w:color="auto"/>
              </w:divBdr>
              <w:divsChild>
                <w:div w:id="394208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561289">
      <w:bodyDiv w:val="1"/>
      <w:marLeft w:val="0"/>
      <w:marRight w:val="0"/>
      <w:marTop w:val="0"/>
      <w:marBottom w:val="0"/>
      <w:divBdr>
        <w:top w:val="none" w:sz="0" w:space="0" w:color="auto"/>
        <w:left w:val="none" w:sz="0" w:space="0" w:color="auto"/>
        <w:bottom w:val="none" w:sz="0" w:space="0" w:color="auto"/>
        <w:right w:val="none" w:sz="0" w:space="0" w:color="auto"/>
      </w:divBdr>
      <w:divsChild>
        <w:div w:id="1248882185">
          <w:marLeft w:val="0"/>
          <w:marRight w:val="0"/>
          <w:marTop w:val="0"/>
          <w:marBottom w:val="0"/>
          <w:divBdr>
            <w:top w:val="none" w:sz="0" w:space="0" w:color="auto"/>
            <w:left w:val="none" w:sz="0" w:space="0" w:color="auto"/>
            <w:bottom w:val="none" w:sz="0" w:space="0" w:color="auto"/>
            <w:right w:val="none" w:sz="0" w:space="0" w:color="auto"/>
          </w:divBdr>
          <w:divsChild>
            <w:div w:id="1837649414">
              <w:marLeft w:val="0"/>
              <w:marRight w:val="0"/>
              <w:marTop w:val="0"/>
              <w:marBottom w:val="0"/>
              <w:divBdr>
                <w:top w:val="none" w:sz="0" w:space="0" w:color="auto"/>
                <w:left w:val="none" w:sz="0" w:space="0" w:color="auto"/>
                <w:bottom w:val="none" w:sz="0" w:space="0" w:color="auto"/>
                <w:right w:val="none" w:sz="0" w:space="0" w:color="auto"/>
              </w:divBdr>
              <w:divsChild>
                <w:div w:id="225722872">
                  <w:marLeft w:val="0"/>
                  <w:marRight w:val="0"/>
                  <w:marTop w:val="0"/>
                  <w:marBottom w:val="0"/>
                  <w:divBdr>
                    <w:top w:val="none" w:sz="0" w:space="0" w:color="auto"/>
                    <w:left w:val="none" w:sz="0" w:space="0" w:color="auto"/>
                    <w:bottom w:val="none" w:sz="0" w:space="0" w:color="auto"/>
                    <w:right w:val="none" w:sz="0" w:space="0" w:color="auto"/>
                  </w:divBdr>
                  <w:divsChild>
                    <w:div w:id="319502867">
                      <w:marLeft w:val="22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538107">
      <w:bodyDiv w:val="1"/>
      <w:marLeft w:val="0"/>
      <w:marRight w:val="0"/>
      <w:marTop w:val="0"/>
      <w:marBottom w:val="0"/>
      <w:divBdr>
        <w:top w:val="none" w:sz="0" w:space="0" w:color="auto"/>
        <w:left w:val="none" w:sz="0" w:space="0" w:color="auto"/>
        <w:bottom w:val="none" w:sz="0" w:space="0" w:color="auto"/>
        <w:right w:val="none" w:sz="0" w:space="0" w:color="auto"/>
      </w:divBdr>
      <w:divsChild>
        <w:div w:id="1039938987">
          <w:marLeft w:val="0"/>
          <w:marRight w:val="0"/>
          <w:marTop w:val="0"/>
          <w:marBottom w:val="0"/>
          <w:divBdr>
            <w:top w:val="none" w:sz="0" w:space="0" w:color="auto"/>
            <w:left w:val="none" w:sz="0" w:space="0" w:color="auto"/>
            <w:bottom w:val="none" w:sz="0" w:space="0" w:color="auto"/>
            <w:right w:val="none" w:sz="0" w:space="0" w:color="auto"/>
          </w:divBdr>
          <w:divsChild>
            <w:div w:id="1858040178">
              <w:marLeft w:val="0"/>
              <w:marRight w:val="0"/>
              <w:marTop w:val="0"/>
              <w:marBottom w:val="0"/>
              <w:divBdr>
                <w:top w:val="none" w:sz="0" w:space="0" w:color="auto"/>
                <w:left w:val="none" w:sz="0" w:space="0" w:color="auto"/>
                <w:bottom w:val="none" w:sz="0" w:space="0" w:color="auto"/>
                <w:right w:val="none" w:sz="0" w:space="0" w:color="auto"/>
              </w:divBdr>
              <w:divsChild>
                <w:div w:id="1988050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2622010">
      <w:bodyDiv w:val="1"/>
      <w:marLeft w:val="0"/>
      <w:marRight w:val="0"/>
      <w:marTop w:val="0"/>
      <w:marBottom w:val="0"/>
      <w:divBdr>
        <w:top w:val="none" w:sz="0" w:space="0" w:color="auto"/>
        <w:left w:val="none" w:sz="0" w:space="0" w:color="auto"/>
        <w:bottom w:val="none" w:sz="0" w:space="0" w:color="auto"/>
        <w:right w:val="none" w:sz="0" w:space="0" w:color="auto"/>
      </w:divBdr>
      <w:divsChild>
        <w:div w:id="728378404">
          <w:marLeft w:val="0"/>
          <w:marRight w:val="0"/>
          <w:marTop w:val="0"/>
          <w:marBottom w:val="0"/>
          <w:divBdr>
            <w:top w:val="none" w:sz="0" w:space="0" w:color="auto"/>
            <w:left w:val="none" w:sz="0" w:space="0" w:color="auto"/>
            <w:bottom w:val="none" w:sz="0" w:space="0" w:color="auto"/>
            <w:right w:val="none" w:sz="0" w:space="0" w:color="auto"/>
          </w:divBdr>
          <w:divsChild>
            <w:div w:id="1884755383">
              <w:marLeft w:val="0"/>
              <w:marRight w:val="0"/>
              <w:marTop w:val="0"/>
              <w:marBottom w:val="0"/>
              <w:divBdr>
                <w:top w:val="none" w:sz="0" w:space="0" w:color="auto"/>
                <w:left w:val="none" w:sz="0" w:space="0" w:color="auto"/>
                <w:bottom w:val="none" w:sz="0" w:space="0" w:color="auto"/>
                <w:right w:val="none" w:sz="0" w:space="0" w:color="auto"/>
              </w:divBdr>
              <w:divsChild>
                <w:div w:id="195528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7231870">
      <w:bodyDiv w:val="1"/>
      <w:marLeft w:val="0"/>
      <w:marRight w:val="0"/>
      <w:marTop w:val="0"/>
      <w:marBottom w:val="0"/>
      <w:divBdr>
        <w:top w:val="none" w:sz="0" w:space="0" w:color="auto"/>
        <w:left w:val="none" w:sz="0" w:space="0" w:color="auto"/>
        <w:bottom w:val="none" w:sz="0" w:space="0" w:color="auto"/>
        <w:right w:val="none" w:sz="0" w:space="0" w:color="auto"/>
      </w:divBdr>
      <w:divsChild>
        <w:div w:id="1247573970">
          <w:marLeft w:val="0"/>
          <w:marRight w:val="0"/>
          <w:marTop w:val="0"/>
          <w:marBottom w:val="0"/>
          <w:divBdr>
            <w:top w:val="none" w:sz="0" w:space="0" w:color="auto"/>
            <w:left w:val="none" w:sz="0" w:space="0" w:color="auto"/>
            <w:bottom w:val="none" w:sz="0" w:space="0" w:color="auto"/>
            <w:right w:val="none" w:sz="0" w:space="0" w:color="auto"/>
          </w:divBdr>
          <w:divsChild>
            <w:div w:id="275479412">
              <w:marLeft w:val="0"/>
              <w:marRight w:val="0"/>
              <w:marTop w:val="0"/>
              <w:marBottom w:val="0"/>
              <w:divBdr>
                <w:top w:val="none" w:sz="0" w:space="0" w:color="auto"/>
                <w:left w:val="none" w:sz="0" w:space="0" w:color="auto"/>
                <w:bottom w:val="none" w:sz="0" w:space="0" w:color="auto"/>
                <w:right w:val="none" w:sz="0" w:space="0" w:color="auto"/>
              </w:divBdr>
              <w:divsChild>
                <w:div w:id="30894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929354">
      <w:bodyDiv w:val="1"/>
      <w:marLeft w:val="0"/>
      <w:marRight w:val="0"/>
      <w:marTop w:val="0"/>
      <w:marBottom w:val="0"/>
      <w:divBdr>
        <w:top w:val="none" w:sz="0" w:space="0" w:color="auto"/>
        <w:left w:val="none" w:sz="0" w:space="0" w:color="auto"/>
        <w:bottom w:val="none" w:sz="0" w:space="0" w:color="auto"/>
        <w:right w:val="none" w:sz="0" w:space="0" w:color="auto"/>
      </w:divBdr>
      <w:divsChild>
        <w:div w:id="54205098">
          <w:marLeft w:val="0"/>
          <w:marRight w:val="0"/>
          <w:marTop w:val="0"/>
          <w:marBottom w:val="0"/>
          <w:divBdr>
            <w:top w:val="none" w:sz="0" w:space="0" w:color="auto"/>
            <w:left w:val="none" w:sz="0" w:space="0" w:color="auto"/>
            <w:bottom w:val="none" w:sz="0" w:space="0" w:color="auto"/>
            <w:right w:val="none" w:sz="0" w:space="0" w:color="auto"/>
          </w:divBdr>
          <w:divsChild>
            <w:div w:id="224295194">
              <w:marLeft w:val="0"/>
              <w:marRight w:val="0"/>
              <w:marTop w:val="0"/>
              <w:marBottom w:val="0"/>
              <w:divBdr>
                <w:top w:val="none" w:sz="0" w:space="0" w:color="auto"/>
                <w:left w:val="none" w:sz="0" w:space="0" w:color="auto"/>
                <w:bottom w:val="none" w:sz="0" w:space="0" w:color="auto"/>
                <w:right w:val="none" w:sz="0" w:space="0" w:color="auto"/>
              </w:divBdr>
              <w:divsChild>
                <w:div w:id="678311076">
                  <w:marLeft w:val="0"/>
                  <w:marRight w:val="0"/>
                  <w:marTop w:val="0"/>
                  <w:marBottom w:val="0"/>
                  <w:divBdr>
                    <w:top w:val="none" w:sz="0" w:space="0" w:color="auto"/>
                    <w:left w:val="none" w:sz="0" w:space="0" w:color="auto"/>
                    <w:bottom w:val="none" w:sz="0" w:space="0" w:color="auto"/>
                    <w:right w:val="none" w:sz="0" w:space="0" w:color="auto"/>
                  </w:divBdr>
                </w:div>
                <w:div w:id="2030527025">
                  <w:marLeft w:val="0"/>
                  <w:marRight w:val="0"/>
                  <w:marTop w:val="0"/>
                  <w:marBottom w:val="0"/>
                  <w:divBdr>
                    <w:top w:val="none" w:sz="0" w:space="0" w:color="auto"/>
                    <w:left w:val="none" w:sz="0" w:space="0" w:color="auto"/>
                    <w:bottom w:val="none" w:sz="0" w:space="0" w:color="auto"/>
                    <w:right w:val="none" w:sz="0" w:space="0" w:color="auto"/>
                  </w:divBdr>
                </w:div>
              </w:divsChild>
            </w:div>
            <w:div w:id="668798029">
              <w:marLeft w:val="0"/>
              <w:marRight w:val="0"/>
              <w:marTop w:val="0"/>
              <w:marBottom w:val="0"/>
              <w:divBdr>
                <w:top w:val="none" w:sz="0" w:space="0" w:color="auto"/>
                <w:left w:val="none" w:sz="0" w:space="0" w:color="auto"/>
                <w:bottom w:val="none" w:sz="0" w:space="0" w:color="auto"/>
                <w:right w:val="none" w:sz="0" w:space="0" w:color="auto"/>
              </w:divBdr>
              <w:divsChild>
                <w:div w:id="15442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645273">
          <w:marLeft w:val="0"/>
          <w:marRight w:val="0"/>
          <w:marTop w:val="0"/>
          <w:marBottom w:val="0"/>
          <w:divBdr>
            <w:top w:val="none" w:sz="0" w:space="0" w:color="auto"/>
            <w:left w:val="none" w:sz="0" w:space="0" w:color="auto"/>
            <w:bottom w:val="none" w:sz="0" w:space="0" w:color="auto"/>
            <w:right w:val="none" w:sz="0" w:space="0" w:color="auto"/>
          </w:divBdr>
          <w:divsChild>
            <w:div w:id="244654033">
              <w:marLeft w:val="0"/>
              <w:marRight w:val="0"/>
              <w:marTop w:val="0"/>
              <w:marBottom w:val="0"/>
              <w:divBdr>
                <w:top w:val="none" w:sz="0" w:space="0" w:color="auto"/>
                <w:left w:val="none" w:sz="0" w:space="0" w:color="auto"/>
                <w:bottom w:val="none" w:sz="0" w:space="0" w:color="auto"/>
                <w:right w:val="none" w:sz="0" w:space="0" w:color="auto"/>
              </w:divBdr>
              <w:divsChild>
                <w:div w:id="120154095">
                  <w:marLeft w:val="0"/>
                  <w:marRight w:val="0"/>
                  <w:marTop w:val="0"/>
                  <w:marBottom w:val="0"/>
                  <w:divBdr>
                    <w:top w:val="none" w:sz="0" w:space="0" w:color="auto"/>
                    <w:left w:val="none" w:sz="0" w:space="0" w:color="auto"/>
                    <w:bottom w:val="none" w:sz="0" w:space="0" w:color="auto"/>
                    <w:right w:val="none" w:sz="0" w:space="0" w:color="auto"/>
                  </w:divBdr>
                </w:div>
                <w:div w:id="1697123609">
                  <w:marLeft w:val="0"/>
                  <w:marRight w:val="0"/>
                  <w:marTop w:val="0"/>
                  <w:marBottom w:val="0"/>
                  <w:divBdr>
                    <w:top w:val="none" w:sz="0" w:space="0" w:color="auto"/>
                    <w:left w:val="none" w:sz="0" w:space="0" w:color="auto"/>
                    <w:bottom w:val="none" w:sz="0" w:space="0" w:color="auto"/>
                    <w:right w:val="none" w:sz="0" w:space="0" w:color="auto"/>
                  </w:divBdr>
                </w:div>
              </w:divsChild>
            </w:div>
            <w:div w:id="505022818">
              <w:marLeft w:val="0"/>
              <w:marRight w:val="0"/>
              <w:marTop w:val="0"/>
              <w:marBottom w:val="0"/>
              <w:divBdr>
                <w:top w:val="none" w:sz="0" w:space="0" w:color="auto"/>
                <w:left w:val="none" w:sz="0" w:space="0" w:color="auto"/>
                <w:bottom w:val="none" w:sz="0" w:space="0" w:color="auto"/>
                <w:right w:val="none" w:sz="0" w:space="0" w:color="auto"/>
              </w:divBdr>
              <w:divsChild>
                <w:div w:id="2057318397">
                  <w:marLeft w:val="0"/>
                  <w:marRight w:val="0"/>
                  <w:marTop w:val="0"/>
                  <w:marBottom w:val="0"/>
                  <w:divBdr>
                    <w:top w:val="none" w:sz="0" w:space="0" w:color="auto"/>
                    <w:left w:val="none" w:sz="0" w:space="0" w:color="auto"/>
                    <w:bottom w:val="none" w:sz="0" w:space="0" w:color="auto"/>
                    <w:right w:val="none" w:sz="0" w:space="0" w:color="auto"/>
                  </w:divBdr>
                </w:div>
              </w:divsChild>
            </w:div>
            <w:div w:id="1505438145">
              <w:marLeft w:val="0"/>
              <w:marRight w:val="0"/>
              <w:marTop w:val="0"/>
              <w:marBottom w:val="0"/>
              <w:divBdr>
                <w:top w:val="none" w:sz="0" w:space="0" w:color="auto"/>
                <w:left w:val="none" w:sz="0" w:space="0" w:color="auto"/>
                <w:bottom w:val="none" w:sz="0" w:space="0" w:color="auto"/>
                <w:right w:val="none" w:sz="0" w:space="0" w:color="auto"/>
              </w:divBdr>
              <w:divsChild>
                <w:div w:id="45032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1647261">
      <w:bodyDiv w:val="1"/>
      <w:marLeft w:val="0"/>
      <w:marRight w:val="0"/>
      <w:marTop w:val="0"/>
      <w:marBottom w:val="0"/>
      <w:divBdr>
        <w:top w:val="none" w:sz="0" w:space="0" w:color="auto"/>
        <w:left w:val="none" w:sz="0" w:space="0" w:color="auto"/>
        <w:bottom w:val="none" w:sz="0" w:space="0" w:color="auto"/>
        <w:right w:val="none" w:sz="0" w:space="0" w:color="auto"/>
      </w:divBdr>
      <w:divsChild>
        <w:div w:id="1879513019">
          <w:marLeft w:val="0"/>
          <w:marRight w:val="0"/>
          <w:marTop w:val="0"/>
          <w:marBottom w:val="0"/>
          <w:divBdr>
            <w:top w:val="none" w:sz="0" w:space="0" w:color="auto"/>
            <w:left w:val="none" w:sz="0" w:space="0" w:color="auto"/>
            <w:bottom w:val="none" w:sz="0" w:space="0" w:color="auto"/>
            <w:right w:val="none" w:sz="0" w:space="0" w:color="auto"/>
          </w:divBdr>
          <w:divsChild>
            <w:div w:id="566458192">
              <w:marLeft w:val="0"/>
              <w:marRight w:val="0"/>
              <w:marTop w:val="0"/>
              <w:marBottom w:val="0"/>
              <w:divBdr>
                <w:top w:val="none" w:sz="0" w:space="0" w:color="auto"/>
                <w:left w:val="none" w:sz="0" w:space="0" w:color="auto"/>
                <w:bottom w:val="none" w:sz="0" w:space="0" w:color="auto"/>
                <w:right w:val="none" w:sz="0" w:space="0" w:color="auto"/>
              </w:divBdr>
              <w:divsChild>
                <w:div w:id="95128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2753475">
      <w:bodyDiv w:val="1"/>
      <w:marLeft w:val="0"/>
      <w:marRight w:val="0"/>
      <w:marTop w:val="0"/>
      <w:marBottom w:val="0"/>
      <w:divBdr>
        <w:top w:val="none" w:sz="0" w:space="0" w:color="auto"/>
        <w:left w:val="none" w:sz="0" w:space="0" w:color="auto"/>
        <w:bottom w:val="none" w:sz="0" w:space="0" w:color="auto"/>
        <w:right w:val="none" w:sz="0" w:space="0" w:color="auto"/>
      </w:divBdr>
      <w:divsChild>
        <w:div w:id="1020551391">
          <w:marLeft w:val="0"/>
          <w:marRight w:val="0"/>
          <w:marTop w:val="0"/>
          <w:marBottom w:val="0"/>
          <w:divBdr>
            <w:top w:val="none" w:sz="0" w:space="0" w:color="auto"/>
            <w:left w:val="none" w:sz="0" w:space="0" w:color="auto"/>
            <w:bottom w:val="none" w:sz="0" w:space="0" w:color="auto"/>
            <w:right w:val="none" w:sz="0" w:space="0" w:color="auto"/>
          </w:divBdr>
          <w:divsChild>
            <w:div w:id="383917376">
              <w:marLeft w:val="0"/>
              <w:marRight w:val="0"/>
              <w:marTop w:val="0"/>
              <w:marBottom w:val="0"/>
              <w:divBdr>
                <w:top w:val="none" w:sz="0" w:space="0" w:color="auto"/>
                <w:left w:val="none" w:sz="0" w:space="0" w:color="auto"/>
                <w:bottom w:val="none" w:sz="0" w:space="0" w:color="auto"/>
                <w:right w:val="none" w:sz="0" w:space="0" w:color="auto"/>
              </w:divBdr>
              <w:divsChild>
                <w:div w:id="79233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952">
      <w:bodyDiv w:val="1"/>
      <w:marLeft w:val="0"/>
      <w:marRight w:val="0"/>
      <w:marTop w:val="0"/>
      <w:marBottom w:val="0"/>
      <w:divBdr>
        <w:top w:val="none" w:sz="0" w:space="0" w:color="auto"/>
        <w:left w:val="none" w:sz="0" w:space="0" w:color="auto"/>
        <w:bottom w:val="none" w:sz="0" w:space="0" w:color="auto"/>
        <w:right w:val="none" w:sz="0" w:space="0" w:color="auto"/>
      </w:divBdr>
      <w:divsChild>
        <w:div w:id="662317095">
          <w:marLeft w:val="0"/>
          <w:marRight w:val="0"/>
          <w:marTop w:val="0"/>
          <w:marBottom w:val="0"/>
          <w:divBdr>
            <w:top w:val="none" w:sz="0" w:space="0" w:color="auto"/>
            <w:left w:val="none" w:sz="0" w:space="0" w:color="auto"/>
            <w:bottom w:val="none" w:sz="0" w:space="0" w:color="auto"/>
            <w:right w:val="none" w:sz="0" w:space="0" w:color="auto"/>
          </w:divBdr>
          <w:divsChild>
            <w:div w:id="2057045470">
              <w:marLeft w:val="0"/>
              <w:marRight w:val="0"/>
              <w:marTop w:val="0"/>
              <w:marBottom w:val="0"/>
              <w:divBdr>
                <w:top w:val="none" w:sz="0" w:space="0" w:color="auto"/>
                <w:left w:val="none" w:sz="0" w:space="0" w:color="auto"/>
                <w:bottom w:val="none" w:sz="0" w:space="0" w:color="auto"/>
                <w:right w:val="none" w:sz="0" w:space="0" w:color="auto"/>
              </w:divBdr>
              <w:divsChild>
                <w:div w:id="151953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gif"/><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oter" Target="footer5.xml"/><Relationship Id="rId28"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image" Target="media/image4.png"/><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AGRI-FINANCIAL-AUDIT@ec.europa.eu"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circabc.europa.eu/faces/jsp/extension/wai/navigation/container.jsp?FormPrincipal:_idcl=navigationLibrary&amp;FormPrincipal_SUBMIT=1&amp;org.apache.myfaces.trinidad.faces.STATE=DUMMY&amp;id=87d4a972-49f2-4be9-95e7-75b43498696a&amp;javax.faces.ViewState=rO0ABXVyABNbTGphdmEubGFuZy5PYmplY3Q7kM5YnxBzKWwCAAB4cAAAAAN0AAIxNHB0ACsvanNwL2V4dGVuc2lvbi93YWkvbmF2aWdhdGlvbi9jb250YWluZXIuanNw" TargetMode="External"/><Relationship Id="rId2" Type="http://schemas.openxmlformats.org/officeDocument/2006/relationships/hyperlink" Target="https://circabc.europa.eu/faces/jsp/extension/wai/navigation/container.jsp?FormPrincipal:_idcl=navigationLibrary&amp;FormPrincipal_SUBMIT=1&amp;org.apache.myfaces.trinidad.faces.STATE=DUMMY&amp;id=e4e041ab-f8a1-48c7-bad2-2cae7de16e73&amp;javax.faces.ViewState=rO0ABXVyABNbTGphdmEubGFuZy5PYmplY3Q7kM5YnxBzKWwCAAB4cAAAAAN0AAIxNHB0ACsvanNwL2V4dGVuc2lvbi93YWkvbmF2aWdhdGlvbi9jb250YWluZXIuanNw" TargetMode="External"/><Relationship Id="rId1" Type="http://schemas.openxmlformats.org/officeDocument/2006/relationships/hyperlink" Target="https://circabc.europa.eu/faces/jsp/extension/wai/navigation/container.jsp?FormPrincipal:_idcl=navigationLibrary&amp;FormPrincipal_SUBMIT=1&amp;org.apache.myfaces.trinidad.faces.STATE=DUMMY&amp;id=a392af30-1e6d-4e08-ac96-ab18399f2eaf&amp;javax.faces.ViewState=rO0ABXVyABNbTGphdmEubGFuZy5PYmplY3Q7kM5YnxBzKWwCAAB4cAAAAAN0AAIxNHB0ACsvanNwL2V4dGVuc2lvbi93YWkvbmF2aWdhdGlvbi9jb250YWluZXIuanNw" TargetMode="External"/><Relationship Id="rId4" Type="http://schemas.openxmlformats.org/officeDocument/2006/relationships/hyperlink" Target="https://circabc.europa.eu/faces/jsp/extension/wai/navigation/container.jsp?FormPrincipal:_idcl=navigationLibrary&amp;FormPrincipal_SUBMIT=1&amp;org.apache.myfaces.trinidad.faces.STATE=DUMMY&amp;id=7db4c53d-bc29-4084-9d9a-e8897a4bfabe&amp;javax.faces.ViewState=rO0ABXVyABNbTGphdmEubGFuZy5PYmplY3Q7kM5YnxBzKWwCAAB4cAAAAAN0AAIxNHB0ACsvanNwL2V4dGVuc2lvbi93YWkvbmF2aWdhdGlvbi9jb250YWluZXIuanN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Texts>
  <SecurityPersonalData>Personal data</SecurityPersonalData>
  <SecurityLimitedDG>Limited</SecurityLimitedDG>
  <SecurityPharma>Pharma investigations</SecurityPharma>
  <SecurityMediationServiceMatter>Mediation Service matter</SecurityMediationServiceMatter>
  <SecurityDeadline>Deadline</SecurityDeadline>
  <SecurityEconomyAndFinance>Economy and finance – special handling</SecurityEconomyAndFinance>
  <FooterFax>Fax</FooterFax>
  <NoteCopy>c.c.:</NoteCopy>
  <FooterOffice>Office:</FooterOffice>
  <SecurityOlafInvestigations>OLAF investigations</SecurityOlafInvestigations>
  <NoteReference>Ref.:</NoteReference>
  <SecurityInternal>Commission internal</SecurityInternal>
  <NoteFile>Note for the File</NoteFile>
  <SecurityOlafSpecialHandling>OLAF investigations – special handling</SecurityOlafSpecialHandling>
  <NoteParticipants>Participants:</NoteParticipants>
  <SecurityPersonal>Personal</SecurityPersonal>
  <CourtProceduralDocuments>Court procedural documents</CourtProceduralDocuments>
  <SecurityCompOperationsHandling>Handling instructions are provided by the DG COMP (comp-lso@ec.europa.eu)</SecurityCompOperationsHandling>
  <NoteParticipant>Participant:</NoteParticipant>
  <OrgaRoot>EUROPEAN COMMISSION</OrgaRoot>
  <NoteCopies>c.c.:</NoteCopies>
  <NoteSubject>Subject:</NoteSubject>
  <Contact>Contact:</Contact>
  <SecurityInvestigationsDisciplinary>Investigations and disciplinary matters</SecurityInvestigationsDisciplinary>
  <SecurityCompOperations>COMP operations</SecurityCompOperations>
  <NoteEnclosure>Enclosure:</NoteEnclosure>
  <SecurityEuSatellite>EU satellite navigation matters</SecurityEuSatellite>
  <SecurityReleasable>RELEASABLE TO [...]</SecurityReleasable>
  <AddresseeTo>To:</AddresseeTo>
  <SecurityEtsLimited>ETS limited</SecurityEtsLimited>
  <SecurityStaffMatter>Staff matter</SecurityStaffMatter>
  <SecurityOpinionLegalService>Opinion of the Legal Service</SecurityOpinionLegalService>
  <SecurityEtsSensitive>ETS sensitive</SecurityEtsSensitive>
  <NoteHead>Note for the attention of</NoteHead>
  <SecurityEtsCritical>ETS critical</SecurityEtsCritical>
  <SecurityCompSpecial>COMP - special handling</SecurityCompSpecial>
  <SecurityOpinionOfTheLegalService>This document contains legal advice and is only for the use of the services to which it is addressed. It may not be transmitted outside the European Commission and its content may not be reproduced in documents to be sent outside the European Commission.	 It may be protected pursuant to Article 4 of Regulation (EC) No 1049/2001 of the European Parliament and of the Council and may only be disclosed under the procedures provided for in Commission Decision 2001/937/EC, ECSC, Euratom.</SecurityOpinionOfTheLegalService>
  <SecurityPharmaSpecial>Pharma investigations – special handling</SecurityPharmaSpecial>
  <TOCHeading>Table of Contents</TOCHeading>
  <AddressFooterBrussels>Commission européenne/Europese Commissie, 1049 Bruxelles/Brussel, BELGIQUE/BELGIË — Tel. +32 22991111</AddressFooterBrussels>
  <SecurityIasOperations>IAS operations</SecurityIasOperations>
  <FooterPhone>Tel. direct line</FooterPhone>
  <SecuritySecurityMatter>Security matter</SecuritySecurityMatter>
  <SecurityPersonalDataHandling>Shall only be communicated on a need to know basis pursuant to Regulation (EC) No 45/2001. Where e-mail is used, this must be encrypted using SECEM.</SecurityPersonalDataHandling>
  <NoteEnclosures>Enclosures:</NoteEnclosures>
  <SecurityLimitedServiceUnitGroup>Limited</SecurityLimitedServiceUnitGroup>
  <SecurityMedicalSecret>Medical secret</SecurityMedicalSecret>
  <Contacts>Contacts:</Contacts>
  <SecurityEmbargo>Embargo until</SecurityEmbargo>
  <SecurityLimited>Limited</SecurityLimited>
  <DateFormatShort>dd/MM/yyyy</DateFormatShort>
  <DateFormatLong>d MMMM yyyy</DateFormatLong>
</Texts>
</file>

<file path=customXml/item2.xml><?xml version="1.0" encoding="utf-8"?>
<EurolookProperties>
  <ProductCustomizationId/>
  <Created>
    <Version>4.1</Version>
    <Date>2018-08-28T14:32:12</Date>
    <Language>EN</Language>
  </Created>
  <Edited>
    <Version>10.0.38495.0</Version>
    <Date>2019-08-22T12:35:53</Date>
  </Edited>
  <DocumentModel>
    <Id>0b054141-88b1-4efb-8c91-2905cb0bed6c</Id>
    <Name>Note</Name>
  </DocumentModel>
  <DocumentDate/>
  <DocumentVersion/>
  <CompatibilityMode>Eurolook4x</CompatibilityMode>
  <Address/>
</EurolookProperties>
</file>

<file path=customXml/item3.xml><?xml version="1.0" encoding="utf-8"?>
<Author Role="Creator">
  <Id>6999b7d8-ca82-4cca-b659-012b6128f4f6</Id>
  <Names>
    <Latin>
      <FirstName>Iliyana</FirstName>
      <LastName>ILIEVA</LastName>
    </Latin>
    <Greek>
      <FirstName/>
      <LastName/>
    </Greek>
    <Cyrillic>
      <FirstName/>
      <LastName/>
    </Cyrillic>
    <DocumentScript>
      <FirstName>Iliyana</FirstName>
      <LastName>ILIEVA</LastName>
      <FullName>Iliyana ILIEVA</FullName>
    </DocumentScript>
  </Names>
  <Initials>II</Initials>
  <Gender>f</Gender>
  <Email>Iliyana.ILIEVA@ec.europa.eu</Email>
  <Service>AGRI.DDG3.H.5</Service>
  <Function/>
  <WebAddress/>
  <InheritedWebAddress>WebAddress</InheritedWebAddress>
  <OrgaEntity1>
    <Id>470cbc82-089a-40a5-a69c-f5abfd74f289</Id>
    <LogicalLevel>1</LogicalLevel>
    <Name>AGRI</Name>
    <HeadLine1>DIRECTORATE-GENERAL FOR AGRICULTURE AND RURAL DEVELOPMENT</HeadLine1>
    <HeadLine2/>
    <PrimaryAddressId>f03b5801-04c9-4931-aa17-c6d6c70bc579</PrimaryAddressId>
    <SecondaryAddressId/>
    <WebAddress>WebAddress</WebAddress>
    <InheritedWebAddress>WebAddress</InheritedWebAddress>
    <ShowInHeader>true</ShowInHeader>
  </OrgaEntity1>
  <OrgaEntity2>
    <Id>e1be2115-331d-411d-8aa7-cc8751fad1e8</Id>
    <LogicalLevel>2</LogicalLevel>
    <Name>AGRI.H</Name>
    <HeadLine1>Directorate H. Assurance and Audit</HeadLine1>
    <HeadLine2/>
    <PrimaryAddressId>f03b5801-04c9-4931-aa17-c6d6c70bc579</PrimaryAddressId>
    <SecondaryAddressId/>
    <WebAddress/>
    <InheritedWebAddress>WebAddress</InheritedWebAddress>
    <ShowInHeader>true</ShowInHeader>
  </OrgaEntity2>
  <OrgaEntity3>
    <Id>82f5ef33-a19a-4ba9-8dcf-d1b02770e3d7</Id>
    <LogicalLevel>3</LogicalLevel>
    <Name>AGRI.DDG3.H.5</Name>
    <HeadLine1>H.5. Assurance and financial audit</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+32 229 95479</Phone>
    <Office>L130 03/210</Office>
  </MainWorkplace>
  <Workplaces>
    <Workplace IsMain="false">
      <AddressId>1264fb81-f6bb-475e-9f9d-a937d3be6ee2</AddressId>
      <Fax/>
      <Phone/>
      <Office/>
    </Workplace>
    <Workplace IsMain="true">
      <AddressId>f03b5801-04c9-4931-aa17-c6d6c70bc579</AddressId>
      <Fax/>
      <Phone>+32 229 95479</Phone>
      <Office>L130 03/210</Office>
    </Workplace>
  </Workplaces>
</Author>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203D7-F8A5-4928-95CA-D3DFB13F13B7}">
  <ds:schemaRefs/>
</ds:datastoreItem>
</file>

<file path=customXml/itemProps2.xml><?xml version="1.0" encoding="utf-8"?>
<ds:datastoreItem xmlns:ds="http://schemas.openxmlformats.org/officeDocument/2006/customXml" ds:itemID="{E3E78471-5D9F-46C1-95AE-5D8A0F5B4646}">
  <ds:schemaRefs/>
</ds:datastoreItem>
</file>

<file path=customXml/itemProps3.xml><?xml version="1.0" encoding="utf-8"?>
<ds:datastoreItem xmlns:ds="http://schemas.openxmlformats.org/officeDocument/2006/customXml" ds:itemID="{F6B428BE-D7EF-4116-886C-AAE959E8C4D2}">
  <ds:schemaRefs/>
</ds:datastoreItem>
</file>

<file path=customXml/itemProps4.xml><?xml version="1.0" encoding="utf-8"?>
<ds:datastoreItem xmlns:ds="http://schemas.openxmlformats.org/officeDocument/2006/customXml" ds:itemID="{7E46BF5F-9BCD-441F-B56C-A1D862F41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Eurolook.dotm</Template>
  <TotalTime>45</TotalTime>
  <Pages>90</Pages>
  <Words>32445</Words>
  <Characters>172937</Characters>
  <Application>Microsoft Office Word</Application>
  <DocSecurity>0</DocSecurity>
  <Lines>3759</Lines>
  <Paragraphs>1544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203838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ILIEVA Mariya (AGRI);Anett Török-Vivanco</dc:creator>
  <cp:lastModifiedBy>DIOS LOPEZ DE LA LLAVE Guadalupe (DGT)</cp:lastModifiedBy>
  <cp:revision>11</cp:revision>
  <cp:lastPrinted>2019-06-11T07:58:00Z</cp:lastPrinted>
  <dcterms:created xsi:type="dcterms:W3CDTF">2019-06-27T08:16:00Z</dcterms:created>
  <dcterms:modified xsi:type="dcterms:W3CDTF">2019-08-22T10:35:00Z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4.1.6.3</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[20070312]</vt:lpwstr>
  </property>
  <property fmtid="{D5CDD505-2E9C-101B-9397-08002B2CF9AE}" pid="6" name="Formatting">
    <vt:lpwstr>4.1</vt:lpwstr>
  </property>
  <property fmtid="{D5CDD505-2E9C-101B-9397-08002B2CF9AE}" pid="7" name="Last edited using">
    <vt:lpwstr>EL 4.6 Build 50000</vt:lpwstr>
  </property>
  <property fmtid="{D5CDD505-2E9C-101B-9397-08002B2CF9AE}" pid="8" name="EL_Author">
    <vt:lpwstr>M. RICKER</vt:lpwstr>
  </property>
  <property fmtid="{D5CDD505-2E9C-101B-9397-08002B2CF9AE}" pid="9" name="Type">
    <vt:lpwstr>Eurolook Note &amp; Letter</vt:lpwstr>
  </property>
  <property fmtid="{D5CDD505-2E9C-101B-9397-08002B2CF9AE}" pid="10" name="Language">
    <vt:lpwstr>EN</vt:lpwstr>
  </property>
  <property fmtid="{D5CDD505-2E9C-101B-9397-08002B2CF9AE}" pid="11" name="EL_Language">
    <vt:lpwstr>EN</vt:lpwstr>
  </property>
  <property fmtid="{D5CDD505-2E9C-101B-9397-08002B2CF9AE}" pid="12" name="ELDocType">
    <vt:lpwstr>not.dot</vt:lpwstr>
  </property>
</Properties>
</file>