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324" w:rsidRPr="00CC0A22" w:rsidRDefault="00A44324" w:rsidP="00A44324">
      <w:pPr>
        <w:jc w:val="center"/>
        <w:rPr>
          <w:b/>
          <w:color w:val="000000"/>
          <w:sz w:val="22"/>
          <w:szCs w:val="22"/>
        </w:rPr>
      </w:pPr>
      <w:bookmarkStart w:id="0" w:name="_GoBack"/>
      <w:bookmarkEnd w:id="0"/>
      <w:r w:rsidRPr="00CC0A22">
        <w:rPr>
          <w:b/>
          <w:color w:val="000000"/>
          <w:sz w:val="22"/>
          <w:szCs w:val="22"/>
        </w:rPr>
        <w:t>ANEXO VII</w:t>
      </w:r>
    </w:p>
    <w:p w:rsidR="00A44324" w:rsidRPr="00CC0A22" w:rsidRDefault="00A44324" w:rsidP="00A44324">
      <w:pPr>
        <w:jc w:val="center"/>
        <w:rPr>
          <w:b/>
          <w:color w:val="000000"/>
          <w:sz w:val="22"/>
          <w:szCs w:val="22"/>
          <w:u w:val="single"/>
        </w:rPr>
      </w:pPr>
    </w:p>
    <w:p w:rsidR="00A44324" w:rsidRPr="00CC0A22" w:rsidRDefault="00A44324" w:rsidP="00A44324">
      <w:pPr>
        <w:jc w:val="center"/>
        <w:rPr>
          <w:color w:val="000000"/>
          <w:sz w:val="22"/>
          <w:szCs w:val="22"/>
        </w:rPr>
      </w:pPr>
    </w:p>
    <w:p w:rsidR="00A44324" w:rsidRPr="00CC0A22" w:rsidRDefault="00A44324" w:rsidP="00A44324">
      <w:pPr>
        <w:jc w:val="center"/>
        <w:rPr>
          <w:b/>
          <w:color w:val="000000"/>
          <w:sz w:val="22"/>
          <w:szCs w:val="22"/>
        </w:rPr>
      </w:pPr>
      <w:r w:rsidRPr="00CC0A22">
        <w:rPr>
          <w:b/>
          <w:color w:val="000000"/>
          <w:sz w:val="22"/>
          <w:szCs w:val="22"/>
        </w:rPr>
        <w:t xml:space="preserve">PARA FACILITAR LA VALORACIÓN TÉCNICA OBJETIVA DE LAS OFERTAS </w:t>
      </w:r>
    </w:p>
    <w:p w:rsidR="00A44324" w:rsidRPr="00CC0A22" w:rsidRDefault="00A44324" w:rsidP="00A44324">
      <w:pPr>
        <w:jc w:val="center"/>
        <w:rPr>
          <w:b/>
          <w:color w:val="000000"/>
          <w:sz w:val="22"/>
          <w:szCs w:val="22"/>
        </w:rPr>
      </w:pPr>
    </w:p>
    <w:p w:rsidR="00A44324" w:rsidRPr="00CC0A22" w:rsidRDefault="00A44324" w:rsidP="00A44324">
      <w:pPr>
        <w:jc w:val="center"/>
        <w:outlineLvl w:val="0"/>
        <w:rPr>
          <w:b/>
          <w:color w:val="000000"/>
          <w:sz w:val="22"/>
          <w:szCs w:val="22"/>
        </w:rPr>
      </w:pPr>
      <w:r w:rsidRPr="00CC0A22">
        <w:rPr>
          <w:b/>
          <w:color w:val="000000"/>
          <w:sz w:val="22"/>
          <w:szCs w:val="22"/>
        </w:rPr>
        <w:t>(</w:t>
      </w:r>
      <w:proofErr w:type="gramStart"/>
      <w:r w:rsidRPr="00CC0A22">
        <w:rPr>
          <w:b/>
          <w:color w:val="000000"/>
          <w:sz w:val="22"/>
          <w:szCs w:val="22"/>
        </w:rPr>
        <w:t>a</w:t>
      </w:r>
      <w:proofErr w:type="gramEnd"/>
      <w:r w:rsidRPr="00CC0A22">
        <w:rPr>
          <w:b/>
          <w:color w:val="000000"/>
          <w:sz w:val="22"/>
          <w:szCs w:val="22"/>
        </w:rPr>
        <w:t xml:space="preserve"> incluir en el Sobre C-Proposición relativa a criterios cuantificables mediante fórmulas)</w:t>
      </w:r>
    </w:p>
    <w:p w:rsidR="00A44324" w:rsidRPr="00CC0A22" w:rsidRDefault="00A44324" w:rsidP="00A44324">
      <w:pPr>
        <w:jc w:val="center"/>
        <w:rPr>
          <w:b/>
          <w:color w:val="000000"/>
          <w:sz w:val="22"/>
          <w:szCs w:val="22"/>
        </w:rPr>
      </w:pPr>
    </w:p>
    <w:p w:rsidR="00A44324" w:rsidRDefault="00A44324" w:rsidP="00A44324">
      <w:pPr>
        <w:shd w:val="clear" w:color="auto" w:fill="FFFFFF"/>
        <w:spacing w:line="360" w:lineRule="auto"/>
        <w:ind w:right="-17"/>
        <w:jc w:val="both"/>
        <w:rPr>
          <w:b/>
          <w:bCs/>
          <w:color w:val="000000"/>
          <w:sz w:val="22"/>
          <w:szCs w:val="22"/>
        </w:rPr>
      </w:pPr>
    </w:p>
    <w:p w:rsidR="00A44324" w:rsidRPr="00CC0A22" w:rsidRDefault="00A44324" w:rsidP="00A44324">
      <w:pPr>
        <w:shd w:val="clear" w:color="auto" w:fill="FFFFFF"/>
        <w:spacing w:line="360" w:lineRule="auto"/>
        <w:ind w:right="-17"/>
        <w:jc w:val="both"/>
        <w:rPr>
          <w:b/>
          <w:bCs/>
          <w:color w:val="000000"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04"/>
        <w:gridCol w:w="1701"/>
        <w:gridCol w:w="1559"/>
      </w:tblGrid>
      <w:tr w:rsidR="00A44324" w:rsidRPr="00CC0A22" w:rsidTr="00B10387">
        <w:trPr>
          <w:trHeight w:val="284"/>
        </w:trPr>
        <w:tc>
          <w:tcPr>
            <w:tcW w:w="6204" w:type="dxa"/>
          </w:tcPr>
          <w:p w:rsidR="00A44324" w:rsidRPr="00CC0A22" w:rsidRDefault="00A44324" w:rsidP="00B10387">
            <w:pPr>
              <w:shd w:val="clear" w:color="auto" w:fill="FFFFFF"/>
              <w:spacing w:before="120"/>
              <w:jc w:val="center"/>
              <w:rPr>
                <w:b/>
                <w:color w:val="000000"/>
              </w:rPr>
            </w:pPr>
            <w:r w:rsidRPr="00CC0A22">
              <w:rPr>
                <w:b/>
                <w:color w:val="000000"/>
                <w:sz w:val="22"/>
                <w:szCs w:val="22"/>
              </w:rPr>
              <w:t>Característica técnica objetiva a valorar</w:t>
            </w:r>
          </w:p>
        </w:tc>
        <w:tc>
          <w:tcPr>
            <w:tcW w:w="1701" w:type="dxa"/>
          </w:tcPr>
          <w:p w:rsidR="00A44324" w:rsidRPr="00CC0A22" w:rsidRDefault="00A44324" w:rsidP="00B10387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CC0A22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1559" w:type="dxa"/>
          </w:tcPr>
          <w:p w:rsidR="00A44324" w:rsidRPr="00CC0A22" w:rsidRDefault="00A44324" w:rsidP="00B10387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CC0A22">
              <w:rPr>
                <w:b/>
                <w:color w:val="000000"/>
                <w:sz w:val="22"/>
                <w:szCs w:val="22"/>
              </w:rPr>
              <w:t>Página en la que figura en el dossier:</w:t>
            </w:r>
          </w:p>
        </w:tc>
      </w:tr>
      <w:tr w:rsidR="00A44324" w:rsidRPr="00CC0A22" w:rsidTr="00B10387">
        <w:trPr>
          <w:trHeight w:val="397"/>
        </w:trPr>
        <w:tc>
          <w:tcPr>
            <w:tcW w:w="6204" w:type="dxa"/>
          </w:tcPr>
          <w:p w:rsidR="00A44324" w:rsidRDefault="00A44324" w:rsidP="00B10387">
            <w:pPr>
              <w:shd w:val="clear" w:color="auto" w:fill="FFFFFF"/>
              <w:spacing w:before="12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Los rangos de CMI incluidos en las tiras permiten discriminar </w:t>
            </w:r>
          </w:p>
          <w:p w:rsidR="00A44324" w:rsidRDefault="00A44324" w:rsidP="00A44324">
            <w:pPr>
              <w:numPr>
                <w:ilvl w:val="0"/>
                <w:numId w:val="1"/>
              </w:numPr>
              <w:shd w:val="clear" w:color="auto" w:fill="FFFFFF"/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55406D">
              <w:rPr>
                <w:color w:val="000000"/>
                <w:sz w:val="22"/>
                <w:szCs w:val="22"/>
              </w:rPr>
              <w:t xml:space="preserve">las resistencias de bajo nivel y los intermedios en los 4 antibióticos, </w:t>
            </w:r>
          </w:p>
          <w:p w:rsidR="00A44324" w:rsidRDefault="00A44324" w:rsidP="00A44324">
            <w:pPr>
              <w:numPr>
                <w:ilvl w:val="0"/>
                <w:numId w:val="1"/>
              </w:numPr>
              <w:shd w:val="clear" w:color="auto" w:fill="FFFFFF"/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55406D">
              <w:rPr>
                <w:color w:val="000000"/>
                <w:sz w:val="22"/>
                <w:szCs w:val="22"/>
              </w:rPr>
              <w:t>las resistencias de bajo nivel o los intermedios</w:t>
            </w:r>
          </w:p>
          <w:p w:rsidR="00A44324" w:rsidRPr="0055406D" w:rsidRDefault="00A44324" w:rsidP="00A44324">
            <w:pPr>
              <w:numPr>
                <w:ilvl w:val="0"/>
                <w:numId w:val="1"/>
              </w:numPr>
              <w:shd w:val="clear" w:color="auto" w:fill="FFFFFF"/>
              <w:spacing w:before="12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 permiten discriminar ninguno de los dos</w:t>
            </w:r>
          </w:p>
          <w:p w:rsidR="00A44324" w:rsidRPr="0082575A" w:rsidRDefault="00A44324" w:rsidP="00B10387">
            <w:pPr>
              <w:shd w:val="clear" w:color="auto" w:fill="FFFFFF"/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A44324" w:rsidRPr="00CC0A22" w:rsidRDefault="00A44324" w:rsidP="00B10387">
            <w:pPr>
              <w:shd w:val="clear" w:color="auto" w:fill="FFFFFF"/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1559" w:type="dxa"/>
          </w:tcPr>
          <w:p w:rsidR="00A44324" w:rsidRPr="00CC0A22" w:rsidRDefault="00A44324" w:rsidP="00B10387">
            <w:pPr>
              <w:shd w:val="clear" w:color="auto" w:fill="FFFFFF"/>
              <w:spacing w:before="120"/>
              <w:jc w:val="center"/>
              <w:rPr>
                <w:color w:val="000000"/>
              </w:rPr>
            </w:pPr>
          </w:p>
        </w:tc>
      </w:tr>
      <w:tr w:rsidR="00A44324" w:rsidRPr="00CC0A22" w:rsidTr="00B10387">
        <w:trPr>
          <w:trHeight w:val="397"/>
        </w:trPr>
        <w:tc>
          <w:tcPr>
            <w:tcW w:w="6204" w:type="dxa"/>
          </w:tcPr>
          <w:p w:rsidR="00A44324" w:rsidRPr="00CC0A22" w:rsidRDefault="00A44324" w:rsidP="00B10387">
            <w:pPr>
              <w:shd w:val="clear" w:color="auto" w:fill="FFFFFF"/>
              <w:spacing w:before="120"/>
              <w:jc w:val="both"/>
              <w:rPr>
                <w:color w:val="000000"/>
              </w:rPr>
            </w:pPr>
            <w:r w:rsidRPr="0082575A">
              <w:rPr>
                <w:color w:val="000000"/>
                <w:sz w:val="22"/>
                <w:szCs w:val="22"/>
              </w:rPr>
              <w:t>Envasado individual de las tiras</w:t>
            </w:r>
            <w:r w:rsidRPr="00CC0A2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</w:tcPr>
          <w:p w:rsidR="00A44324" w:rsidRPr="00CC0A22" w:rsidRDefault="00A44324" w:rsidP="00B10387">
            <w:pPr>
              <w:shd w:val="clear" w:color="auto" w:fill="FFFFFF"/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1559" w:type="dxa"/>
          </w:tcPr>
          <w:p w:rsidR="00A44324" w:rsidRPr="00CC0A22" w:rsidRDefault="00A44324" w:rsidP="00B10387">
            <w:pPr>
              <w:shd w:val="clear" w:color="auto" w:fill="FFFFFF"/>
              <w:spacing w:before="120"/>
              <w:jc w:val="center"/>
              <w:rPr>
                <w:color w:val="000000"/>
              </w:rPr>
            </w:pPr>
          </w:p>
        </w:tc>
      </w:tr>
    </w:tbl>
    <w:p w:rsidR="00A44324" w:rsidRDefault="00A44324" w:rsidP="00A44324">
      <w:pPr>
        <w:rPr>
          <w:b/>
          <w:color w:val="000000"/>
        </w:rPr>
      </w:pPr>
    </w:p>
    <w:p w:rsidR="00A44324" w:rsidRDefault="00A44324" w:rsidP="00A44324">
      <w:pPr>
        <w:rPr>
          <w:b/>
          <w:color w:val="000000"/>
        </w:rPr>
      </w:pPr>
    </w:p>
    <w:p w:rsidR="00A44324" w:rsidRPr="00CC0A22" w:rsidRDefault="00A44324" w:rsidP="00A44324">
      <w:pPr>
        <w:rPr>
          <w:b/>
          <w:color w:val="000000"/>
        </w:rPr>
      </w:pPr>
    </w:p>
    <w:p w:rsidR="006503F1" w:rsidRDefault="006503F1" w:rsidP="00A44324"/>
    <w:sectPr w:rsidR="006503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D8560E"/>
    <w:multiLevelType w:val="hybridMultilevel"/>
    <w:tmpl w:val="5D48EA20"/>
    <w:lvl w:ilvl="0" w:tplc="9FEEF44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324"/>
    <w:rsid w:val="006503F1"/>
    <w:rsid w:val="0078060A"/>
    <w:rsid w:val="00A44324"/>
    <w:rsid w:val="00D950CB"/>
    <w:rsid w:val="00F6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44324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44324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Cueli Orradre, Esther (Serv. Centrales)</dc:creator>
  <cp:lastModifiedBy>Cueli Orradre, Esther (Serv. Centrales)</cp:lastModifiedBy>
  <cp:revision>2</cp:revision>
  <dcterms:created xsi:type="dcterms:W3CDTF">2019-11-11T08:03:00Z</dcterms:created>
  <dcterms:modified xsi:type="dcterms:W3CDTF">2019-11-11T08:03:00Z</dcterms:modified>
</cp:coreProperties>
</file>