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Arial" w:hAnsi="Arial" w:cs="Arial"/>
          <w:b/>
          <w:w w:val="105"/>
          <w:u w:val="single"/>
        </w:rPr>
      </w:pPr>
      <w:r>
        <w:rPr>
          <w:rFonts w:ascii="Arial" w:hAnsi="Arial" w:cs="Arial"/>
          <w:b/>
          <w:u w:val="single"/>
        </w:rPr>
        <w:t>ACTA DE LA UNIDAD GESTORA PARA LA APERTURA DE  SOBRES EN EL PROCEDIMIENTO DE CONTRATACIÓN DE</w:t>
      </w:r>
      <w:r>
        <w:rPr>
          <w:rFonts w:ascii="Arial" w:hAnsi="Arial" w:cs="Arial"/>
          <w:b/>
          <w:spacing w:val="31"/>
          <w:w w:val="105"/>
          <w:u w:val="single"/>
        </w:rPr>
        <w:t xml:space="preserve"> PARA LA ADJUDICACIÓN DEL CONTRATO DE OBRAS PARA LA RENOVACIÓN DEL ALUMBRADO PÚBLICO DEL AYUNTAMIENTO DE LAZAGURRÍA.</w:t>
      </w:r>
    </w:p>
    <w:p>
      <w:pPr>
        <w:tabs>
          <w:tab w:val="left" w:pos="2595"/>
        </w:tabs>
        <w:jc w:val="both"/>
        <w:rPr>
          <w:rFonts w:ascii="Arial" w:hAnsi="Arial" w:cs="Arial"/>
          <w:u w:val="single"/>
        </w:rPr>
      </w:pPr>
    </w:p>
    <w:p>
      <w:pPr>
        <w:jc w:val="both"/>
        <w:rPr>
          <w:rFonts w:ascii="Arial" w:hAnsi="Arial" w:cs="Arial"/>
        </w:rPr>
      </w:pPr>
      <w:r>
        <w:rPr>
          <w:rFonts w:ascii="Arial" w:hAnsi="Arial" w:cs="Arial"/>
        </w:rPr>
        <w:t>En Lazagurría a 12 de septiembre de 2022, por parte de la Unidad Gestora del procedimiento de licitación y en virtud de la cláusula 8</w:t>
      </w:r>
      <w:r>
        <w:rPr>
          <w:rFonts w:ascii="Arial" w:hAnsi="Arial" w:cs="Arial"/>
          <w:color w:val="FF0000"/>
        </w:rPr>
        <w:t xml:space="preserve"> </w:t>
      </w:r>
      <w:r>
        <w:rPr>
          <w:rFonts w:ascii="Arial" w:hAnsi="Arial" w:cs="Arial"/>
        </w:rPr>
        <w:t>de los Pliegos reguladores de la contratación se procede a examinar el cumplimiento de los requisitos de participación de quien haya licitado.</w:t>
      </w:r>
    </w:p>
    <w:p>
      <w:pPr>
        <w:jc w:val="both"/>
        <w:rPr>
          <w:rFonts w:ascii="Arial" w:hAnsi="Arial" w:cs="Arial"/>
        </w:rPr>
      </w:pPr>
    </w:p>
    <w:p>
      <w:pPr>
        <w:jc w:val="both"/>
        <w:rPr>
          <w:rFonts w:ascii="Arial" w:hAnsi="Arial" w:cs="Arial"/>
        </w:rPr>
      </w:pPr>
      <w:r>
        <w:rPr>
          <w:rFonts w:ascii="Arial" w:hAnsi="Arial" w:cs="Arial"/>
          <w:b/>
          <w:u w:val="single"/>
        </w:rPr>
        <w:t>Primero.</w:t>
      </w:r>
      <w:r>
        <w:rPr>
          <w:rFonts w:ascii="Arial" w:hAnsi="Arial" w:cs="Arial"/>
        </w:rPr>
        <w:t xml:space="preserve"> Mediante Resolución de Alcaldía nº 37/2022 de fecha 5 de septiembre de 2022, se resolvió aprobar los “Pliegos reguladores de la Contratación para la adjudicación del Contrato de obras para la Renovación del Alumbrado Público de Lazagurría” y se dispuso la apertura del procedimiento de adjudicación mediante el procedimiento simplificado, invitando a cinco empresas. Mediante la citada Resolución también se autorizó el gasto para la adjudicación y contratación de dichos servicios.</w:t>
      </w:r>
    </w:p>
    <w:p>
      <w:pPr>
        <w:jc w:val="both"/>
        <w:rPr>
          <w:rFonts w:ascii="Arial" w:hAnsi="Arial" w:cs="Arial"/>
        </w:rPr>
      </w:pPr>
    </w:p>
    <w:p>
      <w:pPr>
        <w:jc w:val="both"/>
        <w:rPr>
          <w:rFonts w:ascii="Arial" w:hAnsi="Arial" w:cs="Arial"/>
        </w:rPr>
      </w:pPr>
      <w:r>
        <w:rPr>
          <w:rFonts w:ascii="Arial" w:hAnsi="Arial" w:cs="Arial"/>
          <w:b/>
          <w:u w:val="single"/>
        </w:rPr>
        <w:t>Segundo</w:t>
      </w:r>
      <w:r>
        <w:rPr>
          <w:rFonts w:ascii="Arial" w:hAnsi="Arial" w:cs="Arial"/>
        </w:rPr>
        <w:t>. El 5 de septiembre de 2022, se publicó mediante la Plataforma de Licitación Electrónica de Navarra (PLENA) oferta para participar en el proceso de contratación.</w:t>
      </w:r>
    </w:p>
    <w:p>
      <w:pPr>
        <w:pStyle w:val="8"/>
        <w:jc w:val="both"/>
        <w:rPr>
          <w:rFonts w:ascii="Arial" w:hAnsi="Arial" w:cs="Arial"/>
        </w:rPr>
      </w:pPr>
    </w:p>
    <w:p>
      <w:pPr>
        <w:jc w:val="both"/>
        <w:rPr>
          <w:rFonts w:ascii="Arial" w:hAnsi="Arial" w:cs="Arial"/>
        </w:rPr>
      </w:pPr>
      <w:r>
        <w:rPr>
          <w:rFonts w:ascii="Arial" w:hAnsi="Arial" w:cs="Arial"/>
        </w:rPr>
        <w:t>En el propio anuncio se estipulaba que el plazo de presentación de proposiciones finalizaba el 11 de septiembre a las 00:00 horas, debiéndose presentarse las proposiciones a través de la Plataforma de Licitación Electrónica de Navarra (PLENA).</w:t>
      </w:r>
    </w:p>
    <w:p>
      <w:pPr>
        <w:jc w:val="both"/>
        <w:rPr>
          <w:rFonts w:ascii="Arial" w:hAnsi="Arial" w:cs="Arial"/>
        </w:rPr>
      </w:pPr>
    </w:p>
    <w:p>
      <w:pPr>
        <w:jc w:val="both"/>
        <w:rPr>
          <w:rFonts w:ascii="Arial" w:hAnsi="Arial" w:cs="Arial"/>
        </w:rPr>
      </w:pPr>
      <w:r>
        <w:rPr>
          <w:rFonts w:ascii="Arial" w:hAnsi="Arial" w:cs="Arial"/>
          <w:b/>
          <w:u w:val="single"/>
        </w:rPr>
        <w:t>Tercero</w:t>
      </w:r>
      <w:r>
        <w:rPr>
          <w:rFonts w:ascii="Arial" w:hAnsi="Arial" w:cs="Arial"/>
        </w:rPr>
        <w:t>. Finalizado el plazo de presentación de ofertas se da cuenta que dentro del plazo establecido ha presentado únicamente oferta el siguiente licitador:</w:t>
      </w:r>
    </w:p>
    <w:p>
      <w:pPr>
        <w:jc w:val="both"/>
        <w:rPr>
          <w:rFonts w:ascii="Arial" w:hAnsi="Arial" w:cs="Arial"/>
        </w:rPr>
      </w:pPr>
    </w:p>
    <w:p>
      <w:pPr>
        <w:pStyle w:val="8"/>
        <w:numPr>
          <w:ilvl w:val="0"/>
          <w:numId w:val="1"/>
        </w:numPr>
        <w:suppressAutoHyphens w:val="0"/>
        <w:autoSpaceDE w:val="0"/>
        <w:autoSpaceDN w:val="0"/>
        <w:adjustRightInd w:val="0"/>
        <w:rPr>
          <w:rFonts w:ascii="Arial" w:hAnsi="Arial" w:eastAsia="SimSun" w:cs="Arial"/>
          <w:sz w:val="22"/>
          <w:szCs w:val="22"/>
          <w:lang w:eastAsia="en-US" w:bidi="ar-SA"/>
        </w:rPr>
      </w:pPr>
      <w:r>
        <w:rPr>
          <w:rFonts w:ascii="Arial" w:hAnsi="Arial" w:cs="Arial"/>
        </w:rPr>
        <w:t>MONTAJES ELÉCTRICOS VERANO S.L.</w:t>
      </w:r>
      <w:r>
        <w:rPr>
          <w:rFonts w:ascii="Arial" w:hAnsi="Arial" w:eastAsia="SimSun" w:cs="Arial"/>
          <w:sz w:val="22"/>
          <w:szCs w:val="22"/>
          <w:lang w:eastAsia="ar-SA" w:bidi="ar-SA"/>
        </w:rPr>
        <w:t xml:space="preserve"> (</w:t>
      </w:r>
      <w:r>
        <w:rPr>
          <w:rFonts w:ascii="Arial" w:hAnsi="Arial" w:eastAsia="SimSun" w:cs="Arial"/>
          <w:sz w:val="22"/>
          <w:szCs w:val="22"/>
          <w:lang w:eastAsia="en-US" w:bidi="ar-SA"/>
        </w:rPr>
        <w:t>CIF: B31855117), Calle Mayor Nº11 3ºA, 31587, Mendavia.</w:t>
      </w:r>
    </w:p>
    <w:p>
      <w:pPr>
        <w:pStyle w:val="8"/>
        <w:suppressAutoHyphens w:val="0"/>
        <w:autoSpaceDE w:val="0"/>
        <w:autoSpaceDN w:val="0"/>
        <w:adjustRightInd w:val="0"/>
        <w:rPr>
          <w:rFonts w:ascii="CIDFont+F3" w:hAnsi="CIDFont+F3" w:cs="CIDFont+F3" w:eastAsiaTheme="minorHAnsi"/>
          <w:sz w:val="24"/>
          <w:szCs w:val="24"/>
          <w:lang w:eastAsia="en-US"/>
        </w:rPr>
      </w:pPr>
    </w:p>
    <w:p>
      <w:pPr>
        <w:jc w:val="both"/>
        <w:rPr>
          <w:rFonts w:ascii="Arial" w:hAnsi="Arial" w:cs="Arial"/>
        </w:rPr>
      </w:pPr>
      <w:r>
        <w:rPr>
          <w:rFonts w:ascii="Arial" w:hAnsi="Arial" w:cs="Arial"/>
          <w:b/>
          <w:u w:val="single"/>
        </w:rPr>
        <w:t>Cuarto.</w:t>
      </w:r>
      <w:r>
        <w:rPr>
          <w:rFonts w:ascii="Arial" w:hAnsi="Arial" w:cs="Arial"/>
        </w:rPr>
        <w:t xml:space="preserve">  En cumplimiento de lo dispuesto en el art. 80.5 de la ley Foral 2/2018, de 13 de abril, de Contratos Públicos, ante la no recepción por parte de este Ayuntamiento de al menos dos ofertas dentro de las 5 empresas invitadas, se invitó a una nueva empresa a presentar oferta a la licitación, ampliándose el plazo de presentación de ofertas hasta el 14 de septiembre a las 23:59 horas.</w:t>
      </w:r>
    </w:p>
    <w:p>
      <w:pPr>
        <w:jc w:val="both"/>
        <w:rPr>
          <w:rFonts w:ascii="Arial" w:hAnsi="Arial" w:cs="Arial"/>
        </w:rPr>
      </w:pPr>
    </w:p>
    <w:p>
      <w:pPr>
        <w:jc w:val="both"/>
        <w:rPr>
          <w:rFonts w:ascii="Arial" w:hAnsi="Arial" w:cs="Arial"/>
        </w:rPr>
      </w:pPr>
      <w:r>
        <w:rPr>
          <w:rFonts w:ascii="Arial" w:hAnsi="Arial" w:cs="Arial"/>
          <w:b/>
          <w:u w:val="single"/>
        </w:rPr>
        <w:t>Quinto.</w:t>
      </w:r>
      <w:r>
        <w:rPr>
          <w:rFonts w:ascii="Arial" w:hAnsi="Arial" w:cs="Arial"/>
        </w:rPr>
        <w:t xml:space="preserve"> Finalizado el nuevo plazo de presentación de ofertas se da cuenta que dentro del plazo establecido han presentado ofertas los siguientes licitadores: </w:t>
      </w:r>
    </w:p>
    <w:p>
      <w:pPr>
        <w:pStyle w:val="8"/>
        <w:numPr>
          <w:ilvl w:val="0"/>
          <w:numId w:val="1"/>
        </w:numPr>
        <w:suppressAutoHyphens w:val="0"/>
        <w:autoSpaceDE w:val="0"/>
        <w:autoSpaceDN w:val="0"/>
        <w:adjustRightInd w:val="0"/>
        <w:rPr>
          <w:rFonts w:ascii="Arial" w:hAnsi="Arial" w:eastAsia="SimSun" w:cs="Arial"/>
          <w:sz w:val="22"/>
          <w:szCs w:val="22"/>
          <w:lang w:eastAsia="en-US" w:bidi="ar-SA"/>
        </w:rPr>
      </w:pPr>
      <w:r>
        <w:rPr>
          <w:rFonts w:ascii="Arial" w:hAnsi="Arial" w:cs="Arial"/>
          <w:b/>
          <w:bCs/>
        </w:rPr>
        <w:t xml:space="preserve">MONTAJES ELÉCTRICOS VERANO S.L. </w:t>
      </w:r>
      <w:r>
        <w:rPr>
          <w:rFonts w:ascii="Arial" w:hAnsi="Arial" w:eastAsia="SimSun" w:cs="Arial"/>
          <w:sz w:val="22"/>
          <w:szCs w:val="22"/>
          <w:lang w:eastAsia="ar-SA" w:bidi="ar-SA"/>
        </w:rPr>
        <w:t>(</w:t>
      </w:r>
      <w:r>
        <w:rPr>
          <w:rFonts w:ascii="Arial" w:hAnsi="Arial" w:eastAsia="SimSun" w:cs="Arial"/>
          <w:sz w:val="22"/>
          <w:szCs w:val="22"/>
          <w:lang w:eastAsia="en-US" w:bidi="ar-SA"/>
        </w:rPr>
        <w:t>CIF: B31855117), Calle Mayor Nº11 3ºA, 31587, Mendavia.</w:t>
      </w:r>
    </w:p>
    <w:p>
      <w:pPr>
        <w:pStyle w:val="8"/>
        <w:suppressAutoHyphens w:val="0"/>
        <w:autoSpaceDE w:val="0"/>
        <w:autoSpaceDN w:val="0"/>
        <w:adjustRightInd w:val="0"/>
        <w:rPr>
          <w:rFonts w:ascii="CIDFont+F3" w:hAnsi="CIDFont+F3" w:cs="CIDFont+F3" w:eastAsiaTheme="minorHAnsi"/>
          <w:sz w:val="24"/>
          <w:szCs w:val="24"/>
          <w:lang w:eastAsia="en-US"/>
        </w:rPr>
      </w:pPr>
    </w:p>
    <w:p>
      <w:pPr>
        <w:pStyle w:val="8"/>
        <w:numPr>
          <w:ilvl w:val="0"/>
          <w:numId w:val="1"/>
        </w:numPr>
        <w:jc w:val="both"/>
        <w:rPr>
          <w:rFonts w:ascii="Arial" w:hAnsi="Arial" w:cs="Arial"/>
        </w:rPr>
      </w:pPr>
      <w:r>
        <w:rPr>
          <w:rFonts w:ascii="Arial" w:hAnsi="Arial" w:cs="Arial"/>
          <w:b/>
          <w:bCs/>
        </w:rPr>
        <w:t>PROYECTOS Y MONTAJES ELÉCTRICOS RIOJANOS, S.L.</w:t>
      </w:r>
      <w:r>
        <w:rPr>
          <w:rFonts w:ascii="Arial" w:hAnsi="Arial" w:cs="Arial"/>
        </w:rPr>
        <w:t>, (CIF B26031518), Pol. Puente Madre, Calle Carmen Medrano, 1, P8C, C. P. 26142, localidad Villamediana de Iregua.</w:t>
      </w:r>
    </w:p>
    <w:p>
      <w:pPr>
        <w:suppressAutoHyphens w:val="0"/>
        <w:autoSpaceDE w:val="0"/>
        <w:autoSpaceDN w:val="0"/>
        <w:adjustRightInd w:val="0"/>
        <w:rPr>
          <w:rFonts w:ascii="CIDFont+F3" w:hAnsi="CIDFont+F3" w:cs="CIDFont+F3" w:eastAsiaTheme="minorHAnsi"/>
          <w:sz w:val="24"/>
          <w:szCs w:val="24"/>
          <w:lang w:eastAsia="en-US"/>
        </w:rPr>
      </w:pPr>
    </w:p>
    <w:p>
      <w:pPr>
        <w:jc w:val="both"/>
        <w:rPr>
          <w:rFonts w:ascii="Arial" w:hAnsi="Arial" w:cs="Arial"/>
        </w:rPr>
      </w:pPr>
    </w:p>
    <w:p>
      <w:pPr>
        <w:spacing w:after="240"/>
        <w:jc w:val="both"/>
        <w:rPr>
          <w:rFonts w:ascii="Arial" w:hAnsi="Arial" w:cs="Arial"/>
        </w:rPr>
      </w:pPr>
      <w:r>
        <w:rPr>
          <w:rFonts w:ascii="Arial" w:hAnsi="Arial" w:cs="Arial"/>
          <w:b/>
          <w:u w:val="single"/>
        </w:rPr>
        <w:t xml:space="preserve">Sexto. </w:t>
      </w:r>
      <w:r>
        <w:rPr>
          <w:rFonts w:ascii="Arial" w:hAnsi="Arial" w:cs="Arial"/>
        </w:rPr>
        <w:t>Habiéndose presentado sendas ofertas en forma y plazo se procede a la apertura del “SOBRE A” que en virtud de la cláusula 7 del Pliego regulador del procedimiento de contratación debe contener lo siguiente:</w:t>
      </w:r>
    </w:p>
    <w:p>
      <w:pPr>
        <w:spacing w:after="240"/>
        <w:ind w:left="993"/>
        <w:jc w:val="both"/>
        <w:rPr>
          <w:rFonts w:ascii="Arial" w:hAnsi="Arial" w:cs="Arial"/>
          <w:i/>
          <w:u w:val="single"/>
        </w:rPr>
      </w:pPr>
      <w:r>
        <w:rPr>
          <w:rFonts w:ascii="Arial" w:hAnsi="Arial" w:cs="Arial"/>
          <w:b/>
          <w:i/>
        </w:rPr>
        <w:t>“</w:t>
      </w:r>
      <w:r>
        <w:rPr>
          <w:rFonts w:ascii="Arial" w:hAnsi="Arial" w:cs="Arial"/>
          <w:i/>
          <w:u w:val="single"/>
        </w:rPr>
        <w:t xml:space="preserve">Sobre A. "Documentación administrativa". </w:t>
      </w:r>
    </w:p>
    <w:p>
      <w:pPr>
        <w:spacing w:after="240"/>
        <w:ind w:left="993"/>
        <w:jc w:val="both"/>
        <w:rPr>
          <w:rFonts w:ascii="Arial" w:hAnsi="Arial" w:cs="Arial"/>
          <w:i/>
        </w:rPr>
      </w:pPr>
      <w:r>
        <w:rPr>
          <w:rFonts w:ascii="Arial" w:hAnsi="Arial" w:cs="Arial"/>
          <w:i/>
        </w:rPr>
        <w:t xml:space="preserve">Se incluirán necesariamente los siguientes documentos: </w:t>
      </w:r>
    </w:p>
    <w:p>
      <w:pPr>
        <w:spacing w:after="240"/>
        <w:ind w:left="993"/>
        <w:jc w:val="both"/>
        <w:rPr>
          <w:rFonts w:ascii="Arial" w:hAnsi="Arial" w:cs="Arial"/>
          <w:i/>
        </w:rPr>
      </w:pPr>
      <w:r>
        <w:rPr>
          <w:rFonts w:ascii="Arial" w:hAnsi="Arial" w:cs="Arial"/>
          <w:i/>
        </w:rPr>
        <w:t xml:space="preserve">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Anexo I. </w:t>
      </w:r>
    </w:p>
    <w:p>
      <w:pPr>
        <w:spacing w:after="240"/>
        <w:ind w:left="993"/>
        <w:jc w:val="both"/>
        <w:rPr>
          <w:rFonts w:ascii="Arial" w:hAnsi="Arial" w:cs="Arial"/>
          <w:i/>
        </w:rPr>
      </w:pPr>
      <w:r>
        <w:rPr>
          <w:rFonts w:ascii="Arial" w:hAnsi="Arial" w:cs="Arial"/>
          <w:i/>
        </w:rPr>
        <w:t xml:space="preserve">Declaración responsable del licitador o, en su caso, de su representante, indicando que cumple las condiciones exigidas para contratar. Dicha declaración se ajustará al modelo señalado en el Anexo II. AYUNTAMIENTO DE LAZAGURRÍA </w:t>
      </w:r>
    </w:p>
    <w:p>
      <w:pPr>
        <w:spacing w:after="240"/>
        <w:ind w:left="993"/>
        <w:jc w:val="both"/>
        <w:rPr>
          <w:rFonts w:ascii="Arial" w:hAnsi="Arial" w:cs="Arial"/>
          <w:i/>
        </w:rPr>
      </w:pPr>
      <w:r>
        <w:rPr>
          <w:rFonts w:ascii="Arial" w:hAnsi="Arial" w:cs="Arial"/>
          <w:i/>
        </w:rPr>
        <w:t xml:space="preserve">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 </w:t>
      </w:r>
    </w:p>
    <w:p>
      <w:pPr>
        <w:spacing w:after="240"/>
        <w:ind w:left="993"/>
        <w:jc w:val="both"/>
        <w:rPr>
          <w:rFonts w:ascii="Arial" w:hAnsi="Arial" w:cs="Arial"/>
          <w:i/>
        </w:rPr>
      </w:pPr>
      <w:r>
        <w:rPr>
          <w:rFonts w:ascii="Arial" w:hAnsi="Arial" w:cs="Arial"/>
          <w:i/>
        </w:rPr>
        <w:t>En caso de subcontratación, el licitador deberá presentar una relación de los subcontratistas y aportar un documento que demuestre la existencia de un compromiso formal con los mismos para la ejecución del contrato.”</w:t>
      </w:r>
    </w:p>
    <w:p>
      <w:pPr>
        <w:spacing w:after="240"/>
        <w:jc w:val="both"/>
        <w:rPr>
          <w:rFonts w:ascii="Arial" w:hAnsi="Arial" w:cs="Arial"/>
        </w:rPr>
      </w:pPr>
      <w:r>
        <w:rPr>
          <w:rFonts w:ascii="Arial" w:hAnsi="Arial" w:cs="Arial"/>
        </w:rPr>
        <w:t xml:space="preserve">El SOBRE A de la oferta presentada por Don José Antonio Verano Elvira, en representación de MONTAJES ELÉCTRICOS VERANO S.L., contiene: </w:t>
      </w:r>
    </w:p>
    <w:p>
      <w:pPr>
        <w:pStyle w:val="8"/>
        <w:numPr>
          <w:ilvl w:val="0"/>
          <w:numId w:val="2"/>
        </w:numPr>
        <w:rPr>
          <w:rFonts w:ascii="Arial" w:hAnsi="Arial" w:cs="Arial"/>
        </w:rPr>
      </w:pPr>
      <w:r>
        <w:rPr>
          <w:rFonts w:ascii="Arial" w:hAnsi="Arial" w:cs="Arial"/>
          <w:i/>
          <w:spacing w:val="5"/>
          <w:w w:val="105"/>
        </w:rPr>
        <w:t>Identificación del licitador o licitadores, conforme al Anexo I</w:t>
      </w:r>
    </w:p>
    <w:p>
      <w:pPr>
        <w:pStyle w:val="8"/>
        <w:numPr>
          <w:ilvl w:val="0"/>
          <w:numId w:val="2"/>
        </w:numPr>
        <w:rPr>
          <w:rFonts w:ascii="Arial" w:hAnsi="Arial" w:cs="Arial"/>
        </w:rPr>
      </w:pPr>
      <w:r>
        <w:rPr>
          <w:rFonts w:ascii="Arial" w:hAnsi="Arial" w:cs="Arial"/>
          <w:i/>
          <w:spacing w:val="5"/>
          <w:w w:val="105"/>
        </w:rPr>
        <w:t>Declaración responsable, conforme al Anexo II</w:t>
      </w:r>
    </w:p>
    <w:p>
      <w:pPr>
        <w:rPr>
          <w:rFonts w:ascii="Arial" w:hAnsi="Arial" w:cs="Arial"/>
        </w:rPr>
      </w:pPr>
    </w:p>
    <w:p>
      <w:pPr>
        <w:spacing w:after="240"/>
        <w:jc w:val="both"/>
        <w:rPr>
          <w:rFonts w:ascii="Arial" w:hAnsi="Arial" w:cs="Arial"/>
        </w:rPr>
      </w:pPr>
      <w:r>
        <w:rPr>
          <w:rFonts w:ascii="Arial" w:hAnsi="Arial" w:cs="Arial"/>
        </w:rPr>
        <w:t xml:space="preserve">El SOBRE A de la oferta presentada por Don Adrián Mendi Soto, en representación de </w:t>
      </w:r>
      <w:r>
        <w:rPr>
          <w:rFonts w:ascii="Arial" w:hAnsi="Arial" w:cs="Arial"/>
          <w:bCs/>
        </w:rPr>
        <w:t>PROYECTOS Y MONTAJES ELÉCTRICOS RIOJANOS, S.L.</w:t>
      </w:r>
      <w:r>
        <w:rPr>
          <w:rFonts w:ascii="Arial" w:hAnsi="Arial" w:cs="Arial"/>
        </w:rPr>
        <w:t xml:space="preserve">, contiene: </w:t>
      </w:r>
    </w:p>
    <w:p>
      <w:pPr>
        <w:pStyle w:val="8"/>
        <w:numPr>
          <w:ilvl w:val="0"/>
          <w:numId w:val="2"/>
        </w:numPr>
        <w:rPr>
          <w:rFonts w:ascii="Arial" w:hAnsi="Arial" w:cs="Arial"/>
        </w:rPr>
      </w:pPr>
      <w:r>
        <w:rPr>
          <w:rFonts w:ascii="Arial" w:hAnsi="Arial" w:cs="Arial"/>
          <w:i/>
          <w:spacing w:val="5"/>
          <w:w w:val="105"/>
        </w:rPr>
        <w:t>Identificación del licitador o licitadores, conforme al Anexo I</w:t>
      </w:r>
    </w:p>
    <w:p>
      <w:pPr>
        <w:pStyle w:val="8"/>
        <w:numPr>
          <w:ilvl w:val="0"/>
          <w:numId w:val="2"/>
        </w:numPr>
        <w:rPr>
          <w:rFonts w:ascii="Arial" w:hAnsi="Arial" w:cs="Arial"/>
        </w:rPr>
      </w:pPr>
      <w:r>
        <w:rPr>
          <w:rFonts w:ascii="Arial" w:hAnsi="Arial" w:cs="Arial"/>
          <w:i/>
          <w:spacing w:val="5"/>
          <w:w w:val="105"/>
        </w:rPr>
        <w:t>Declaración responsable, conforme al Anexo II</w:t>
      </w:r>
    </w:p>
    <w:p>
      <w:pPr>
        <w:rPr>
          <w:rFonts w:ascii="Arial" w:hAnsi="Arial" w:cs="Arial"/>
        </w:rPr>
      </w:pPr>
    </w:p>
    <w:p>
      <w:pPr>
        <w:rPr>
          <w:rFonts w:ascii="Arial" w:hAnsi="Arial" w:cs="Arial"/>
        </w:rPr>
      </w:pPr>
    </w:p>
    <w:p>
      <w:pPr>
        <w:spacing w:after="240"/>
        <w:jc w:val="both"/>
        <w:rPr>
          <w:rFonts w:ascii="Arial" w:hAnsi="Arial" w:cs="Arial"/>
        </w:rPr>
      </w:pPr>
      <w:r>
        <w:rPr>
          <w:rFonts w:ascii="Arial" w:hAnsi="Arial" w:cs="Arial"/>
          <w:b/>
          <w:u w:val="single"/>
        </w:rPr>
        <w:t>Séptimo</w:t>
      </w:r>
      <w:r>
        <w:rPr>
          <w:rFonts w:ascii="Arial" w:hAnsi="Arial" w:cs="Arial"/>
          <w:i/>
        </w:rPr>
        <w:t>.</w:t>
      </w:r>
      <w:r>
        <w:rPr>
          <w:rFonts w:ascii="Arial" w:hAnsi="Arial" w:cs="Arial"/>
        </w:rPr>
        <w:t xml:space="preserve"> Habiéndose presentado la documentación administrativa requerida en tiempo y forma por ambas empresas, se procede a la apertura del “SOBRE B” que en virtud de la cláusula 7 del Pliego regulador del procedimiento de contratación debe contener lo siguiente:</w:t>
      </w:r>
    </w:p>
    <w:p>
      <w:pPr>
        <w:suppressAutoHyphens w:val="0"/>
        <w:spacing w:after="200" w:line="276" w:lineRule="auto"/>
        <w:ind w:left="993"/>
        <w:jc w:val="both"/>
        <w:rPr>
          <w:rFonts w:ascii="Arial" w:hAnsi="Arial" w:cs="Arial"/>
          <w:i/>
          <w:u w:val="single"/>
        </w:rPr>
      </w:pPr>
      <w:r>
        <w:rPr>
          <w:rFonts w:ascii="Arial" w:hAnsi="Arial" w:cs="Arial"/>
          <w:i/>
          <w:u w:val="single"/>
        </w:rPr>
        <w:t xml:space="preserve">“Sobre B. "Documentación relativa a criterios NO cuantificables mediante fórmulas”. </w:t>
      </w:r>
    </w:p>
    <w:p>
      <w:pPr>
        <w:suppressAutoHyphens w:val="0"/>
        <w:spacing w:after="200" w:line="276" w:lineRule="auto"/>
        <w:ind w:left="993"/>
        <w:jc w:val="both"/>
        <w:rPr>
          <w:rFonts w:ascii="Arial" w:hAnsi="Arial" w:cs="Arial"/>
          <w:i/>
        </w:rPr>
      </w:pPr>
      <w:r>
        <w:rPr>
          <w:rFonts w:ascii="Arial" w:hAnsi="Arial" w:cs="Arial"/>
          <w:i/>
        </w:rPr>
        <w:t xml:space="preserve">Incluirá toda la documentación que aporte el licitador para que se valore y puntúen los criterios de adjudicación recogidos en el presente pliego que dependen de un juicio de valor. </w:t>
      </w:r>
    </w:p>
    <w:p>
      <w:pPr>
        <w:suppressAutoHyphens w:val="0"/>
        <w:spacing w:after="200" w:line="276" w:lineRule="auto"/>
        <w:ind w:left="993"/>
        <w:jc w:val="both"/>
        <w:rPr>
          <w:rFonts w:ascii="Arial" w:hAnsi="Arial" w:cs="Arial"/>
          <w:i/>
        </w:rPr>
      </w:pPr>
      <w:r>
        <w:rPr>
          <w:rFonts w:ascii="Arial" w:hAnsi="Arial" w:cs="Arial"/>
          <w:i/>
        </w:rPr>
        <w:t xml:space="preserve">En concreto, deberá contener los siguientes documentos: </w:t>
      </w:r>
    </w:p>
    <w:p>
      <w:pPr>
        <w:suppressAutoHyphens w:val="0"/>
        <w:spacing w:after="200" w:line="276" w:lineRule="auto"/>
        <w:ind w:left="993"/>
        <w:jc w:val="both"/>
        <w:rPr>
          <w:rFonts w:ascii="Arial" w:hAnsi="Arial" w:cs="Arial"/>
          <w:i/>
        </w:rPr>
      </w:pPr>
      <w:r>
        <w:rPr>
          <w:rFonts w:ascii="Arial" w:hAnsi="Arial" w:cs="Arial"/>
          <w:i/>
        </w:rPr>
        <w:t xml:space="preserve">1. Memoria explicativa del planteamiento de la obra y su desarrollo, maquinaria, herramientas y medios auxiliares. Problemática de ejecución que pueda suscitar la obra. Para este apartado se admitirá un máximo de 10 páginas. </w:t>
      </w:r>
    </w:p>
    <w:p>
      <w:pPr>
        <w:suppressAutoHyphens w:val="0"/>
        <w:spacing w:after="200" w:line="276" w:lineRule="auto"/>
        <w:ind w:left="993"/>
        <w:jc w:val="both"/>
        <w:rPr>
          <w:rFonts w:ascii="Arial" w:hAnsi="Arial" w:cs="Arial"/>
          <w:i/>
        </w:rPr>
      </w:pPr>
      <w:r>
        <w:rPr>
          <w:rFonts w:ascii="Arial" w:hAnsi="Arial" w:cs="Arial"/>
          <w:i/>
        </w:rPr>
        <w:t xml:space="preserve">2. Plan de obra: fase, proceso y desarrollo con grado de detalle suficiente e indicación del camino crítico para el cumplimiento del plazo de finalización. Para este apartado se admitirá un máximo de 10 páginas. </w:t>
      </w:r>
    </w:p>
    <w:p>
      <w:pPr>
        <w:suppressAutoHyphens w:val="0"/>
        <w:spacing w:after="200" w:line="276" w:lineRule="auto"/>
        <w:ind w:left="993"/>
        <w:jc w:val="both"/>
        <w:rPr>
          <w:rFonts w:ascii="Arial" w:hAnsi="Arial" w:cs="Arial"/>
          <w:i/>
        </w:rPr>
      </w:pPr>
      <w:r>
        <w:rPr>
          <w:rFonts w:ascii="Arial" w:hAnsi="Arial" w:cs="Arial"/>
          <w:i/>
        </w:rPr>
        <w:t xml:space="preserve">3. Tratamiento de afecciones tanto de circulación peatonal y tráfico rodado, infraestructuras y redes de servicio implantadas y otro tipo de afecciones que puedan derivarse de trabajar en espacios públicos en uso. Implantación de la obra y su justificación. Para este apartado se admitirá un máximo de 3 páginas. </w:t>
      </w:r>
    </w:p>
    <w:p>
      <w:pPr>
        <w:suppressAutoHyphens w:val="0"/>
        <w:spacing w:after="200" w:line="276" w:lineRule="auto"/>
        <w:ind w:left="993"/>
        <w:jc w:val="both"/>
        <w:rPr>
          <w:rFonts w:ascii="Arial" w:hAnsi="Arial" w:cs="Arial"/>
          <w:i/>
        </w:rPr>
      </w:pPr>
      <w:r>
        <w:rPr>
          <w:rFonts w:ascii="Arial" w:hAnsi="Arial" w:cs="Arial"/>
          <w:i/>
        </w:rPr>
        <w:t xml:space="preserve">4. Aspectos medioambientales de la oferta. En este apartado se detallarán los aspectos de la oferta que puedan ser valorados atendiendo a lo dispuesto en el presente pliego como criterios medioambientales. En concreto, se aludirá a los siguientes extremos: </w:t>
      </w:r>
    </w:p>
    <w:p>
      <w:pPr>
        <w:suppressAutoHyphens w:val="0"/>
        <w:spacing w:after="200" w:line="276" w:lineRule="auto"/>
        <w:ind w:left="993"/>
        <w:jc w:val="both"/>
        <w:rPr>
          <w:rFonts w:ascii="Arial" w:hAnsi="Arial" w:cs="Arial"/>
          <w:i/>
        </w:rPr>
      </w:pPr>
      <w:r>
        <w:rPr>
          <w:rFonts w:ascii="Arial" w:hAnsi="Arial" w:cs="Arial"/>
          <w:i/>
        </w:rPr>
        <w:t xml:space="preserve">- En su caso, compromisos asumidos en cuanto a la reutilización y reciclaje de los productos utilizados, y el correcto tratamiento de residuos con la participación de gestores autorizados. </w:t>
      </w:r>
    </w:p>
    <w:p>
      <w:pPr>
        <w:suppressAutoHyphens w:val="0"/>
        <w:spacing w:after="200" w:line="276" w:lineRule="auto"/>
        <w:ind w:left="993"/>
        <w:jc w:val="both"/>
        <w:rPr>
          <w:rFonts w:ascii="Arial" w:hAnsi="Arial" w:cs="Arial"/>
          <w:i/>
        </w:rPr>
      </w:pPr>
      <w:r>
        <w:rPr>
          <w:rFonts w:ascii="Arial" w:hAnsi="Arial" w:cs="Arial"/>
          <w:i/>
        </w:rPr>
        <w:t>No se podrá incluir en este sobre referencia alguna de la oferta económica o criterios cuantificables mediante fórmulas.”</w:t>
      </w:r>
    </w:p>
    <w:p>
      <w:pPr>
        <w:spacing w:after="240"/>
        <w:jc w:val="both"/>
        <w:rPr>
          <w:rFonts w:ascii="Arial" w:hAnsi="Arial" w:cs="Arial"/>
        </w:rPr>
      </w:pPr>
      <w:r>
        <w:rPr>
          <w:rFonts w:ascii="Arial" w:hAnsi="Arial" w:cs="Arial"/>
        </w:rPr>
        <w:t xml:space="preserve">El SOBRE B de la oferta presentada por Don José Antonio Verano Elvira, en representación de MONTAJES ELÉCTRICOS VERANO S.L., contiene toda la documentación indicada en el pliego, obteniendo la puntuación máxima 55 puntos.  </w:t>
      </w:r>
    </w:p>
    <w:p>
      <w:pPr>
        <w:spacing w:after="240"/>
        <w:jc w:val="both"/>
        <w:rPr>
          <w:rFonts w:ascii="Arial" w:hAnsi="Arial" w:cs="Arial"/>
        </w:rPr>
      </w:pPr>
      <w:r>
        <w:rPr>
          <w:rFonts w:ascii="Arial" w:hAnsi="Arial" w:cs="Arial"/>
        </w:rPr>
        <w:t xml:space="preserve">El SOBRE B de la oferta presentada por Don Adrián Mendi Soto, en representación de </w:t>
      </w:r>
      <w:r>
        <w:rPr>
          <w:rFonts w:ascii="Arial" w:hAnsi="Arial" w:cs="Arial"/>
          <w:bCs/>
        </w:rPr>
        <w:t>PROYECTOS Y MONTAJES ELÉCTRICOS RIOJANOS, S.L.</w:t>
      </w:r>
      <w:r>
        <w:rPr>
          <w:rFonts w:ascii="Arial" w:hAnsi="Arial" w:cs="Arial"/>
        </w:rPr>
        <w:t xml:space="preserve">, contiene toda la documentación indicada en el pliego, obteniendo la puntuación máxima 55 puntos.  </w:t>
      </w:r>
    </w:p>
    <w:p>
      <w:pPr>
        <w:spacing w:after="240"/>
        <w:jc w:val="both"/>
        <w:rPr>
          <w:rFonts w:ascii="Arial" w:hAnsi="Arial" w:cs="Arial"/>
        </w:rPr>
      </w:pPr>
      <w:r>
        <w:rPr>
          <w:rFonts w:ascii="Arial" w:hAnsi="Arial" w:cs="Arial"/>
          <w:b/>
          <w:u w:val="single"/>
        </w:rPr>
        <w:t>Octavo:</w:t>
      </w:r>
      <w:r>
        <w:rPr>
          <w:rFonts w:ascii="Arial" w:hAnsi="Arial" w:cs="Arial"/>
          <w:b/>
        </w:rPr>
        <w:t xml:space="preserve"> </w:t>
      </w:r>
      <w:r>
        <w:rPr>
          <w:rFonts w:ascii="Arial" w:hAnsi="Arial" w:cs="Arial"/>
        </w:rPr>
        <w:t xml:space="preserve">Siendo las </w:t>
      </w:r>
      <w:r>
        <w:rPr>
          <w:rFonts w:ascii="Arial" w:hAnsi="Arial" w:cs="Arial"/>
          <w:lang w:val="es-ES"/>
        </w:rPr>
        <w:t xml:space="preserve">9:00 horas del día 16 de septiembre de 2022, se procede por la Unidad Gestora a la apertura del SOBRE C </w:t>
      </w:r>
      <w:r>
        <w:rPr>
          <w:rFonts w:ascii="Arial" w:hAnsi="Arial" w:cs="Arial"/>
        </w:rPr>
        <w:t>que en virtud de la cláusula 7 del Pliego regulador del procedimiento de contratación debe contener lo siguiente:</w:t>
      </w:r>
    </w:p>
    <w:p>
      <w:pPr>
        <w:suppressAutoHyphens w:val="0"/>
        <w:spacing w:after="200" w:line="276" w:lineRule="auto"/>
        <w:ind w:left="993"/>
        <w:jc w:val="both"/>
        <w:rPr>
          <w:rFonts w:ascii="Arial" w:hAnsi="Arial" w:cs="Arial"/>
          <w:i/>
          <w:lang w:val="es-ES"/>
        </w:rPr>
      </w:pPr>
      <w:r>
        <w:rPr>
          <w:rFonts w:ascii="Arial" w:hAnsi="Arial" w:cs="Arial"/>
          <w:i/>
          <w:lang w:val="es-ES"/>
        </w:rPr>
        <w:t xml:space="preserve">Sobre C. "Documentación relativa a criterios cuantificables mediante fórmulas” </w:t>
      </w:r>
    </w:p>
    <w:p>
      <w:pPr>
        <w:suppressAutoHyphens w:val="0"/>
        <w:spacing w:after="200" w:line="276" w:lineRule="auto"/>
        <w:ind w:left="993"/>
        <w:jc w:val="both"/>
        <w:rPr>
          <w:rFonts w:ascii="Arial" w:hAnsi="Arial" w:cs="Arial"/>
          <w:i/>
          <w:lang w:val="es-ES"/>
        </w:rPr>
      </w:pPr>
      <w:r>
        <w:rPr>
          <w:rFonts w:ascii="Arial" w:hAnsi="Arial" w:cs="Arial"/>
          <w:i/>
          <w:lang w:val="es-ES"/>
        </w:rPr>
        <w:t xml:space="preserve">En este sobre se incluirá por el licitador la oferta económica y la relativa a los criterios cuantificables mediante fórmulas En concreto, </w:t>
      </w:r>
      <w:r>
        <w:rPr>
          <w:rFonts w:ascii="Arial" w:hAnsi="Arial" w:cs="Arial"/>
          <w:bCs/>
          <w:i/>
          <w:lang w:val="es-ES"/>
        </w:rPr>
        <w:t xml:space="preserve">además de la oferta económica se valorará el compromiso de formalización de una garantía complementaria de obra, consistente en la extensión de la duración del plazo de garantía de la obra establecido en el Pliego. </w:t>
      </w:r>
    </w:p>
    <w:p>
      <w:pPr>
        <w:suppressAutoHyphens w:val="0"/>
        <w:spacing w:after="200" w:line="276" w:lineRule="auto"/>
        <w:ind w:left="993"/>
        <w:jc w:val="both"/>
        <w:rPr>
          <w:rFonts w:ascii="Arial" w:hAnsi="Arial" w:cs="Arial"/>
          <w:i/>
          <w:lang w:val="es-ES"/>
        </w:rPr>
      </w:pPr>
      <w:r>
        <w:rPr>
          <w:rFonts w:ascii="Arial" w:hAnsi="Arial" w:cs="Arial"/>
          <w:i/>
          <w:lang w:val="es-ES"/>
        </w:rPr>
        <w:t xml:space="preserve">La propuesta se hará de acuerdo con el modelo incluido en el Anexo III. </w:t>
      </w:r>
    </w:p>
    <w:p>
      <w:pPr>
        <w:suppressAutoHyphens w:val="0"/>
        <w:spacing w:after="200" w:line="276" w:lineRule="auto"/>
        <w:ind w:left="993"/>
        <w:jc w:val="both"/>
        <w:rPr>
          <w:rFonts w:ascii="Arial" w:hAnsi="Arial" w:cs="Arial"/>
          <w:i/>
          <w:lang w:val="es-ES"/>
        </w:rPr>
      </w:pPr>
      <w:r>
        <w:rPr>
          <w:rFonts w:ascii="Arial" w:hAnsi="Arial" w:cs="Arial"/>
          <w:i/>
          <w:lang w:val="es-ES"/>
        </w:rPr>
        <w:t xml:space="preserve">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 </w:t>
      </w:r>
    </w:p>
    <w:p>
      <w:pPr>
        <w:suppressAutoHyphens w:val="0"/>
        <w:spacing w:after="200" w:line="276" w:lineRule="auto"/>
        <w:ind w:left="993"/>
        <w:jc w:val="both"/>
        <w:rPr>
          <w:rFonts w:ascii="Arial" w:hAnsi="Arial" w:cs="Arial"/>
          <w:i/>
          <w:lang w:val="es-ES"/>
        </w:rPr>
      </w:pPr>
      <w:r>
        <w:rPr>
          <w:rFonts w:ascii="Arial" w:hAnsi="Arial" w:cs="Arial"/>
          <w:i/>
          <w:lang w:val="es-ES"/>
        </w:rPr>
        <w:t>La proposición deberá estar firmada por el licitador o persona que lo represente. En el caso de licitadores en participación conjunta irá firmada por todos y cada uno de sus componentes o por su representante.</w:t>
      </w:r>
    </w:p>
    <w:p>
      <w:pPr>
        <w:spacing w:after="240"/>
        <w:jc w:val="both"/>
        <w:rPr>
          <w:rFonts w:ascii="Arial" w:hAnsi="Arial" w:cs="Arial"/>
        </w:rPr>
      </w:pPr>
      <w:r>
        <w:rPr>
          <w:rFonts w:ascii="Arial" w:hAnsi="Arial" w:cs="Arial"/>
        </w:rPr>
        <w:t xml:space="preserve">El SOBRE C de la oferta presentada por Don José Antonio Verano Elvira, en representación de MONTAJES ELÉCTRICOS VERANO S.L., contiene la siguiente oferta económica: </w:t>
      </w:r>
    </w:p>
    <w:p>
      <w:pPr>
        <w:pStyle w:val="8"/>
        <w:numPr>
          <w:ilvl w:val="0"/>
          <w:numId w:val="3"/>
        </w:numPr>
        <w:spacing w:after="240"/>
        <w:jc w:val="both"/>
        <w:rPr>
          <w:rFonts w:ascii="Arial" w:hAnsi="Arial" w:cs="Arial"/>
          <w:lang w:val="es-ES"/>
        </w:rPr>
      </w:pPr>
      <w:r>
        <w:rPr>
          <w:rFonts w:ascii="Arial" w:hAnsi="Arial" w:cs="Arial"/>
          <w:lang w:val="es-ES"/>
        </w:rPr>
        <w:t>1.-Criterio social: 50%.</w:t>
      </w:r>
    </w:p>
    <w:p>
      <w:pPr>
        <w:pStyle w:val="8"/>
        <w:numPr>
          <w:ilvl w:val="0"/>
          <w:numId w:val="3"/>
        </w:numPr>
        <w:spacing w:after="240"/>
        <w:jc w:val="both"/>
        <w:rPr>
          <w:rFonts w:ascii="Arial" w:hAnsi="Arial" w:cs="Arial"/>
          <w:lang w:val="es-ES"/>
        </w:rPr>
      </w:pPr>
      <w:r>
        <w:rPr>
          <w:rFonts w:ascii="Arial" w:hAnsi="Arial" w:cs="Arial"/>
          <w:lang w:val="es-ES"/>
        </w:rPr>
        <w:t>2.- Garantía complementaria 120 meses.</w:t>
      </w:r>
    </w:p>
    <w:p>
      <w:pPr>
        <w:pStyle w:val="8"/>
        <w:numPr>
          <w:ilvl w:val="0"/>
          <w:numId w:val="3"/>
        </w:numPr>
        <w:spacing w:after="240"/>
        <w:jc w:val="both"/>
        <w:rPr>
          <w:rFonts w:ascii="Arial" w:hAnsi="Arial" w:cs="Arial"/>
        </w:rPr>
      </w:pPr>
      <w:r>
        <w:rPr>
          <w:rFonts w:ascii="Arial" w:hAnsi="Arial" w:cs="Arial"/>
          <w:lang w:val="es-ES"/>
        </w:rPr>
        <w:t>3.- Oferta económica: 47.996,96€.</w:t>
      </w:r>
    </w:p>
    <w:p>
      <w:pPr>
        <w:spacing w:after="240"/>
        <w:jc w:val="both"/>
        <w:rPr>
          <w:rFonts w:ascii="Arial" w:hAnsi="Arial" w:cs="Arial"/>
        </w:rPr>
      </w:pPr>
      <w:r>
        <w:rPr>
          <w:rFonts w:ascii="Arial" w:hAnsi="Arial" w:cs="Arial"/>
        </w:rPr>
        <w:t xml:space="preserve">El SOBRE C de la oferta presentada por Don Adrián Mendi Soto, en representación de </w:t>
      </w:r>
      <w:r>
        <w:rPr>
          <w:rFonts w:ascii="Arial" w:hAnsi="Arial" w:cs="Arial"/>
          <w:bCs/>
        </w:rPr>
        <w:t>PROYECTOS Y MONTAJES ELÉCTRICOS RIOJANOS, S.L.</w:t>
      </w:r>
      <w:r>
        <w:rPr>
          <w:rFonts w:ascii="Arial" w:hAnsi="Arial" w:cs="Arial"/>
        </w:rPr>
        <w:t xml:space="preserve">, contiene la siguiente oferta económica: </w:t>
      </w:r>
    </w:p>
    <w:p>
      <w:pPr>
        <w:pStyle w:val="8"/>
        <w:numPr>
          <w:ilvl w:val="0"/>
          <w:numId w:val="4"/>
        </w:numPr>
        <w:spacing w:after="240"/>
        <w:jc w:val="both"/>
        <w:rPr>
          <w:rFonts w:ascii="Arial" w:hAnsi="Arial" w:cs="Arial"/>
          <w:lang w:val="es-ES"/>
        </w:rPr>
      </w:pPr>
      <w:r>
        <w:rPr>
          <w:rFonts w:ascii="Arial" w:hAnsi="Arial" w:cs="Arial"/>
          <w:lang w:val="es-ES"/>
        </w:rPr>
        <w:t xml:space="preserve">1.-Criterio social: 15 % </w:t>
      </w:r>
    </w:p>
    <w:p>
      <w:pPr>
        <w:pStyle w:val="8"/>
        <w:numPr>
          <w:ilvl w:val="0"/>
          <w:numId w:val="4"/>
        </w:numPr>
        <w:spacing w:after="240"/>
        <w:jc w:val="both"/>
        <w:rPr>
          <w:rFonts w:ascii="Arial" w:hAnsi="Arial" w:cs="Arial"/>
          <w:lang w:val="es-ES"/>
        </w:rPr>
      </w:pPr>
      <w:r>
        <w:rPr>
          <w:rFonts w:ascii="Arial" w:hAnsi="Arial" w:cs="Arial"/>
          <w:lang w:val="es-ES"/>
        </w:rPr>
        <w:t xml:space="preserve">2.- Garantía complementaria: 60 meses. </w:t>
      </w:r>
    </w:p>
    <w:p>
      <w:pPr>
        <w:pStyle w:val="8"/>
        <w:numPr>
          <w:ilvl w:val="0"/>
          <w:numId w:val="4"/>
        </w:numPr>
        <w:spacing w:after="240"/>
        <w:jc w:val="both"/>
        <w:rPr>
          <w:rFonts w:ascii="Arial" w:hAnsi="Arial" w:cs="Arial"/>
        </w:rPr>
      </w:pPr>
      <w:r>
        <w:rPr>
          <w:rFonts w:ascii="Arial" w:hAnsi="Arial" w:cs="Arial"/>
          <w:lang w:val="es-ES"/>
        </w:rPr>
        <w:t>3.- Oferta económica: 48.130,00 €.</w:t>
      </w:r>
    </w:p>
    <w:p>
      <w:pPr>
        <w:suppressAutoHyphens w:val="0"/>
        <w:spacing w:after="200" w:line="276" w:lineRule="auto"/>
        <w:jc w:val="both"/>
        <w:rPr>
          <w:rFonts w:ascii="Arial" w:hAnsi="Arial" w:cs="Arial"/>
          <w:lang w:val="es-ES"/>
        </w:rPr>
      </w:pPr>
      <w:r>
        <w:rPr>
          <w:rFonts w:ascii="Arial" w:hAnsi="Arial" w:cs="Arial"/>
          <w:lang w:val="es-ES"/>
        </w:rPr>
        <w:t xml:space="preserve"> Vista las ofertas económicas presentadas, se procede a valorar la misma conforme los criterios de valoración expuestos en la cláusula 10 de los Pliegos reguladores.</w:t>
      </w:r>
    </w:p>
    <w:p>
      <w:pPr>
        <w:suppressAutoHyphens w:val="0"/>
        <w:spacing w:after="200" w:line="276" w:lineRule="auto"/>
        <w:ind w:left="993"/>
        <w:jc w:val="both"/>
        <w:rPr>
          <w:rFonts w:ascii="Arial" w:hAnsi="Arial" w:cs="Arial"/>
          <w:i/>
          <w:lang w:val="es-ES"/>
        </w:rPr>
      </w:pPr>
      <w:r>
        <w:rPr>
          <w:rFonts w:ascii="Arial" w:hAnsi="Arial" w:cs="Arial"/>
          <w:b/>
          <w:bCs/>
          <w:i/>
          <w:lang w:val="es-ES"/>
        </w:rPr>
        <w:t xml:space="preserve">“4.- Oferta económica: hasta 40 puntos. </w:t>
      </w:r>
    </w:p>
    <w:p>
      <w:pPr>
        <w:suppressAutoHyphens w:val="0"/>
        <w:spacing w:after="200" w:line="276" w:lineRule="auto"/>
        <w:ind w:left="993"/>
        <w:jc w:val="both"/>
        <w:rPr>
          <w:rFonts w:ascii="Arial" w:hAnsi="Arial" w:cs="Arial"/>
          <w:i/>
          <w:lang w:val="es-ES"/>
        </w:rPr>
      </w:pPr>
      <w:r>
        <w:rPr>
          <w:rFonts w:ascii="Arial" w:hAnsi="Arial" w:cs="Arial"/>
          <w:i/>
          <w:lang w:val="es-ES"/>
        </w:rPr>
        <w:t xml:space="preserve">La valoración de las ofertas económicas se realizará aplicando la fórmula que se indica. Se utilizarán como máximo dos decimales. </w:t>
      </w:r>
    </w:p>
    <w:p>
      <w:pPr>
        <w:suppressAutoHyphens w:val="0"/>
        <w:spacing w:after="200" w:line="276" w:lineRule="auto"/>
        <w:ind w:left="993"/>
        <w:jc w:val="both"/>
        <w:rPr>
          <w:rFonts w:ascii="Arial" w:hAnsi="Arial" w:cs="Arial"/>
          <w:i/>
          <w:lang w:val="es-ES"/>
        </w:rPr>
      </w:pP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 xml:space="preserve">Precio mínimo ofertado </w:t>
      </w:r>
    </w:p>
    <w:p>
      <w:pPr>
        <w:suppressAutoHyphens w:val="0"/>
        <w:spacing w:after="200" w:line="276" w:lineRule="auto"/>
        <w:ind w:left="993"/>
        <w:jc w:val="both"/>
        <w:rPr>
          <w:rFonts w:ascii="Arial" w:hAnsi="Arial" w:cs="Arial"/>
          <w:i/>
          <w:lang w:val="es-ES"/>
        </w:rPr>
      </w:pPr>
      <w:r>
        <w:rPr>
          <w:rFonts w:ascii="Arial" w:hAnsi="Arial" w:cs="Arial"/>
          <w:i/>
          <w:lang w:val="es-ES"/>
        </w:rPr>
        <w:t xml:space="preserve">Puntuación Oferta = 40 x ___________________________ </w:t>
      </w:r>
    </w:p>
    <w:p>
      <w:pPr>
        <w:suppressAutoHyphens w:val="0"/>
        <w:spacing w:after="200" w:line="276" w:lineRule="auto"/>
        <w:ind w:left="993"/>
        <w:jc w:val="both"/>
        <w:rPr>
          <w:rFonts w:ascii="Arial" w:hAnsi="Arial" w:cs="Arial"/>
          <w:i/>
          <w:lang w:val="es-ES"/>
        </w:rPr>
      </w:pP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 xml:space="preserve">Oferta presentada </w:t>
      </w:r>
    </w:p>
    <w:p>
      <w:pPr>
        <w:suppressAutoHyphens w:val="0"/>
        <w:spacing w:after="200" w:line="276" w:lineRule="auto"/>
        <w:ind w:left="993"/>
        <w:jc w:val="both"/>
        <w:rPr>
          <w:rFonts w:ascii="Arial" w:hAnsi="Arial" w:cs="Arial"/>
          <w:i/>
          <w:lang w:val="es-ES"/>
        </w:rPr>
      </w:pPr>
      <w:r>
        <w:rPr>
          <w:rFonts w:ascii="Arial" w:hAnsi="Arial" w:cs="Arial"/>
          <w:b/>
          <w:bCs/>
          <w:i/>
          <w:lang w:val="es-ES"/>
        </w:rPr>
        <w:t xml:space="preserve">5.- Garantías complementarias: Hasta 5 puntos. </w:t>
      </w:r>
    </w:p>
    <w:p>
      <w:pPr>
        <w:suppressAutoHyphens w:val="0"/>
        <w:spacing w:after="200" w:line="276" w:lineRule="auto"/>
        <w:ind w:left="993"/>
        <w:jc w:val="both"/>
        <w:rPr>
          <w:rFonts w:ascii="Arial" w:hAnsi="Arial" w:cs="Arial"/>
          <w:i/>
          <w:lang w:val="es-ES"/>
        </w:rPr>
      </w:pPr>
      <w:r>
        <w:rPr>
          <w:rFonts w:ascii="Arial" w:hAnsi="Arial" w:cs="Arial"/>
          <w:i/>
          <w:lang w:val="es-ES"/>
        </w:rPr>
        <w:t xml:space="preserve">Se otorgarán como máximo 5 puntos por el compromiso de formalización de garantía complementaria, consistente en la extensión de la duración del plazo de garantía de la obra. Dicha extensión se deberá expresar en meses, que se entenderán por encima de 10 años. Se asignará la mayor puntuación (5 puntos) a la propuesta más alta, por encima del plazo mínimo de garantía (10 años) y 0 puntos a la extensión del plazo de 0 meses. Las restantes ofertas se valorarán de forma directamente proporcional según la fórmula: </w:t>
      </w:r>
    </w:p>
    <w:p>
      <w:pPr>
        <w:suppressAutoHyphens w:val="0"/>
        <w:spacing w:after="200" w:line="276" w:lineRule="auto"/>
        <w:ind w:left="993"/>
        <w:jc w:val="both"/>
        <w:rPr>
          <w:rFonts w:ascii="Arial" w:hAnsi="Arial" w:cs="Arial"/>
          <w:i/>
          <w:lang w:val="es-ES"/>
        </w:rPr>
      </w:pP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 xml:space="preserve">Oferta de meses extras </w:t>
      </w:r>
    </w:p>
    <w:p>
      <w:pPr>
        <w:suppressAutoHyphens w:val="0"/>
        <w:spacing w:after="200" w:line="276" w:lineRule="auto"/>
        <w:ind w:left="993"/>
        <w:jc w:val="both"/>
        <w:rPr>
          <w:rFonts w:ascii="Arial" w:hAnsi="Arial" w:cs="Arial"/>
          <w:i/>
          <w:lang w:val="es-ES"/>
        </w:rPr>
      </w:pPr>
      <w:r>
        <w:rPr>
          <w:rFonts w:ascii="Arial" w:hAnsi="Arial" w:cs="Arial"/>
          <w:i/>
          <w:lang w:val="es-ES"/>
        </w:rPr>
        <w:t xml:space="preserve">Puntos conseguidos = 5 x ___________________________ </w:t>
      </w:r>
    </w:p>
    <w:p>
      <w:pPr>
        <w:suppressAutoHyphens w:val="0"/>
        <w:spacing w:after="200" w:line="276" w:lineRule="auto"/>
        <w:ind w:left="993"/>
        <w:jc w:val="both"/>
        <w:rPr>
          <w:rFonts w:ascii="Arial" w:hAnsi="Arial" w:cs="Arial"/>
          <w:i/>
          <w:lang w:val="es-ES"/>
        </w:rPr>
      </w:pP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ab/>
      </w:r>
      <w:r>
        <w:rPr>
          <w:rFonts w:ascii="Arial" w:hAnsi="Arial" w:cs="Arial"/>
          <w:i/>
          <w:lang w:val="es-ES"/>
        </w:rPr>
        <w:t>Mejor oferta de meses extra</w:t>
      </w:r>
    </w:p>
    <w:p>
      <w:pPr>
        <w:suppressAutoHyphens w:val="0"/>
        <w:spacing w:after="200" w:line="276" w:lineRule="auto"/>
        <w:jc w:val="both"/>
        <w:rPr>
          <w:rFonts w:ascii="Arial" w:hAnsi="Arial" w:cs="Arial"/>
          <w:lang w:val="es-ES"/>
        </w:rPr>
      </w:pPr>
      <w:r>
        <w:rPr>
          <w:rFonts w:ascii="Arial" w:hAnsi="Arial" w:cs="Arial"/>
          <w:lang w:val="es-ES"/>
        </w:rPr>
        <w:t>Valorada la oferta presentado conforme los criterios expuestos anteriormente se obtiene la siguiente puntuación:</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320"/>
        <w:gridCol w:w="4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20" w:type="dxa"/>
            <w:tcBorders>
              <w:top w:val="outset" w:color="auto" w:sz="6" w:space="0"/>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b/>
                <w:lang w:val="es-ES"/>
              </w:rPr>
            </w:pPr>
            <w:r>
              <w:rPr>
                <w:rFonts w:ascii="Arial" w:hAnsi="Arial" w:cs="Arial"/>
                <w:b/>
                <w:lang w:val="es-ES"/>
              </w:rPr>
              <w:t xml:space="preserve">LICITADOR </w:t>
            </w:r>
          </w:p>
        </w:tc>
        <w:tc>
          <w:tcPr>
            <w:tcW w:w="4320" w:type="dxa"/>
            <w:tcBorders>
              <w:top w:val="outset" w:color="auto" w:sz="6" w:space="0"/>
              <w:left w:val="nil"/>
              <w:bottom w:val="outset" w:color="auto" w:sz="6" w:space="0"/>
              <w:right w:val="outset" w:color="auto" w:sz="6" w:space="0"/>
            </w:tcBorders>
          </w:tcPr>
          <w:p>
            <w:pPr>
              <w:suppressAutoHyphens w:val="0"/>
              <w:spacing w:after="200" w:line="276" w:lineRule="auto"/>
              <w:jc w:val="both"/>
              <w:rPr>
                <w:rFonts w:ascii="Arial" w:hAnsi="Arial" w:cs="Arial"/>
                <w:b/>
                <w:lang w:val="es-ES"/>
              </w:rPr>
            </w:pPr>
            <w:r>
              <w:rPr>
                <w:rFonts w:ascii="Arial" w:hAnsi="Arial" w:cs="Arial"/>
                <w:b/>
                <w:lang w:val="es-ES"/>
              </w:rPr>
              <w:t>PUNTUACIÓN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20" w:type="dxa"/>
            <w:tcBorders>
              <w:top w:val="outset" w:color="auto" w:sz="6" w:space="0"/>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lang w:val="es-ES"/>
              </w:rPr>
            </w:pPr>
            <w:r>
              <w:rPr>
                <w:rFonts w:ascii="Arial" w:hAnsi="Arial" w:cs="Arial"/>
              </w:rPr>
              <w:t>MONTAJES ELÉCTRICOS VERANO S.L</w:t>
            </w:r>
          </w:p>
        </w:tc>
        <w:tc>
          <w:tcPr>
            <w:tcW w:w="4320" w:type="dxa"/>
            <w:tcBorders>
              <w:top w:val="outset" w:color="auto" w:sz="6" w:space="0"/>
              <w:left w:val="nil"/>
              <w:bottom w:val="outset" w:color="auto" w:sz="6" w:space="0"/>
              <w:right w:val="outset" w:color="auto" w:sz="6" w:space="0"/>
            </w:tcBorders>
          </w:tcPr>
          <w:p>
            <w:pPr>
              <w:suppressAutoHyphens w:val="0"/>
              <w:spacing w:after="200" w:line="276" w:lineRule="auto"/>
              <w:jc w:val="both"/>
              <w:rPr>
                <w:rFonts w:ascii="Arial" w:hAnsi="Arial" w:cs="Arial"/>
                <w:lang w:val="es-ES"/>
              </w:rPr>
            </w:pPr>
            <w:r>
              <w:rPr>
                <w:rFonts w:ascii="Arial" w:hAnsi="Arial" w:cs="Arial"/>
                <w:lang w:val="es-ES"/>
              </w:rPr>
              <w:t>45 puntos</w:t>
            </w:r>
          </w:p>
          <w:p>
            <w:pPr>
              <w:suppressAutoHyphens w:val="0"/>
              <w:spacing w:after="200" w:line="276" w:lineRule="auto"/>
              <w:jc w:val="both"/>
              <w:rPr>
                <w:rFonts w:ascii="Arial" w:hAnsi="Arial" w:cs="Arial"/>
                <w:lang w:val="es-E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20" w:type="dxa"/>
            <w:tcBorders>
              <w:top w:val="outset" w:color="auto" w:sz="6" w:space="0"/>
              <w:left w:val="outset" w:color="auto" w:sz="6" w:space="0"/>
              <w:bottom w:val="single" w:color="auto" w:sz="4" w:space="0"/>
              <w:right w:val="outset" w:color="auto" w:sz="6" w:space="0"/>
            </w:tcBorders>
          </w:tcPr>
          <w:p>
            <w:pPr>
              <w:suppressAutoHyphens w:val="0"/>
              <w:spacing w:after="200" w:line="276" w:lineRule="auto"/>
              <w:jc w:val="both"/>
              <w:rPr>
                <w:rFonts w:ascii="Arial" w:hAnsi="Arial" w:cs="Arial"/>
              </w:rPr>
            </w:pPr>
            <w:r>
              <w:rPr>
                <w:rFonts w:ascii="Arial" w:hAnsi="Arial" w:cs="Arial"/>
                <w:bCs/>
              </w:rPr>
              <w:t>PROYECTOS Y MONTAJES ELÉCTRICOS RIOJANOS, S.L</w:t>
            </w:r>
          </w:p>
        </w:tc>
        <w:tc>
          <w:tcPr>
            <w:tcW w:w="4320" w:type="dxa"/>
            <w:tcBorders>
              <w:top w:val="outset" w:color="auto" w:sz="6" w:space="0"/>
              <w:left w:val="nil"/>
              <w:bottom w:val="single" w:color="auto" w:sz="4" w:space="0"/>
              <w:right w:val="outset" w:color="auto" w:sz="6" w:space="0"/>
            </w:tcBorders>
          </w:tcPr>
          <w:p>
            <w:pPr>
              <w:suppressAutoHyphens w:val="0"/>
              <w:spacing w:after="200" w:line="276" w:lineRule="auto"/>
              <w:jc w:val="both"/>
              <w:rPr>
                <w:rFonts w:ascii="Arial" w:hAnsi="Arial" w:cs="Arial"/>
                <w:lang w:val="es-ES"/>
              </w:rPr>
            </w:pPr>
            <w:r>
              <w:rPr>
                <w:rFonts w:ascii="Arial" w:hAnsi="Arial" w:cs="Arial"/>
                <w:lang w:val="es-ES"/>
              </w:rPr>
              <w:t xml:space="preserve">42.38 puntos </w:t>
            </w:r>
          </w:p>
        </w:tc>
      </w:tr>
    </w:tbl>
    <w:p>
      <w:pPr>
        <w:suppressAutoHyphens w:val="0"/>
        <w:spacing w:after="200" w:line="276" w:lineRule="auto"/>
        <w:jc w:val="both"/>
        <w:rPr>
          <w:rFonts w:ascii="Arial" w:hAnsi="Arial" w:cs="Arial"/>
          <w:lang w:val="es-ES"/>
        </w:rPr>
      </w:pPr>
      <w:r>
        <w:rPr>
          <w:rFonts w:ascii="Arial" w:hAnsi="Arial" w:cs="Arial"/>
          <w:lang w:val="es-ES"/>
        </w:rPr>
        <w:t xml:space="preserve"> </w:t>
      </w:r>
    </w:p>
    <w:p>
      <w:pPr>
        <w:suppressAutoHyphens w:val="0"/>
        <w:spacing w:after="200" w:line="276" w:lineRule="auto"/>
        <w:jc w:val="both"/>
        <w:rPr>
          <w:rFonts w:ascii="Arial" w:hAnsi="Arial" w:cs="Arial"/>
          <w:lang w:val="es-ES"/>
        </w:rPr>
      </w:pPr>
      <w:r>
        <w:rPr>
          <w:rFonts w:ascii="Arial" w:hAnsi="Arial" w:cs="Arial"/>
          <w:lang w:val="es-ES"/>
        </w:rPr>
        <w:t xml:space="preserve">De este modo, la puntuación total obtenida por las empresas licitadores, son las que siguen: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981"/>
        <w:gridCol w:w="2388"/>
        <w:gridCol w:w="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981" w:type="dxa"/>
            <w:tcBorders>
              <w:top w:val="outset" w:color="auto" w:sz="6" w:space="0"/>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b/>
                <w:lang w:val="es-ES"/>
              </w:rPr>
            </w:pPr>
            <w:r>
              <w:rPr>
                <w:rFonts w:ascii="Arial" w:hAnsi="Arial" w:cs="Arial"/>
                <w:b/>
                <w:lang w:val="es-ES"/>
              </w:rPr>
              <w:t>LICITADOR</w:t>
            </w:r>
          </w:p>
        </w:tc>
        <w:tc>
          <w:tcPr>
            <w:tcW w:w="2388" w:type="dxa"/>
            <w:tcBorders>
              <w:top w:val="outset" w:color="auto" w:sz="6" w:space="0"/>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b/>
                <w:lang w:val="es-ES"/>
              </w:rPr>
            </w:pPr>
            <w:r>
              <w:rPr>
                <w:rFonts w:ascii="Arial" w:hAnsi="Arial" w:cs="Arial"/>
                <w:b/>
              </w:rPr>
              <w:t>MONTAJES ELÉCTRICOS VERANO S.L</w:t>
            </w:r>
          </w:p>
        </w:tc>
        <w:tc>
          <w:tcPr>
            <w:tcW w:w="2190" w:type="dxa"/>
            <w:tcBorders>
              <w:top w:val="outset" w:color="auto" w:sz="6" w:space="0"/>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b/>
              </w:rPr>
            </w:pPr>
            <w:r>
              <w:rPr>
                <w:rFonts w:ascii="Arial" w:hAnsi="Arial" w:cs="Arial"/>
                <w:b/>
                <w:bCs/>
              </w:rPr>
              <w:t>PROYECTOS Y MONTAJES ELÉCTRICOS RIOJANOS, S.L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Memoria (hasta 20 ptos.)</w:t>
            </w:r>
          </w:p>
        </w:tc>
        <w:tc>
          <w:tcPr>
            <w:tcW w:w="2388" w:type="dxa"/>
            <w:tcBorders>
              <w:top w:val="nil"/>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lang w:val="es-ES"/>
              </w:rPr>
            </w:pPr>
            <w:r>
              <w:rPr>
                <w:rFonts w:ascii="Arial" w:hAnsi="Arial" w:cs="Arial"/>
                <w:lang w:val="es-ES"/>
              </w:rPr>
              <w:t>20 puntos</w:t>
            </w:r>
          </w:p>
          <w:p>
            <w:pPr>
              <w:suppressAutoHyphens w:val="0"/>
              <w:spacing w:after="200" w:line="276" w:lineRule="auto"/>
              <w:jc w:val="both"/>
              <w:rPr>
                <w:rFonts w:ascii="Arial" w:hAnsi="Arial" w:cs="Arial"/>
                <w:lang w:val="es-ES"/>
              </w:rPr>
            </w:pPr>
          </w:p>
        </w:tc>
        <w:tc>
          <w:tcPr>
            <w:tcW w:w="2190" w:type="dxa"/>
            <w:tcBorders>
              <w:top w:val="nil"/>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lang w:val="es-ES"/>
              </w:rPr>
            </w:pPr>
            <w:r>
              <w:rPr>
                <w:rFonts w:ascii="Arial" w:hAnsi="Arial" w:cs="Arial"/>
                <w:lang w:val="es-ES"/>
              </w:rPr>
              <w:t>20 puntos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Plan de obra (hasta 16 ptos.)</w:t>
            </w:r>
          </w:p>
        </w:tc>
        <w:tc>
          <w:tcPr>
            <w:tcW w:w="2388" w:type="dxa"/>
            <w:tcBorders>
              <w:top w:val="nil"/>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 20 puntos </w:t>
            </w:r>
          </w:p>
        </w:tc>
        <w:tc>
          <w:tcPr>
            <w:tcW w:w="2190" w:type="dxa"/>
            <w:tcBorders>
              <w:top w:val="nil"/>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20 puntos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Tratamiento de afecciones (hasta 4 ptos.)</w:t>
            </w:r>
          </w:p>
        </w:tc>
        <w:tc>
          <w:tcPr>
            <w:tcW w:w="2388"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4 puntos </w:t>
            </w:r>
          </w:p>
        </w:tc>
        <w:tc>
          <w:tcPr>
            <w:tcW w:w="2190"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4 puntos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Criterios sociales (hasta 10 ptos.)</w:t>
            </w:r>
          </w:p>
        </w:tc>
        <w:tc>
          <w:tcPr>
            <w:tcW w:w="2388"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10 puntos</w:t>
            </w:r>
          </w:p>
        </w:tc>
        <w:tc>
          <w:tcPr>
            <w:tcW w:w="2190"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10 puntos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 xml:space="preserve">Criterios medioambientales (hasta 5 ptos.). </w:t>
            </w:r>
          </w:p>
        </w:tc>
        <w:tc>
          <w:tcPr>
            <w:tcW w:w="2388"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5 puntos</w:t>
            </w:r>
          </w:p>
        </w:tc>
        <w:tc>
          <w:tcPr>
            <w:tcW w:w="2190"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5 puntos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Oferta económica (hasta 40 ptos.)</w:t>
            </w:r>
          </w:p>
        </w:tc>
        <w:tc>
          <w:tcPr>
            <w:tcW w:w="2388"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40 puntos </w:t>
            </w:r>
          </w:p>
        </w:tc>
        <w:tc>
          <w:tcPr>
            <w:tcW w:w="2190"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39,89 puntos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2" w:hRule="atLeast"/>
        </w:trPr>
        <w:tc>
          <w:tcPr>
            <w:tcW w:w="1981" w:type="dxa"/>
            <w:tcBorders>
              <w:top w:val="nil"/>
              <w:left w:val="outset" w:color="auto" w:sz="6" w:space="0"/>
              <w:bottom w:val="outset" w:color="auto" w:sz="6" w:space="0"/>
              <w:right w:val="outset" w:color="auto" w:sz="6" w:space="0"/>
            </w:tcBorders>
            <w:vAlign w:val="center"/>
          </w:tcPr>
          <w:p>
            <w:pPr>
              <w:suppressAutoHyphens w:val="0"/>
              <w:spacing w:after="200" w:line="276" w:lineRule="auto"/>
              <w:jc w:val="both"/>
              <w:rPr>
                <w:rFonts w:ascii="Arial" w:hAnsi="Arial" w:cs="Arial"/>
                <w:b/>
                <w:lang w:val="es-ES"/>
              </w:rPr>
            </w:pPr>
            <w:r>
              <w:rPr>
                <w:rFonts w:ascii="Arial" w:hAnsi="Arial" w:cs="Arial"/>
                <w:b/>
                <w:lang w:val="es-ES"/>
              </w:rPr>
              <w:t xml:space="preserve">Garantías complementarias (hasta 5 ptos.) </w:t>
            </w:r>
          </w:p>
        </w:tc>
        <w:tc>
          <w:tcPr>
            <w:tcW w:w="2388"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5 puntos </w:t>
            </w:r>
          </w:p>
        </w:tc>
        <w:tc>
          <w:tcPr>
            <w:tcW w:w="2190" w:type="dxa"/>
            <w:tcBorders>
              <w:left w:val="outset" w:color="auto" w:sz="6" w:space="0"/>
              <w:right w:val="outset" w:color="auto" w:sz="6" w:space="0"/>
            </w:tcBorders>
            <w:vAlign w:val="center"/>
          </w:tcPr>
          <w:p>
            <w:pPr>
              <w:spacing w:after="200" w:line="276" w:lineRule="auto"/>
              <w:jc w:val="both"/>
              <w:rPr>
                <w:rFonts w:ascii="Arial" w:hAnsi="Arial" w:cs="Arial"/>
                <w:lang w:val="es-ES"/>
              </w:rPr>
            </w:pPr>
            <w:r>
              <w:rPr>
                <w:rFonts w:ascii="Arial" w:hAnsi="Arial" w:cs="Arial"/>
                <w:lang w:val="es-ES"/>
              </w:rPr>
              <w:t xml:space="preserve">2,5 puntos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981" w:type="dxa"/>
            <w:tcBorders>
              <w:top w:val="nil"/>
              <w:left w:val="outset" w:color="auto" w:sz="6" w:space="0"/>
              <w:bottom w:val="outset" w:color="auto" w:sz="6" w:space="0"/>
              <w:right w:val="outset" w:color="auto" w:sz="6" w:space="0"/>
            </w:tcBorders>
          </w:tcPr>
          <w:p>
            <w:pPr>
              <w:suppressAutoHyphens w:val="0"/>
              <w:spacing w:after="200" w:line="276" w:lineRule="auto"/>
              <w:jc w:val="both"/>
              <w:rPr>
                <w:rFonts w:ascii="Arial" w:hAnsi="Arial" w:cs="Arial"/>
                <w:b/>
                <w:lang w:val="es-ES"/>
              </w:rPr>
            </w:pPr>
            <w:r>
              <w:rPr>
                <w:rFonts w:ascii="Arial" w:hAnsi="Arial" w:cs="Arial"/>
                <w:b/>
                <w:lang w:val="es-ES"/>
              </w:rPr>
              <w:t>TOTAL PUNTUACIÓN</w:t>
            </w:r>
          </w:p>
        </w:tc>
        <w:tc>
          <w:tcPr>
            <w:tcW w:w="2388" w:type="dxa"/>
            <w:tcBorders>
              <w:top w:val="nil"/>
              <w:left w:val="outset" w:color="auto" w:sz="6" w:space="0"/>
              <w:bottom w:val="outset" w:color="auto" w:sz="6" w:space="0"/>
              <w:right w:val="outset" w:color="auto" w:sz="6" w:space="0"/>
            </w:tcBorders>
            <w:vAlign w:val="bottom"/>
          </w:tcPr>
          <w:p>
            <w:pPr>
              <w:suppressAutoHyphens w:val="0"/>
              <w:spacing w:after="200" w:line="276" w:lineRule="auto"/>
              <w:jc w:val="both"/>
              <w:rPr>
                <w:rFonts w:ascii="Arial" w:hAnsi="Arial" w:cs="Arial"/>
                <w:lang w:val="es-ES"/>
              </w:rPr>
            </w:pPr>
            <w:r>
              <w:rPr>
                <w:rFonts w:ascii="Arial" w:hAnsi="Arial" w:cs="Arial"/>
                <w:lang w:val="es-ES"/>
              </w:rPr>
              <w:t>100 puntos</w:t>
            </w:r>
          </w:p>
        </w:tc>
        <w:tc>
          <w:tcPr>
            <w:tcW w:w="2190" w:type="dxa"/>
            <w:tcBorders>
              <w:top w:val="nil"/>
              <w:left w:val="outset" w:color="auto" w:sz="6" w:space="0"/>
              <w:bottom w:val="outset" w:color="auto" w:sz="6" w:space="0"/>
              <w:right w:val="outset" w:color="auto" w:sz="6" w:space="0"/>
            </w:tcBorders>
            <w:vAlign w:val="bottom"/>
          </w:tcPr>
          <w:p>
            <w:pPr>
              <w:suppressAutoHyphens w:val="0"/>
              <w:spacing w:after="200" w:line="276" w:lineRule="auto"/>
              <w:rPr>
                <w:rFonts w:ascii="Arial" w:hAnsi="Arial" w:cs="Arial"/>
                <w:lang w:val="es-ES"/>
              </w:rPr>
            </w:pPr>
            <w:r>
              <w:rPr>
                <w:rFonts w:ascii="Arial" w:hAnsi="Arial" w:cs="Arial"/>
                <w:lang w:val="es-ES"/>
              </w:rPr>
              <w:t>97,38 puntos</w:t>
            </w:r>
          </w:p>
        </w:tc>
      </w:tr>
    </w:tbl>
    <w:p>
      <w:pPr>
        <w:suppressAutoHyphens w:val="0"/>
        <w:spacing w:after="200" w:line="276" w:lineRule="auto"/>
        <w:jc w:val="both"/>
        <w:rPr>
          <w:rFonts w:ascii="Arial" w:hAnsi="Arial" w:cs="Arial"/>
          <w:lang w:val="es-ES"/>
        </w:rPr>
      </w:pPr>
      <w:r>
        <w:rPr>
          <w:rFonts w:ascii="Arial" w:hAnsi="Arial" w:cs="Arial"/>
          <w:lang w:val="es-ES"/>
        </w:rPr>
        <w:t xml:space="preserve"> </w:t>
      </w:r>
    </w:p>
    <w:p>
      <w:pPr>
        <w:suppressAutoHyphens w:val="0"/>
        <w:spacing w:after="200" w:line="276" w:lineRule="auto"/>
        <w:jc w:val="both"/>
        <w:rPr>
          <w:rFonts w:ascii="Arial" w:hAnsi="Arial" w:cs="Arial"/>
          <w:lang w:val="es-ES"/>
        </w:rPr>
      </w:pPr>
      <w:r>
        <w:rPr>
          <w:rFonts w:ascii="Arial" w:hAnsi="Arial" w:cs="Arial"/>
          <w:b/>
          <w:u w:val="single"/>
          <w:lang w:val="es-ES"/>
        </w:rPr>
        <w:t>Noveno</w:t>
      </w:r>
      <w:r>
        <w:rPr>
          <w:rFonts w:ascii="Arial" w:hAnsi="Arial" w:cs="Arial"/>
          <w:lang w:val="es-ES"/>
        </w:rPr>
        <w:t xml:space="preserve">.- A la vista de la puntuación resultante y en base a la cláusula 13 de los Pliegos reguladores se procede a la propuesta de adjudicación de dicha contratación a la mercantil </w:t>
      </w:r>
      <w:r>
        <w:rPr>
          <w:rFonts w:ascii="Arial" w:hAnsi="Arial" w:cs="Arial"/>
          <w:b/>
        </w:rPr>
        <w:t>MONTAJES ELÉCTRICOS VERANO S.L</w:t>
      </w:r>
      <w:r>
        <w:rPr>
          <w:rFonts w:ascii="Arial" w:hAnsi="Arial" w:cs="Arial"/>
          <w:lang w:val="es-ES"/>
        </w:rPr>
        <w:t>. No obstante, de conformidad con la cláusula 12 de los Pliegos, “</w:t>
      </w:r>
      <w:r>
        <w:rPr>
          <w:rFonts w:ascii="Arial" w:hAnsi="Arial" w:cs="Arial"/>
          <w:bCs/>
          <w:i/>
          <w:lang w:val="es-ES"/>
        </w:rPr>
        <w:t xml:space="preserve">12- APORTACIÓN DE LA DOCUMENTACIÓN PARA ACREDITAR LA CAPACIDAD Y LA SOLVENCIA POR EL ADJUDICATARIO.”, </w:t>
      </w:r>
      <w:r>
        <w:rPr>
          <w:rFonts w:ascii="Arial" w:hAnsi="Arial" w:cs="Arial"/>
          <w:lang w:val="es-ES"/>
        </w:rPr>
        <w:t xml:space="preserve">El licitador en el plazo máximo de 3 días naturales desde que la Unidad Gestora comunique al licitador a cuyo favor vaya a recaer la propuesta de adjudicación dicha circunstancia, este deberá acreditar la posesión y validez de los documentos señalados en la cláusula 12 de los Pliegos reguladores. </w:t>
      </w:r>
    </w:p>
    <w:p>
      <w:pPr>
        <w:jc w:val="both"/>
        <w:rPr>
          <w:rFonts w:ascii="Arial" w:hAnsi="Arial" w:cs="Arial"/>
        </w:rPr>
      </w:pPr>
      <w:r>
        <w:rPr>
          <w:rFonts w:ascii="Arial" w:hAnsi="Arial" w:cs="Arial"/>
          <w:lang w:val="es-ES"/>
        </w:rPr>
        <w:t xml:space="preserve"> </w:t>
      </w:r>
      <w:r>
        <w:rPr>
          <w:rFonts w:ascii="Arial" w:hAnsi="Arial" w:cs="Arial"/>
        </w:rPr>
        <w:t>De todo lo cual se extiende la presente acta.</w:t>
      </w:r>
    </w:p>
    <w:p>
      <w:pPr>
        <w:jc w:val="both"/>
        <w:rPr>
          <w:rFonts w:ascii="Arial" w:hAnsi="Arial" w:cs="Arial"/>
        </w:rPr>
      </w:pPr>
    </w:p>
    <w:p>
      <w:pPr>
        <w:rPr>
          <w:rFonts w:ascii="Arial" w:hAnsi="Arial" w:cs="Arial"/>
        </w:rPr>
      </w:pPr>
    </w:p>
    <w:p>
      <w:pPr>
        <w:rPr>
          <w:rFonts w:ascii="Arial" w:hAnsi="Arial" w:cs="Arial"/>
        </w:rPr>
      </w:pPr>
      <w:r>
        <w:rPr>
          <w:rFonts w:ascii="Arial" w:hAnsi="Arial" w:cs="Arial"/>
        </w:rPr>
        <w:t xml:space="preserve">En Lazagurría, a 16 de septiembre de 2022, </w:t>
      </w:r>
    </w:p>
    <w:p>
      <w:pPr>
        <w:rPr>
          <w:rFonts w:ascii="Arial" w:hAnsi="Arial" w:cs="Arial"/>
        </w:rPr>
      </w:pPr>
    </w:p>
    <w:p>
      <w:pPr>
        <w:jc w:val="center"/>
        <w:rPr>
          <w:rFonts w:ascii="Arial" w:hAnsi="Arial" w:cs="Arial"/>
          <w:b/>
        </w:rPr>
      </w:pPr>
    </w:p>
    <w:p>
      <w:pPr>
        <w:jc w:val="center"/>
        <w:rPr>
          <w:rFonts w:ascii="Arial" w:hAnsi="Arial" w:cs="Arial"/>
          <w:b/>
        </w:rPr>
      </w:pPr>
      <w:r>
        <w:rPr>
          <w:rFonts w:ascii="Arial" w:hAnsi="Arial" w:cs="Arial"/>
          <w:b/>
        </w:rPr>
        <w:t xml:space="preserve">FDO. LA UNIDAD GESTORA-SECRETARÍA DEL AYUNTAMIENTO DE </w:t>
      </w:r>
      <w:r>
        <w:rPr>
          <w:rFonts w:hint="default" w:ascii="Arial" w:hAnsi="Arial" w:cs="Arial"/>
          <w:b/>
          <w:lang w:val="es-ES"/>
        </w:rPr>
        <w:t>LAZAGURRÍA</w:t>
      </w:r>
      <w:bookmarkStart w:id="0" w:name="_GoBack"/>
      <w:bookmarkEnd w:id="0"/>
      <w:r>
        <w:rPr>
          <w:rFonts w:ascii="Arial" w:hAnsi="Arial" w:cs="Arial"/>
          <w:b/>
        </w:rPr>
        <w:t>.</w:t>
      </w:r>
    </w:p>
    <w:p>
      <w:pPr>
        <w:rPr>
          <w:rFonts w:ascii="Arial" w:hAnsi="Arial" w:cs="Arial"/>
        </w:rPr>
      </w:pPr>
    </w:p>
    <w:p>
      <w:pPr>
        <w:suppressAutoHyphens w:val="0"/>
        <w:spacing w:after="200" w:line="276" w:lineRule="auto"/>
        <w:jc w:val="both"/>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pPr>
    </w:p>
    <w:p>
      <w:pPr>
        <w:rPr>
          <w:rFonts w:ascii="Arial" w:hAnsi="Arial" w:cs="Arial"/>
          <w:lang w:val="es-ES"/>
        </w:rPr>
        <w:sectPr>
          <w:type w:val="continuous"/>
          <w:pgSz w:w="12240" w:h="15840"/>
          <w:pgMar w:top="1417" w:right="1701" w:bottom="1417" w:left="1701" w:header="720" w:footer="720" w:gutter="0"/>
          <w:cols w:space="720" w:num="1"/>
        </w:sectPr>
      </w:pPr>
    </w:p>
    <w:p>
      <w:pPr>
        <w:rPr>
          <w:rFonts w:ascii="Arial" w:hAnsi="Arial" w:cs="Arial"/>
        </w:rPr>
      </w:pPr>
    </w:p>
    <w:p>
      <w:pPr>
        <w:tabs>
          <w:tab w:val="left" w:pos="3545"/>
        </w:tabs>
        <w:rPr>
          <w:rFonts w:ascii="Arial" w:hAnsi="Arial" w:cs="Arial"/>
        </w:rPr>
      </w:pPr>
      <w:r>
        <w:rPr>
          <w:rFonts w:ascii="Arial" w:hAnsi="Arial" w:cs="Arial"/>
        </w:rPr>
        <w:tab/>
      </w:r>
    </w:p>
    <w:p/>
    <w:sectPr>
      <w:footerReference r:id="rId5"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font265">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IDFont+F3">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75501"/>
      <w:docPartObj>
        <w:docPartGallery w:val="autotext"/>
      </w:docPartObj>
    </w:sdtPr>
    <w:sdtContent>
      <w:p>
        <w:pPr>
          <w:pStyle w:val="5"/>
          <w:jc w:val="center"/>
        </w:pPr>
        <w:r>
          <w:fldChar w:fldCharType="begin"/>
        </w:r>
        <w:r>
          <w:instrText xml:space="preserve"> PAGE   \* MERGEFORMAT </w:instrText>
        </w:r>
        <w:r>
          <w:fldChar w:fldCharType="separate"/>
        </w:r>
        <w:r>
          <w:t>8</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E835D4"/>
    <w:multiLevelType w:val="multilevel"/>
    <w:tmpl w:val="11E835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14D5139"/>
    <w:multiLevelType w:val="multilevel"/>
    <w:tmpl w:val="214D513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C9333FF"/>
    <w:multiLevelType w:val="multilevel"/>
    <w:tmpl w:val="2C9333F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E3930C9"/>
    <w:multiLevelType w:val="multilevel"/>
    <w:tmpl w:val="4E3930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481"/>
    <w:rsid w:val="000725CA"/>
    <w:rsid w:val="000F2FAA"/>
    <w:rsid w:val="00492CD6"/>
    <w:rsid w:val="0050791D"/>
    <w:rsid w:val="009E08B9"/>
    <w:rsid w:val="00FD6481"/>
    <w:rsid w:val="2F7B0F03"/>
    <w:rsid w:val="36B735E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uppressAutoHyphens/>
      <w:spacing w:after="0" w:line="240" w:lineRule="auto"/>
    </w:pPr>
    <w:rPr>
      <w:rFonts w:ascii="Calibri" w:hAnsi="Calibri" w:eastAsia="SimSun" w:cs="font265"/>
      <w:sz w:val="22"/>
      <w:szCs w:val="22"/>
      <w:lang w:val="en-US" w:eastAsia="ar-SA" w:bidi="ar-SA"/>
    </w:rPr>
  </w:style>
  <w:style w:type="character" w:default="1" w:styleId="2">
    <w:name w:val="Default Paragraph Font"/>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9"/>
    <w:semiHidden/>
    <w:unhideWhenUsed/>
    <w:qFormat/>
    <w:uiPriority w:val="99"/>
    <w:rPr>
      <w:rFonts w:ascii="Tahoma" w:hAnsi="Tahoma" w:cs="Tahoma"/>
      <w:sz w:val="16"/>
      <w:szCs w:val="16"/>
    </w:rPr>
  </w:style>
  <w:style w:type="paragraph" w:styleId="5">
    <w:name w:val="footer"/>
    <w:basedOn w:val="1"/>
    <w:link w:val="7"/>
    <w:unhideWhenUsed/>
    <w:uiPriority w:val="99"/>
    <w:pPr>
      <w:tabs>
        <w:tab w:val="center" w:pos="4252"/>
        <w:tab w:val="right" w:pos="8504"/>
      </w:tabs>
    </w:pPr>
  </w:style>
  <w:style w:type="table" w:styleId="6">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Pie de página Car"/>
    <w:basedOn w:val="2"/>
    <w:link w:val="5"/>
    <w:uiPriority w:val="99"/>
    <w:rPr>
      <w:rFonts w:ascii="Calibri" w:hAnsi="Calibri" w:eastAsia="SimSun" w:cs="font265"/>
      <w:lang w:val="en-US" w:eastAsia="ar-SA"/>
    </w:rPr>
  </w:style>
  <w:style w:type="paragraph" w:styleId="8">
    <w:name w:val="List Paragraph"/>
    <w:basedOn w:val="1"/>
    <w:qFormat/>
    <w:uiPriority w:val="34"/>
    <w:pPr>
      <w:ind w:left="720"/>
      <w:contextualSpacing/>
    </w:pPr>
  </w:style>
  <w:style w:type="character" w:customStyle="1" w:styleId="9">
    <w:name w:val="Texto de globo Car"/>
    <w:basedOn w:val="2"/>
    <w:link w:val="4"/>
    <w:semiHidden/>
    <w:qFormat/>
    <w:uiPriority w:val="99"/>
    <w:rPr>
      <w:rFonts w:ascii="Tahoma" w:hAnsi="Tahoma" w:eastAsia="SimSun" w:cs="Tahoma"/>
      <w:sz w:val="16"/>
      <w:szCs w:val="16"/>
      <w:lang w:val="en-US" w:eastAsia="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1791</Words>
  <Characters>9853</Characters>
  <Lines>82</Lines>
  <Paragraphs>23</Paragraphs>
  <TotalTime>50</TotalTime>
  <ScaleCrop>false</ScaleCrop>
  <LinksUpToDate>false</LinksUpToDate>
  <CharactersWithSpaces>11621</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2022-09-16T11:11:00Z</dcterms:created>
  <dc:creator>Windows User</dc:creator>
  <cp:lastModifiedBy>Usuario</cp:lastModifiedBy>
  <dcterms:modified xsi:type="dcterms:W3CDTF">2022-09-21T11:25:13Z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3082-11.2.0.11341</vt:lpwstr>
  </property>
  <property fmtid="{D5CDD505-2E9C-101B-9397-08002B2CF9AE}" pid="3" name="ICV">
    <vt:lpwstr>EAE1928673F74AC983B01C9A7103A5F8</vt:lpwstr>
  </property>
</Properties>
</file>