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564" w:rsidRDefault="00DA2D04">
      <w:pPr>
        <w:pStyle w:val="western"/>
        <w:spacing w:before="125" w:after="240"/>
        <w:jc w:val="both"/>
        <w:rPr>
          <w:b/>
        </w:rPr>
      </w:pPr>
      <w:bookmarkStart w:id="0" w:name="_GoBack"/>
      <w:bookmarkEnd w:id="0"/>
      <w:r>
        <w:rPr>
          <w:b/>
        </w:rPr>
        <w:t>Resolución del Presidente de la Cámara de Comptos de Navarra por la que se adjudican los contratos de los servicios de auditoría para la fiscalización financiera de las cuentas generales de diversas entidades locales de la Comunidad Foral correspondientes</w:t>
      </w:r>
      <w:r>
        <w:rPr>
          <w:b/>
        </w:rPr>
        <w:t xml:space="preserve"> a 2021.</w:t>
      </w:r>
    </w:p>
    <w:p w:rsidR="00401564" w:rsidRDefault="00DA2D04">
      <w:pPr>
        <w:pStyle w:val="western"/>
        <w:spacing w:before="125" w:after="125"/>
        <w:ind w:firstLine="284"/>
        <w:jc w:val="both"/>
      </w:pPr>
      <w:r>
        <w:t>Mediante procedimiento simplificado se ha procedido a la licitación de los servicios de auditoría para la fiscalización financiera de las cuentas generales de diversas entidades locales de la Comunidad Foral correspondientes a 2021 (</w:t>
      </w:r>
      <w:proofErr w:type="spellStart"/>
      <w:r>
        <w:t>Cendea</w:t>
      </w:r>
      <w:proofErr w:type="spellEnd"/>
      <w:r>
        <w:t xml:space="preserve"> de </w:t>
      </w:r>
      <w:proofErr w:type="spellStart"/>
      <w:r>
        <w:t>Cizu</w:t>
      </w:r>
      <w:r>
        <w:t>r</w:t>
      </w:r>
      <w:proofErr w:type="spellEnd"/>
      <w:r>
        <w:t xml:space="preserve">, Valtierra, Arguedas, </w:t>
      </w:r>
      <w:proofErr w:type="spellStart"/>
      <w:r>
        <w:t>Irurztun</w:t>
      </w:r>
      <w:proofErr w:type="spellEnd"/>
      <w:r>
        <w:t xml:space="preserve"> y </w:t>
      </w:r>
      <w:proofErr w:type="spellStart"/>
      <w:r>
        <w:t>Cadreita</w:t>
      </w:r>
      <w:proofErr w:type="spellEnd"/>
      <w:r>
        <w:t>) de conformidad con lo dispuesto en el pliego regulador aprobado por Resolución del Presidente de la Cámara de Comptos de fecha 5 de julio de 2022.</w:t>
      </w:r>
    </w:p>
    <w:p w:rsidR="00401564" w:rsidRDefault="00DA2D04">
      <w:pPr>
        <w:pStyle w:val="western"/>
        <w:spacing w:before="125" w:after="125"/>
        <w:ind w:firstLine="284"/>
        <w:jc w:val="both"/>
      </w:pPr>
      <w:r>
        <w:t>El procedimiento de licitación se ha realizado a través de la Pl</w:t>
      </w:r>
      <w:r>
        <w:t xml:space="preserve">ataforma de Licitación Electrónica de Navarra (PLENA), habiéndose enviado invitación para participar en la licitación a nueve empresas de auditoría: </w:t>
      </w:r>
      <w:proofErr w:type="spellStart"/>
      <w:r>
        <w:t>Ernst&amp;Young</w:t>
      </w:r>
      <w:proofErr w:type="spellEnd"/>
      <w:r>
        <w:t xml:space="preserve">, </w:t>
      </w:r>
      <w:proofErr w:type="spellStart"/>
      <w:r>
        <w:t>Betean</w:t>
      </w:r>
      <w:proofErr w:type="spellEnd"/>
      <w:r>
        <w:t xml:space="preserve"> Auditoría, MM </w:t>
      </w:r>
      <w:proofErr w:type="spellStart"/>
      <w:r>
        <w:t>Consulting</w:t>
      </w:r>
      <w:proofErr w:type="spellEnd"/>
      <w:r>
        <w:t xml:space="preserve"> Financiero S.L., KPMG Auditores S.L., </w:t>
      </w:r>
      <w:proofErr w:type="spellStart"/>
      <w:r>
        <w:t>Auditabe</w:t>
      </w:r>
      <w:proofErr w:type="spellEnd"/>
      <w:r>
        <w:t xml:space="preserve"> Auditores y Con</w:t>
      </w:r>
      <w:r>
        <w:t xml:space="preserve">sultores S.L., BDO </w:t>
      </w:r>
      <w:proofErr w:type="spellStart"/>
      <w:r>
        <w:t>Quota</w:t>
      </w:r>
      <w:proofErr w:type="spellEnd"/>
      <w:r>
        <w:t xml:space="preserve"> Auditores S.L., </w:t>
      </w:r>
      <w:proofErr w:type="spellStart"/>
      <w:r>
        <w:t>Grant</w:t>
      </w:r>
      <w:proofErr w:type="spellEnd"/>
      <w:r>
        <w:t xml:space="preserve"> </w:t>
      </w:r>
      <w:proofErr w:type="spellStart"/>
      <w:r>
        <w:t>Thornton</w:t>
      </w:r>
      <w:proofErr w:type="spellEnd"/>
      <w:r>
        <w:t xml:space="preserve">, </w:t>
      </w:r>
      <w:proofErr w:type="spellStart"/>
      <w:r>
        <w:t>Faura</w:t>
      </w:r>
      <w:proofErr w:type="spellEnd"/>
      <w:r>
        <w:t xml:space="preserve"> Casas y </w:t>
      </w:r>
      <w:proofErr w:type="spellStart"/>
      <w:r>
        <w:t>Ezponda</w:t>
      </w:r>
      <w:proofErr w:type="spellEnd"/>
      <w:r>
        <w:t xml:space="preserve"> Abogados.</w:t>
      </w:r>
    </w:p>
    <w:p w:rsidR="00401564" w:rsidRDefault="00DA2D04">
      <w:pPr>
        <w:pStyle w:val="western"/>
        <w:spacing w:before="125" w:after="125"/>
        <w:ind w:firstLine="284"/>
        <w:jc w:val="both"/>
      </w:pPr>
      <w:r>
        <w:t>Finalizado el plazo se han presentado las siguientes proposiciones:</w:t>
      </w:r>
    </w:p>
    <w:p w:rsidR="00401564" w:rsidRDefault="00401564">
      <w:pPr>
        <w:pStyle w:val="western"/>
        <w:spacing w:before="125" w:after="125"/>
        <w:ind w:left="142"/>
        <w:jc w:val="both"/>
        <w:rPr>
          <w:rFonts w:eastAsia="Times New Roman"/>
          <w:color w:val="auto"/>
          <w:sz w:val="24"/>
          <w:szCs w:val="24"/>
        </w:rPr>
      </w:pPr>
    </w:p>
    <w:tbl>
      <w:tblPr>
        <w:tblW w:w="8789" w:type="dxa"/>
        <w:jc w:val="center"/>
        <w:tblCellMar>
          <w:left w:w="70" w:type="dxa"/>
          <w:right w:w="70" w:type="dxa"/>
        </w:tblCellMar>
        <w:tblLook w:val="04A0" w:firstRow="1" w:lastRow="0" w:firstColumn="1" w:lastColumn="0" w:noHBand="0" w:noVBand="1"/>
      </w:tblPr>
      <w:tblGrid>
        <w:gridCol w:w="1292"/>
        <w:gridCol w:w="1473"/>
        <w:gridCol w:w="1229"/>
        <w:gridCol w:w="1230"/>
        <w:gridCol w:w="1099"/>
        <w:gridCol w:w="1230"/>
        <w:gridCol w:w="1236"/>
      </w:tblGrid>
      <w:tr w:rsidR="00401564">
        <w:trPr>
          <w:trHeight w:val="720"/>
          <w:jc w:val="center"/>
        </w:trPr>
        <w:tc>
          <w:tcPr>
            <w:tcW w:w="12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01564" w:rsidRDefault="00DA2D04">
            <w:pPr>
              <w:widowControl/>
              <w:suppressAutoHyphens w:val="0"/>
              <w:spacing w:before="120" w:after="120"/>
              <w:ind w:left="321"/>
              <w:rPr>
                <w:rFonts w:ascii="Arial" w:eastAsia="Times New Roman" w:hAnsi="Arial" w:cs="Arial"/>
                <w:sz w:val="18"/>
                <w:szCs w:val="18"/>
                <w:lang w:eastAsia="es-ES" w:bidi="ar-SA"/>
              </w:rPr>
            </w:pPr>
            <w:r>
              <w:rPr>
                <w:rFonts w:ascii="Arial" w:eastAsia="Times New Roman" w:hAnsi="Arial" w:cs="Arial"/>
                <w:sz w:val="18"/>
                <w:szCs w:val="18"/>
                <w:lang w:eastAsia="es-ES" w:bidi="ar-SA"/>
              </w:rPr>
              <w:t>NIF</w:t>
            </w:r>
          </w:p>
        </w:tc>
        <w:tc>
          <w:tcPr>
            <w:tcW w:w="147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01564" w:rsidRDefault="00DA2D04">
            <w:pPr>
              <w:widowControl/>
              <w:suppressAutoHyphens w:val="0"/>
              <w:spacing w:before="120" w:after="120"/>
              <w:ind w:left="113"/>
              <w:jc w:val="center"/>
            </w:pPr>
            <w:r>
              <w:rPr>
                <w:rFonts w:ascii="Arial" w:eastAsia="Times New Roman" w:hAnsi="Arial" w:cs="Arial"/>
                <w:sz w:val="18"/>
                <w:szCs w:val="18"/>
                <w:lang w:eastAsia="es-ES" w:bidi="ar-SA"/>
              </w:rPr>
              <w:t>RAZON</w:t>
            </w:r>
          </w:p>
          <w:p w:rsidR="00401564" w:rsidRDefault="00DA2D04">
            <w:pPr>
              <w:widowControl/>
              <w:suppressAutoHyphens w:val="0"/>
              <w:spacing w:before="120" w:after="120"/>
              <w:ind w:left="113"/>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 xml:space="preserve"> SOCIAL</w:t>
            </w:r>
          </w:p>
        </w:tc>
        <w:tc>
          <w:tcPr>
            <w:tcW w:w="122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01564" w:rsidRDefault="00DA2D04">
            <w:pPr>
              <w:widowControl/>
              <w:suppressAutoHyphens w:val="0"/>
              <w:spacing w:before="120" w:after="120"/>
              <w:ind w:left="91"/>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LOTE 1</w:t>
            </w:r>
          </w:p>
          <w:p w:rsidR="00401564" w:rsidRDefault="00DA2D04">
            <w:pPr>
              <w:widowControl/>
              <w:suppressAutoHyphens w:val="0"/>
              <w:spacing w:before="120" w:after="120"/>
              <w:ind w:left="91"/>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w:t>
            </w:r>
            <w:proofErr w:type="spellStart"/>
            <w:r>
              <w:rPr>
                <w:rFonts w:ascii="Arial" w:eastAsia="Times New Roman" w:hAnsi="Arial" w:cs="Arial"/>
                <w:sz w:val="18"/>
                <w:szCs w:val="18"/>
                <w:lang w:eastAsia="es-ES" w:bidi="ar-SA"/>
              </w:rPr>
              <w:t>Cendea</w:t>
            </w:r>
            <w:proofErr w:type="spellEnd"/>
            <w:r>
              <w:rPr>
                <w:rFonts w:ascii="Arial" w:eastAsia="Times New Roman" w:hAnsi="Arial" w:cs="Arial"/>
                <w:sz w:val="18"/>
                <w:szCs w:val="18"/>
                <w:lang w:eastAsia="es-ES" w:bidi="ar-SA"/>
              </w:rPr>
              <w:t xml:space="preserve"> de </w:t>
            </w:r>
            <w:proofErr w:type="spellStart"/>
            <w:r>
              <w:rPr>
                <w:rFonts w:ascii="Arial" w:eastAsia="Times New Roman" w:hAnsi="Arial" w:cs="Arial"/>
                <w:sz w:val="18"/>
                <w:szCs w:val="18"/>
                <w:lang w:eastAsia="es-ES" w:bidi="ar-SA"/>
              </w:rPr>
              <w:t>Cizur</w:t>
            </w:r>
            <w:proofErr w:type="spellEnd"/>
            <w:r>
              <w:rPr>
                <w:rFonts w:ascii="Arial" w:eastAsia="Times New Roman" w:hAnsi="Arial" w:cs="Arial"/>
                <w:sz w:val="18"/>
                <w:szCs w:val="18"/>
                <w:lang w:eastAsia="es-ES" w:bidi="ar-SA"/>
              </w:rPr>
              <w:t>)</w:t>
            </w:r>
          </w:p>
        </w:tc>
        <w:tc>
          <w:tcPr>
            <w:tcW w:w="123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01564" w:rsidRDefault="00DA2D04">
            <w:pPr>
              <w:widowControl/>
              <w:suppressAutoHyphens w:val="0"/>
              <w:spacing w:before="120" w:after="120"/>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LOTE 2</w:t>
            </w:r>
          </w:p>
          <w:p w:rsidR="00401564" w:rsidRDefault="00DA2D04">
            <w:pPr>
              <w:widowControl/>
              <w:suppressAutoHyphens w:val="0"/>
              <w:spacing w:before="120" w:after="120"/>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(Ayto. de Valtierra)</w:t>
            </w:r>
          </w:p>
        </w:tc>
        <w:tc>
          <w:tcPr>
            <w:tcW w:w="109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01564" w:rsidRDefault="00DA2D04">
            <w:pPr>
              <w:widowControl/>
              <w:suppressAutoHyphens w:val="0"/>
              <w:spacing w:before="120" w:after="120"/>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LOTE 3</w:t>
            </w:r>
          </w:p>
          <w:p w:rsidR="00401564" w:rsidRDefault="00DA2D04">
            <w:pPr>
              <w:widowControl/>
              <w:suppressAutoHyphens w:val="0"/>
              <w:spacing w:before="120" w:after="120"/>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(Ayto. de Arguedas)</w:t>
            </w:r>
          </w:p>
        </w:tc>
        <w:tc>
          <w:tcPr>
            <w:tcW w:w="123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01564" w:rsidRDefault="00DA2D04">
            <w:pPr>
              <w:widowControl/>
              <w:suppressAutoHyphens w:val="0"/>
              <w:spacing w:before="120" w:after="120"/>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LOTE 4</w:t>
            </w:r>
          </w:p>
          <w:p w:rsidR="00401564" w:rsidRDefault="00DA2D04">
            <w:pPr>
              <w:widowControl/>
              <w:suppressAutoHyphens w:val="0"/>
              <w:spacing w:before="120" w:after="120"/>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 xml:space="preserve">(Ayto. de </w:t>
            </w:r>
            <w:proofErr w:type="spellStart"/>
            <w:r>
              <w:rPr>
                <w:rFonts w:ascii="Arial" w:eastAsia="Times New Roman" w:hAnsi="Arial" w:cs="Arial"/>
                <w:sz w:val="18"/>
                <w:szCs w:val="18"/>
                <w:lang w:eastAsia="es-ES" w:bidi="ar-SA"/>
              </w:rPr>
              <w:t>Irurtzun</w:t>
            </w:r>
            <w:proofErr w:type="spellEnd"/>
            <w:r>
              <w:rPr>
                <w:rFonts w:ascii="Arial" w:eastAsia="Times New Roman" w:hAnsi="Arial" w:cs="Arial"/>
                <w:sz w:val="18"/>
                <w:szCs w:val="18"/>
                <w:lang w:eastAsia="es-ES" w:bidi="ar-SA"/>
              </w:rPr>
              <w:t>)</w:t>
            </w:r>
          </w:p>
        </w:tc>
        <w:tc>
          <w:tcPr>
            <w:tcW w:w="123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01564" w:rsidRDefault="00DA2D04">
            <w:pPr>
              <w:widowControl/>
              <w:suppressAutoHyphens w:val="0"/>
              <w:spacing w:before="120" w:after="120"/>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LOTE 5</w:t>
            </w:r>
          </w:p>
          <w:p w:rsidR="00401564" w:rsidRDefault="00DA2D04">
            <w:pPr>
              <w:widowControl/>
              <w:suppressAutoHyphens w:val="0"/>
              <w:spacing w:before="120" w:after="120"/>
              <w:jc w:val="center"/>
              <w:rPr>
                <w:rFonts w:ascii="Arial" w:eastAsia="Times New Roman" w:hAnsi="Arial" w:cs="Arial"/>
                <w:sz w:val="18"/>
                <w:szCs w:val="18"/>
                <w:lang w:eastAsia="es-ES" w:bidi="ar-SA"/>
              </w:rPr>
            </w:pPr>
            <w:r>
              <w:rPr>
                <w:rFonts w:ascii="Arial" w:eastAsia="Times New Roman" w:hAnsi="Arial" w:cs="Arial"/>
                <w:sz w:val="18"/>
                <w:szCs w:val="18"/>
                <w:lang w:eastAsia="es-ES" w:bidi="ar-SA"/>
              </w:rPr>
              <w:t xml:space="preserve">(Ayto. de </w:t>
            </w:r>
            <w:proofErr w:type="spellStart"/>
            <w:r>
              <w:rPr>
                <w:rFonts w:ascii="Arial" w:eastAsia="Times New Roman" w:hAnsi="Arial" w:cs="Arial"/>
                <w:sz w:val="18"/>
                <w:szCs w:val="18"/>
                <w:lang w:eastAsia="es-ES" w:bidi="ar-SA"/>
              </w:rPr>
              <w:t>Cadreita</w:t>
            </w:r>
            <w:proofErr w:type="spellEnd"/>
            <w:r>
              <w:rPr>
                <w:rFonts w:ascii="Arial" w:eastAsia="Times New Roman" w:hAnsi="Arial" w:cs="Arial"/>
                <w:sz w:val="18"/>
                <w:szCs w:val="18"/>
                <w:lang w:eastAsia="es-ES" w:bidi="ar-SA"/>
              </w:rPr>
              <w:t>)</w:t>
            </w:r>
          </w:p>
        </w:tc>
      </w:tr>
      <w:tr w:rsidR="00401564">
        <w:trPr>
          <w:trHeight w:val="510"/>
          <w:jc w:val="center"/>
        </w:trPr>
        <w:tc>
          <w:tcPr>
            <w:tcW w:w="1291" w:type="dxa"/>
            <w:tcBorders>
              <w:top w:val="single" w:sz="4" w:space="0" w:color="000000"/>
              <w:left w:val="single" w:sz="4"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B95097135</w:t>
            </w:r>
          </w:p>
        </w:tc>
        <w:tc>
          <w:tcPr>
            <w:tcW w:w="1473" w:type="dxa"/>
            <w:tcBorders>
              <w:top w:val="single" w:sz="4" w:space="0" w:color="000000"/>
              <w:left w:val="single" w:sz="4"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proofErr w:type="spellStart"/>
            <w:r>
              <w:rPr>
                <w:rFonts w:ascii="Arial Narrow" w:eastAsia="Calibri" w:hAnsi="Arial Narrow" w:cs="Arial"/>
                <w:color w:val="000000"/>
                <w:sz w:val="20"/>
                <w:szCs w:val="20"/>
                <w:lang w:eastAsia="en-US" w:bidi="ar-SA"/>
              </w:rPr>
              <w:t>Betean</w:t>
            </w:r>
            <w:proofErr w:type="spellEnd"/>
            <w:r>
              <w:rPr>
                <w:rFonts w:ascii="Arial Narrow" w:eastAsia="Calibri" w:hAnsi="Arial Narrow" w:cs="Arial"/>
                <w:color w:val="000000"/>
                <w:sz w:val="20"/>
                <w:szCs w:val="20"/>
                <w:lang w:eastAsia="en-US" w:bidi="ar-SA"/>
              </w:rPr>
              <w:t xml:space="preserve"> Auditoría, S.L.P.</w:t>
            </w:r>
          </w:p>
        </w:tc>
        <w:tc>
          <w:tcPr>
            <w:tcW w:w="1229" w:type="dxa"/>
            <w:tcBorders>
              <w:top w:val="single" w:sz="4" w:space="0" w:color="000000"/>
              <w:left w:val="single" w:sz="4"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ind w:left="91"/>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9.800</w:t>
            </w:r>
          </w:p>
        </w:tc>
        <w:tc>
          <w:tcPr>
            <w:tcW w:w="1230" w:type="dxa"/>
            <w:tcBorders>
              <w:top w:val="single" w:sz="4" w:space="0" w:color="000000"/>
              <w:left w:val="single" w:sz="4"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7.500</w:t>
            </w:r>
          </w:p>
        </w:tc>
        <w:tc>
          <w:tcPr>
            <w:tcW w:w="1099" w:type="dxa"/>
            <w:tcBorders>
              <w:top w:val="single" w:sz="4" w:space="0" w:color="000000"/>
              <w:left w:val="single" w:sz="4"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7.500</w:t>
            </w:r>
          </w:p>
        </w:tc>
        <w:tc>
          <w:tcPr>
            <w:tcW w:w="1230" w:type="dxa"/>
            <w:tcBorders>
              <w:top w:val="single" w:sz="4" w:space="0" w:color="000000"/>
              <w:left w:val="single" w:sz="4"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7.500</w:t>
            </w:r>
          </w:p>
        </w:tc>
        <w:tc>
          <w:tcPr>
            <w:tcW w:w="1236" w:type="dxa"/>
            <w:tcBorders>
              <w:top w:val="single" w:sz="4" w:space="0" w:color="000000"/>
              <w:left w:val="single" w:sz="4"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7.500</w:t>
            </w:r>
          </w:p>
        </w:tc>
      </w:tr>
      <w:tr w:rsidR="00401564">
        <w:trPr>
          <w:trHeight w:val="510"/>
          <w:jc w:val="center"/>
        </w:trPr>
        <w:tc>
          <w:tcPr>
            <w:tcW w:w="12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B31825144</w:t>
            </w:r>
          </w:p>
        </w:tc>
        <w:tc>
          <w:tcPr>
            <w:tcW w:w="1473"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 xml:space="preserve">MM </w:t>
            </w:r>
            <w:proofErr w:type="spellStart"/>
            <w:r>
              <w:rPr>
                <w:rFonts w:ascii="Arial Narrow" w:eastAsia="Calibri" w:hAnsi="Arial Narrow" w:cs="Arial"/>
                <w:color w:val="000000"/>
                <w:sz w:val="20"/>
                <w:szCs w:val="20"/>
                <w:lang w:eastAsia="en-US" w:bidi="ar-SA"/>
              </w:rPr>
              <w:t>Consulting</w:t>
            </w:r>
            <w:proofErr w:type="spellEnd"/>
            <w:r>
              <w:rPr>
                <w:rFonts w:ascii="Arial Narrow" w:eastAsia="Calibri" w:hAnsi="Arial Narrow" w:cs="Arial"/>
                <w:color w:val="000000"/>
                <w:sz w:val="20"/>
                <w:szCs w:val="20"/>
                <w:lang w:eastAsia="en-US" w:bidi="ar-SA"/>
              </w:rPr>
              <w:t xml:space="preserve"> Financiero, S.L.</w:t>
            </w:r>
          </w:p>
        </w:tc>
        <w:tc>
          <w:tcPr>
            <w:tcW w:w="1229"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ind w:left="91"/>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w:t>
            </w:r>
          </w:p>
        </w:tc>
        <w:tc>
          <w:tcPr>
            <w:tcW w:w="12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w:t>
            </w:r>
          </w:p>
        </w:tc>
        <w:tc>
          <w:tcPr>
            <w:tcW w:w="1099"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w:t>
            </w:r>
          </w:p>
        </w:tc>
        <w:tc>
          <w:tcPr>
            <w:tcW w:w="12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6.690</w:t>
            </w:r>
          </w:p>
        </w:tc>
        <w:tc>
          <w:tcPr>
            <w:tcW w:w="1236" w:type="dxa"/>
            <w:tcBorders>
              <w:top w:val="single" w:sz="2" w:space="0" w:color="000000"/>
              <w:left w:val="single" w:sz="2"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w:t>
            </w:r>
          </w:p>
        </w:tc>
      </w:tr>
      <w:tr w:rsidR="00401564">
        <w:trPr>
          <w:trHeight w:val="510"/>
          <w:jc w:val="center"/>
        </w:trPr>
        <w:tc>
          <w:tcPr>
            <w:tcW w:w="12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B08914830</w:t>
            </w:r>
          </w:p>
        </w:tc>
        <w:tc>
          <w:tcPr>
            <w:tcW w:w="1473"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proofErr w:type="spellStart"/>
            <w:r>
              <w:rPr>
                <w:rFonts w:ascii="Arial Narrow" w:eastAsia="Calibri" w:hAnsi="Arial Narrow" w:cs="Arial"/>
                <w:color w:val="000000"/>
                <w:sz w:val="20"/>
                <w:szCs w:val="20"/>
                <w:lang w:eastAsia="en-US" w:bidi="ar-SA"/>
              </w:rPr>
              <w:t>Grant</w:t>
            </w:r>
            <w:proofErr w:type="spellEnd"/>
            <w:r>
              <w:rPr>
                <w:rFonts w:ascii="Arial Narrow" w:eastAsia="Calibri" w:hAnsi="Arial Narrow" w:cs="Arial"/>
                <w:color w:val="000000"/>
                <w:sz w:val="20"/>
                <w:szCs w:val="20"/>
                <w:lang w:eastAsia="en-US" w:bidi="ar-SA"/>
              </w:rPr>
              <w:t xml:space="preserve"> </w:t>
            </w:r>
            <w:proofErr w:type="spellStart"/>
            <w:r>
              <w:rPr>
                <w:rFonts w:ascii="Arial Narrow" w:eastAsia="Calibri" w:hAnsi="Arial Narrow" w:cs="Arial"/>
                <w:color w:val="000000"/>
                <w:sz w:val="20"/>
                <w:szCs w:val="20"/>
                <w:lang w:eastAsia="en-US" w:bidi="ar-SA"/>
              </w:rPr>
              <w:t>Thornton</w:t>
            </w:r>
            <w:proofErr w:type="spellEnd"/>
            <w:r>
              <w:rPr>
                <w:rFonts w:ascii="Arial Narrow" w:eastAsia="Calibri" w:hAnsi="Arial Narrow" w:cs="Arial"/>
                <w:color w:val="000000"/>
                <w:sz w:val="20"/>
                <w:szCs w:val="20"/>
                <w:lang w:eastAsia="en-US" w:bidi="ar-SA"/>
              </w:rPr>
              <w:t>, S.L.P.</w:t>
            </w:r>
          </w:p>
        </w:tc>
        <w:tc>
          <w:tcPr>
            <w:tcW w:w="1229"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ind w:left="91"/>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9.400</w:t>
            </w:r>
          </w:p>
        </w:tc>
        <w:tc>
          <w:tcPr>
            <w:tcW w:w="12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7.900</w:t>
            </w:r>
          </w:p>
        </w:tc>
        <w:tc>
          <w:tcPr>
            <w:tcW w:w="1099"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7.900</w:t>
            </w:r>
          </w:p>
        </w:tc>
        <w:tc>
          <w:tcPr>
            <w:tcW w:w="12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7.900</w:t>
            </w:r>
          </w:p>
        </w:tc>
        <w:tc>
          <w:tcPr>
            <w:tcW w:w="1236" w:type="dxa"/>
            <w:tcBorders>
              <w:top w:val="single" w:sz="2" w:space="0" w:color="000000"/>
              <w:left w:val="single" w:sz="2"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7.900</w:t>
            </w:r>
          </w:p>
        </w:tc>
      </w:tr>
      <w:tr w:rsidR="00401564">
        <w:trPr>
          <w:trHeight w:val="510"/>
          <w:jc w:val="center"/>
        </w:trPr>
        <w:tc>
          <w:tcPr>
            <w:tcW w:w="1291"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B26500652</w:t>
            </w:r>
          </w:p>
        </w:tc>
        <w:tc>
          <w:tcPr>
            <w:tcW w:w="1473"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proofErr w:type="spellStart"/>
            <w:r>
              <w:rPr>
                <w:rFonts w:ascii="Arial Narrow" w:eastAsia="Calibri" w:hAnsi="Arial Narrow" w:cs="Arial"/>
                <w:color w:val="000000"/>
                <w:sz w:val="20"/>
                <w:szCs w:val="20"/>
                <w:lang w:eastAsia="en-US" w:bidi="ar-SA"/>
              </w:rPr>
              <w:t>Auditabe</w:t>
            </w:r>
            <w:proofErr w:type="spellEnd"/>
            <w:r>
              <w:rPr>
                <w:rFonts w:ascii="Arial Narrow" w:eastAsia="Calibri" w:hAnsi="Arial Narrow" w:cs="Arial"/>
                <w:color w:val="000000"/>
                <w:sz w:val="20"/>
                <w:szCs w:val="20"/>
                <w:lang w:eastAsia="en-US" w:bidi="ar-SA"/>
              </w:rPr>
              <w:t xml:space="preserve"> auditores y </w:t>
            </w:r>
            <w:proofErr w:type="spellStart"/>
            <w:r>
              <w:rPr>
                <w:rFonts w:ascii="Arial Narrow" w:eastAsia="Calibri" w:hAnsi="Arial Narrow" w:cs="Arial"/>
                <w:color w:val="000000"/>
                <w:sz w:val="20"/>
                <w:szCs w:val="20"/>
                <w:lang w:eastAsia="en-US" w:bidi="ar-SA"/>
              </w:rPr>
              <w:t>consultures</w:t>
            </w:r>
            <w:proofErr w:type="spellEnd"/>
            <w:r>
              <w:rPr>
                <w:rFonts w:ascii="Arial Narrow" w:eastAsia="Calibri" w:hAnsi="Arial Narrow" w:cs="Arial"/>
                <w:color w:val="000000"/>
                <w:sz w:val="20"/>
                <w:szCs w:val="20"/>
                <w:lang w:eastAsia="en-US" w:bidi="ar-SA"/>
              </w:rPr>
              <w:t xml:space="preserve"> SL</w:t>
            </w:r>
          </w:p>
        </w:tc>
        <w:tc>
          <w:tcPr>
            <w:tcW w:w="1229"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ind w:left="91"/>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10.000</w:t>
            </w:r>
          </w:p>
        </w:tc>
        <w:tc>
          <w:tcPr>
            <w:tcW w:w="1230"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8.500</w:t>
            </w:r>
          </w:p>
        </w:tc>
        <w:tc>
          <w:tcPr>
            <w:tcW w:w="1099"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8.500</w:t>
            </w:r>
          </w:p>
        </w:tc>
        <w:tc>
          <w:tcPr>
            <w:tcW w:w="1230"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8.500</w:t>
            </w:r>
          </w:p>
        </w:tc>
        <w:tc>
          <w:tcPr>
            <w:tcW w:w="1236"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8.500</w:t>
            </w:r>
          </w:p>
        </w:tc>
      </w:tr>
    </w:tbl>
    <w:p w:rsidR="00401564" w:rsidRDefault="00401564">
      <w:pPr>
        <w:pStyle w:val="western"/>
        <w:spacing w:before="125" w:after="125"/>
        <w:ind w:left="142"/>
        <w:jc w:val="both"/>
        <w:rPr>
          <w:rFonts w:eastAsia="Times New Roman"/>
          <w:color w:val="auto"/>
          <w:sz w:val="24"/>
          <w:szCs w:val="24"/>
        </w:rPr>
      </w:pPr>
    </w:p>
    <w:p w:rsidR="00401564" w:rsidRDefault="00DA2D04">
      <w:pPr>
        <w:pStyle w:val="western"/>
        <w:spacing w:before="125" w:after="125"/>
        <w:ind w:firstLine="284"/>
        <w:jc w:val="both"/>
      </w:pPr>
      <w:r>
        <w:t xml:space="preserve">Vista la propuesta de adjudicación efectuada por la unidad gestora del contrato, en la que se pone de manifiesto que de conformidad con lo dispuesto en la base undécima del pliego, finalizada la valoración de las ofertas se eleva al órgano de contratación </w:t>
      </w:r>
      <w:r>
        <w:t>propuesta de adjudicación de los diferentes lotes en favor de los licitadores que han ofertado los precios más bajos en cada uno de ellos, excepto en el caso del lote número 5, en el que de conformidad con la base tercera del pliego, aun cuando la oferta m</w:t>
      </w:r>
      <w:r>
        <w:t xml:space="preserve">ás económica es la formulada por </w:t>
      </w:r>
      <w:proofErr w:type="spellStart"/>
      <w:r>
        <w:t>Betean</w:t>
      </w:r>
      <w:proofErr w:type="spellEnd"/>
      <w:r>
        <w:t xml:space="preserve"> Auditoría, S.L.P., la misma no debe tenerse en cuenta dado que a dicha empresa se le adjudican los lotes 2 y 3, siendo dos el número máximo de lotes que pueden adjudicarse a un licitador. </w:t>
      </w:r>
    </w:p>
    <w:p w:rsidR="00401564" w:rsidRDefault="00401564">
      <w:pPr>
        <w:pStyle w:val="western"/>
        <w:spacing w:before="125" w:after="125"/>
        <w:ind w:firstLine="284"/>
        <w:jc w:val="both"/>
      </w:pPr>
    </w:p>
    <w:p w:rsidR="00401564" w:rsidRDefault="00DA2D04">
      <w:pPr>
        <w:pStyle w:val="western"/>
        <w:spacing w:before="125" w:after="125"/>
        <w:ind w:firstLine="284"/>
        <w:jc w:val="both"/>
      </w:pPr>
      <w:r>
        <w:lastRenderedPageBreak/>
        <w:t>Por todo lo expuesto, esta</w:t>
      </w:r>
      <w:r>
        <w:t xml:space="preserve"> Presidencia, </w:t>
      </w:r>
    </w:p>
    <w:p w:rsidR="00401564" w:rsidRDefault="00DA2D04">
      <w:pPr>
        <w:pStyle w:val="western"/>
        <w:spacing w:before="312" w:after="312"/>
        <w:ind w:left="142" w:firstLine="709"/>
        <w:jc w:val="center"/>
      </w:pPr>
      <w:r>
        <w:rPr>
          <w:b/>
          <w:bCs/>
        </w:rPr>
        <w:t>HA RESUELTO:</w:t>
      </w:r>
    </w:p>
    <w:p w:rsidR="00401564" w:rsidRDefault="00DA2D04">
      <w:pPr>
        <w:pStyle w:val="western"/>
        <w:spacing w:before="125" w:after="312"/>
        <w:ind w:left="142" w:firstLine="425"/>
        <w:jc w:val="both"/>
      </w:pPr>
      <w:r>
        <w:rPr>
          <w:b/>
          <w:bCs/>
        </w:rPr>
        <w:t>Primero. –</w:t>
      </w:r>
      <w:r>
        <w:t xml:space="preserve"> Adjudicar a las siguientes empresas los diferentes lotes por el precio ofertado:</w:t>
      </w:r>
    </w:p>
    <w:tbl>
      <w:tblPr>
        <w:tblW w:w="8789" w:type="dxa"/>
        <w:jc w:val="center"/>
        <w:tblCellMar>
          <w:left w:w="70" w:type="dxa"/>
          <w:right w:w="70" w:type="dxa"/>
        </w:tblCellMar>
        <w:tblLook w:val="04A0" w:firstRow="1" w:lastRow="0" w:firstColumn="1" w:lastColumn="0" w:noHBand="0" w:noVBand="1"/>
      </w:tblPr>
      <w:tblGrid>
        <w:gridCol w:w="1318"/>
        <w:gridCol w:w="1785"/>
        <w:gridCol w:w="2108"/>
        <w:gridCol w:w="1292"/>
        <w:gridCol w:w="1141"/>
        <w:gridCol w:w="1145"/>
      </w:tblGrid>
      <w:tr w:rsidR="00401564">
        <w:trPr>
          <w:trHeight w:val="720"/>
          <w:jc w:val="center"/>
        </w:trPr>
        <w:tc>
          <w:tcPr>
            <w:tcW w:w="1317" w:type="dxa"/>
            <w:tcBorders>
              <w:top w:val="single" w:sz="4" w:space="0" w:color="000000"/>
              <w:left w:val="single" w:sz="4" w:space="0" w:color="000000"/>
              <w:bottom w:val="single" w:sz="2" w:space="0" w:color="000000"/>
              <w:right w:val="single" w:sz="4" w:space="0" w:color="000000"/>
            </w:tcBorders>
            <w:shd w:val="clear" w:color="auto" w:fill="D9D9D9"/>
            <w:vAlign w:val="center"/>
          </w:tcPr>
          <w:p w:rsidR="00401564" w:rsidRDefault="00DA2D04">
            <w:pPr>
              <w:widowControl/>
              <w:suppressAutoHyphens w:val="0"/>
              <w:spacing w:after="160" w:line="259" w:lineRule="auto"/>
              <w:jc w:val="center"/>
            </w:pPr>
            <w:r>
              <w:rPr>
                <w:rFonts w:ascii="Arial" w:eastAsia="Calibri" w:hAnsi="Arial" w:cs="Arial"/>
                <w:color w:val="000000"/>
                <w:sz w:val="18"/>
                <w:szCs w:val="18"/>
                <w:lang w:eastAsia="en-US" w:bidi="ar-SA"/>
              </w:rPr>
              <w:t>LOTE</w:t>
            </w:r>
          </w:p>
        </w:tc>
        <w:tc>
          <w:tcPr>
            <w:tcW w:w="1785" w:type="dxa"/>
            <w:tcBorders>
              <w:top w:val="single" w:sz="4" w:space="0" w:color="000000"/>
              <w:bottom w:val="single" w:sz="2" w:space="0" w:color="000000"/>
              <w:right w:val="single" w:sz="4" w:space="0" w:color="000000"/>
            </w:tcBorders>
            <w:shd w:val="clear" w:color="auto" w:fill="D9D9D9"/>
            <w:vAlign w:val="center"/>
          </w:tcPr>
          <w:p w:rsidR="00401564" w:rsidRDefault="00DA2D04">
            <w:pPr>
              <w:widowControl/>
              <w:suppressAutoHyphens w:val="0"/>
              <w:spacing w:after="160" w:line="259" w:lineRule="auto"/>
              <w:jc w:val="center"/>
              <w:rPr>
                <w:rFonts w:ascii="Arial" w:eastAsia="Calibri" w:hAnsi="Arial" w:cs="Arial"/>
                <w:color w:val="000000"/>
                <w:sz w:val="18"/>
                <w:szCs w:val="18"/>
                <w:lang w:eastAsia="en-US" w:bidi="ar-SA"/>
              </w:rPr>
            </w:pPr>
            <w:r>
              <w:rPr>
                <w:rFonts w:ascii="Arial" w:eastAsia="Calibri" w:hAnsi="Arial" w:cs="Arial"/>
                <w:color w:val="000000"/>
                <w:sz w:val="18"/>
                <w:szCs w:val="18"/>
                <w:lang w:eastAsia="en-US" w:bidi="ar-SA"/>
              </w:rPr>
              <w:t>AYUNTAMIENTO</w:t>
            </w:r>
          </w:p>
        </w:tc>
        <w:tc>
          <w:tcPr>
            <w:tcW w:w="2108" w:type="dxa"/>
            <w:tcBorders>
              <w:top w:val="single" w:sz="4" w:space="0" w:color="000000"/>
              <w:left w:val="single" w:sz="4" w:space="0" w:color="000000"/>
              <w:bottom w:val="single" w:sz="2" w:space="0" w:color="000000"/>
              <w:right w:val="single" w:sz="4" w:space="0" w:color="000000"/>
            </w:tcBorders>
            <w:shd w:val="clear" w:color="auto" w:fill="D9D9D9"/>
            <w:vAlign w:val="center"/>
          </w:tcPr>
          <w:p w:rsidR="00401564" w:rsidRDefault="00DA2D04">
            <w:pPr>
              <w:widowControl/>
              <w:suppressAutoHyphens w:val="0"/>
              <w:spacing w:after="160" w:line="259" w:lineRule="auto"/>
              <w:jc w:val="center"/>
              <w:rPr>
                <w:rFonts w:ascii="Arial" w:eastAsia="Calibri" w:hAnsi="Arial" w:cs="Arial"/>
                <w:color w:val="000000"/>
                <w:sz w:val="18"/>
                <w:szCs w:val="18"/>
                <w:lang w:eastAsia="en-US" w:bidi="ar-SA"/>
              </w:rPr>
            </w:pPr>
            <w:r>
              <w:rPr>
                <w:rFonts w:ascii="Arial" w:eastAsia="Calibri" w:hAnsi="Arial" w:cs="Arial"/>
                <w:color w:val="000000"/>
                <w:sz w:val="18"/>
                <w:szCs w:val="18"/>
                <w:lang w:eastAsia="en-US" w:bidi="ar-SA"/>
              </w:rPr>
              <w:t>EMPRESA ADJUDICATARIA</w:t>
            </w:r>
          </w:p>
        </w:tc>
        <w:tc>
          <w:tcPr>
            <w:tcW w:w="1292" w:type="dxa"/>
            <w:tcBorders>
              <w:top w:val="single" w:sz="4" w:space="0" w:color="000000"/>
              <w:bottom w:val="single" w:sz="2" w:space="0" w:color="000000"/>
              <w:right w:val="single" w:sz="4" w:space="0" w:color="000000"/>
            </w:tcBorders>
            <w:shd w:val="clear" w:color="auto" w:fill="D9D9D9"/>
            <w:vAlign w:val="center"/>
          </w:tcPr>
          <w:p w:rsidR="00401564" w:rsidRDefault="00DA2D04">
            <w:pPr>
              <w:widowControl/>
              <w:suppressAutoHyphens w:val="0"/>
              <w:spacing w:after="160" w:line="259" w:lineRule="auto"/>
              <w:jc w:val="center"/>
              <w:rPr>
                <w:rFonts w:ascii="Arial" w:eastAsia="Calibri" w:hAnsi="Arial" w:cs="Arial"/>
                <w:color w:val="000000"/>
                <w:sz w:val="18"/>
                <w:szCs w:val="18"/>
                <w:lang w:eastAsia="en-US" w:bidi="ar-SA"/>
              </w:rPr>
            </w:pPr>
            <w:r>
              <w:rPr>
                <w:rFonts w:ascii="Arial" w:eastAsia="Calibri" w:hAnsi="Arial" w:cs="Arial"/>
                <w:color w:val="000000"/>
                <w:sz w:val="18"/>
                <w:szCs w:val="18"/>
                <w:lang w:eastAsia="en-US" w:bidi="ar-SA"/>
              </w:rPr>
              <w:t>PRECIO LICITACION</w:t>
            </w:r>
          </w:p>
          <w:p w:rsidR="00401564" w:rsidRDefault="00DA2D04">
            <w:pPr>
              <w:widowControl/>
              <w:suppressAutoHyphens w:val="0"/>
              <w:spacing w:after="160" w:line="259" w:lineRule="auto"/>
              <w:jc w:val="center"/>
              <w:rPr>
                <w:rFonts w:ascii="Arial" w:eastAsia="Calibri" w:hAnsi="Arial" w:cs="Arial"/>
                <w:color w:val="000000"/>
                <w:sz w:val="18"/>
                <w:szCs w:val="18"/>
                <w:lang w:eastAsia="en-US" w:bidi="ar-SA"/>
              </w:rPr>
            </w:pPr>
            <w:r>
              <w:rPr>
                <w:rFonts w:ascii="Arial" w:eastAsia="Calibri" w:hAnsi="Arial" w:cs="Arial"/>
                <w:color w:val="000000"/>
                <w:sz w:val="18"/>
                <w:szCs w:val="18"/>
                <w:lang w:eastAsia="en-US" w:bidi="ar-SA"/>
              </w:rPr>
              <w:t>(IVA  excluido)</w:t>
            </w:r>
          </w:p>
        </w:tc>
        <w:tc>
          <w:tcPr>
            <w:tcW w:w="1141" w:type="dxa"/>
            <w:tcBorders>
              <w:top w:val="single" w:sz="4" w:space="0" w:color="000000"/>
              <w:bottom w:val="single" w:sz="2" w:space="0" w:color="000000"/>
              <w:right w:val="single" w:sz="4" w:space="0" w:color="000000"/>
            </w:tcBorders>
            <w:shd w:val="clear" w:color="auto" w:fill="D9D9D9"/>
            <w:vAlign w:val="center"/>
          </w:tcPr>
          <w:p w:rsidR="00401564" w:rsidRDefault="00DA2D04">
            <w:pPr>
              <w:widowControl/>
              <w:suppressAutoHyphens w:val="0"/>
              <w:spacing w:after="160" w:line="259" w:lineRule="auto"/>
              <w:jc w:val="center"/>
              <w:rPr>
                <w:rFonts w:ascii="Arial" w:eastAsia="Calibri" w:hAnsi="Arial" w:cs="Arial"/>
                <w:color w:val="000000"/>
                <w:sz w:val="18"/>
                <w:szCs w:val="18"/>
                <w:lang w:eastAsia="en-US" w:bidi="ar-SA"/>
              </w:rPr>
            </w:pPr>
            <w:r>
              <w:rPr>
                <w:rFonts w:ascii="Arial" w:eastAsia="Calibri" w:hAnsi="Arial" w:cs="Arial"/>
                <w:color w:val="000000"/>
                <w:sz w:val="18"/>
                <w:szCs w:val="18"/>
                <w:lang w:eastAsia="en-US" w:bidi="ar-SA"/>
              </w:rPr>
              <w:t>PRECIO OFERTADO</w:t>
            </w:r>
          </w:p>
          <w:p w:rsidR="00401564" w:rsidRDefault="00DA2D04">
            <w:pPr>
              <w:widowControl/>
              <w:suppressAutoHyphens w:val="0"/>
              <w:spacing w:after="160" w:line="259" w:lineRule="auto"/>
              <w:jc w:val="center"/>
              <w:rPr>
                <w:rFonts w:ascii="Arial" w:eastAsia="Calibri" w:hAnsi="Arial" w:cs="Arial"/>
                <w:color w:val="000000"/>
                <w:sz w:val="18"/>
                <w:szCs w:val="18"/>
                <w:lang w:eastAsia="en-US" w:bidi="ar-SA"/>
              </w:rPr>
            </w:pPr>
            <w:r>
              <w:rPr>
                <w:rFonts w:ascii="Arial" w:eastAsia="Calibri" w:hAnsi="Arial" w:cs="Arial"/>
                <w:color w:val="000000"/>
                <w:sz w:val="18"/>
                <w:szCs w:val="18"/>
                <w:lang w:eastAsia="en-US" w:bidi="ar-SA"/>
              </w:rPr>
              <w:t>(IVA excluido)</w:t>
            </w:r>
          </w:p>
        </w:tc>
        <w:tc>
          <w:tcPr>
            <w:tcW w:w="1145" w:type="dxa"/>
            <w:tcBorders>
              <w:top w:val="single" w:sz="4" w:space="0" w:color="000000"/>
              <w:left w:val="single" w:sz="4" w:space="0" w:color="000000"/>
              <w:bottom w:val="single" w:sz="2" w:space="0" w:color="000000"/>
              <w:right w:val="single" w:sz="4" w:space="0" w:color="000000"/>
            </w:tcBorders>
            <w:shd w:val="clear" w:color="auto" w:fill="D9D9D9"/>
            <w:vAlign w:val="center"/>
          </w:tcPr>
          <w:p w:rsidR="00401564" w:rsidRDefault="00DA2D04">
            <w:pPr>
              <w:widowControl/>
              <w:suppressAutoHyphens w:val="0"/>
              <w:spacing w:after="160" w:line="259" w:lineRule="auto"/>
              <w:jc w:val="center"/>
              <w:rPr>
                <w:rFonts w:ascii="Arial" w:eastAsia="Calibri" w:hAnsi="Arial" w:cs="Arial"/>
                <w:color w:val="000000"/>
                <w:sz w:val="18"/>
                <w:szCs w:val="18"/>
                <w:lang w:eastAsia="en-US" w:bidi="ar-SA"/>
              </w:rPr>
            </w:pPr>
            <w:r>
              <w:rPr>
                <w:rFonts w:ascii="Arial" w:eastAsia="Calibri" w:hAnsi="Arial" w:cs="Arial"/>
                <w:color w:val="000000"/>
                <w:sz w:val="18"/>
                <w:szCs w:val="18"/>
                <w:lang w:eastAsia="en-US" w:bidi="ar-SA"/>
              </w:rPr>
              <w:t>% DE BAJA</w:t>
            </w:r>
          </w:p>
        </w:tc>
      </w:tr>
      <w:tr w:rsidR="00401564">
        <w:trPr>
          <w:trHeight w:val="510"/>
          <w:jc w:val="center"/>
        </w:trPr>
        <w:tc>
          <w:tcPr>
            <w:tcW w:w="13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LOTE 1</w:t>
            </w:r>
          </w:p>
        </w:tc>
        <w:tc>
          <w:tcPr>
            <w:tcW w:w="178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proofErr w:type="spellStart"/>
            <w:r>
              <w:rPr>
                <w:rFonts w:ascii="Arial Narrow" w:eastAsia="Calibri" w:hAnsi="Arial Narrow" w:cs="Arial"/>
                <w:color w:val="000000"/>
                <w:sz w:val="20"/>
                <w:szCs w:val="20"/>
                <w:lang w:eastAsia="en-US" w:bidi="ar-SA"/>
              </w:rPr>
              <w:t>Cendea</w:t>
            </w:r>
            <w:proofErr w:type="spellEnd"/>
            <w:r>
              <w:rPr>
                <w:rFonts w:ascii="Arial Narrow" w:eastAsia="Calibri" w:hAnsi="Arial Narrow" w:cs="Arial"/>
                <w:color w:val="000000"/>
                <w:sz w:val="20"/>
                <w:szCs w:val="20"/>
                <w:lang w:eastAsia="en-US" w:bidi="ar-SA"/>
              </w:rPr>
              <w:t xml:space="preserve"> de </w:t>
            </w:r>
            <w:proofErr w:type="spellStart"/>
            <w:r>
              <w:rPr>
                <w:rFonts w:ascii="Arial Narrow" w:eastAsia="Calibri" w:hAnsi="Arial Narrow" w:cs="Arial"/>
                <w:color w:val="000000"/>
                <w:sz w:val="20"/>
                <w:szCs w:val="20"/>
                <w:lang w:eastAsia="en-US" w:bidi="ar-SA"/>
              </w:rPr>
              <w:t>Cizur</w:t>
            </w:r>
            <w:proofErr w:type="spellEnd"/>
          </w:p>
        </w:tc>
        <w:tc>
          <w:tcPr>
            <w:tcW w:w="21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 xml:space="preserve">B08914830- </w:t>
            </w:r>
            <w:proofErr w:type="spellStart"/>
            <w:r>
              <w:rPr>
                <w:rFonts w:ascii="Arial Narrow" w:eastAsia="Calibri" w:hAnsi="Arial Narrow" w:cs="Arial"/>
                <w:color w:val="000000"/>
                <w:sz w:val="20"/>
                <w:szCs w:val="20"/>
                <w:lang w:eastAsia="en-US" w:bidi="ar-SA"/>
              </w:rPr>
              <w:t>Grant</w:t>
            </w:r>
            <w:proofErr w:type="spellEnd"/>
            <w:r>
              <w:rPr>
                <w:rFonts w:ascii="Arial Narrow" w:eastAsia="Calibri" w:hAnsi="Arial Narrow" w:cs="Arial"/>
                <w:color w:val="000000"/>
                <w:sz w:val="20"/>
                <w:szCs w:val="20"/>
                <w:lang w:eastAsia="en-US" w:bidi="ar-SA"/>
              </w:rPr>
              <w:t xml:space="preserve"> </w:t>
            </w:r>
            <w:proofErr w:type="spellStart"/>
            <w:r>
              <w:rPr>
                <w:rFonts w:ascii="Arial Narrow" w:eastAsia="Calibri" w:hAnsi="Arial Narrow" w:cs="Arial"/>
                <w:color w:val="000000"/>
                <w:sz w:val="20"/>
                <w:szCs w:val="20"/>
                <w:lang w:eastAsia="en-US" w:bidi="ar-SA"/>
              </w:rPr>
              <w:t>Thornton</w:t>
            </w:r>
            <w:proofErr w:type="spellEnd"/>
            <w:r>
              <w:rPr>
                <w:rFonts w:ascii="Arial Narrow" w:eastAsia="Calibri" w:hAnsi="Arial Narrow" w:cs="Arial"/>
                <w:color w:val="000000"/>
                <w:sz w:val="20"/>
                <w:szCs w:val="20"/>
                <w:lang w:eastAsia="en-US" w:bidi="ar-SA"/>
              </w:rPr>
              <w:t>, S.L.P.</w:t>
            </w:r>
          </w:p>
        </w:tc>
        <w:tc>
          <w:tcPr>
            <w:tcW w:w="1292"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401564">
            <w:pPr>
              <w:widowControl/>
              <w:suppressAutoHyphens w:val="0"/>
              <w:spacing w:after="160" w:line="259" w:lineRule="auto"/>
              <w:jc w:val="center"/>
              <w:rPr>
                <w:rFonts w:ascii="Arial Narrow" w:eastAsia="Calibri" w:hAnsi="Arial Narrow" w:cs="Arial"/>
                <w:color w:val="000000"/>
                <w:sz w:val="20"/>
                <w:szCs w:val="20"/>
                <w:lang w:eastAsia="en-US" w:bidi="ar-SA"/>
              </w:rPr>
            </w:pPr>
          </w:p>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10.000</w:t>
            </w:r>
          </w:p>
          <w:p w:rsidR="00401564" w:rsidRDefault="00401564">
            <w:pPr>
              <w:widowControl/>
              <w:suppressAutoHyphens w:val="0"/>
              <w:spacing w:after="160" w:line="259" w:lineRule="auto"/>
              <w:jc w:val="center"/>
              <w:rPr>
                <w:rFonts w:ascii="Arial Narrow" w:eastAsia="Calibri" w:hAnsi="Arial Narrow" w:cs="Arial"/>
                <w:color w:val="000000"/>
                <w:sz w:val="20"/>
                <w:szCs w:val="20"/>
                <w:lang w:eastAsia="en-US" w:bidi="ar-SA"/>
              </w:rPr>
            </w:pPr>
          </w:p>
        </w:tc>
        <w:tc>
          <w:tcPr>
            <w:tcW w:w="1141"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9.400</w:t>
            </w:r>
          </w:p>
        </w:tc>
        <w:tc>
          <w:tcPr>
            <w:tcW w:w="1145" w:type="dxa"/>
            <w:tcBorders>
              <w:top w:val="single" w:sz="2" w:space="0" w:color="000000"/>
              <w:left w:val="single" w:sz="2"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6%</w:t>
            </w:r>
          </w:p>
        </w:tc>
      </w:tr>
      <w:tr w:rsidR="00401564">
        <w:trPr>
          <w:trHeight w:val="510"/>
          <w:jc w:val="center"/>
        </w:trPr>
        <w:tc>
          <w:tcPr>
            <w:tcW w:w="13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LOTE 2</w:t>
            </w:r>
          </w:p>
        </w:tc>
        <w:tc>
          <w:tcPr>
            <w:tcW w:w="178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Ayuntamiento de Valtierra</w:t>
            </w:r>
          </w:p>
        </w:tc>
        <w:tc>
          <w:tcPr>
            <w:tcW w:w="21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 xml:space="preserve">B95097135- </w:t>
            </w:r>
            <w:proofErr w:type="spellStart"/>
            <w:r>
              <w:rPr>
                <w:rFonts w:ascii="Arial Narrow" w:eastAsia="Calibri" w:hAnsi="Arial Narrow" w:cs="Arial"/>
                <w:color w:val="000000"/>
                <w:sz w:val="20"/>
                <w:szCs w:val="20"/>
                <w:lang w:eastAsia="en-US" w:bidi="ar-SA"/>
              </w:rPr>
              <w:t>Betean</w:t>
            </w:r>
            <w:proofErr w:type="spellEnd"/>
            <w:r>
              <w:rPr>
                <w:rFonts w:ascii="Arial Narrow" w:eastAsia="Calibri" w:hAnsi="Arial Narrow" w:cs="Arial"/>
                <w:color w:val="000000"/>
                <w:sz w:val="20"/>
                <w:szCs w:val="20"/>
                <w:lang w:eastAsia="en-US" w:bidi="ar-SA"/>
              </w:rPr>
              <w:t xml:space="preserve"> Auditoría, S.L.P.</w:t>
            </w:r>
          </w:p>
        </w:tc>
        <w:tc>
          <w:tcPr>
            <w:tcW w:w="1292"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8.500</w:t>
            </w:r>
          </w:p>
        </w:tc>
        <w:tc>
          <w:tcPr>
            <w:tcW w:w="1141"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7.500</w:t>
            </w:r>
          </w:p>
        </w:tc>
        <w:tc>
          <w:tcPr>
            <w:tcW w:w="1145" w:type="dxa"/>
            <w:tcBorders>
              <w:top w:val="single" w:sz="2" w:space="0" w:color="000000"/>
              <w:left w:val="single" w:sz="2"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11,76%</w:t>
            </w:r>
          </w:p>
        </w:tc>
      </w:tr>
      <w:tr w:rsidR="00401564">
        <w:trPr>
          <w:trHeight w:val="510"/>
          <w:jc w:val="center"/>
        </w:trPr>
        <w:tc>
          <w:tcPr>
            <w:tcW w:w="13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LOTE 3</w:t>
            </w:r>
          </w:p>
        </w:tc>
        <w:tc>
          <w:tcPr>
            <w:tcW w:w="178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Ayuntamiento de Arguedas</w:t>
            </w:r>
          </w:p>
        </w:tc>
        <w:tc>
          <w:tcPr>
            <w:tcW w:w="21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 xml:space="preserve">B95097135- </w:t>
            </w:r>
            <w:proofErr w:type="spellStart"/>
            <w:r>
              <w:rPr>
                <w:rFonts w:ascii="Arial Narrow" w:eastAsia="Calibri" w:hAnsi="Arial Narrow" w:cs="Arial"/>
                <w:color w:val="000000"/>
                <w:sz w:val="20"/>
                <w:szCs w:val="20"/>
                <w:lang w:eastAsia="en-US" w:bidi="ar-SA"/>
              </w:rPr>
              <w:t>Betean</w:t>
            </w:r>
            <w:proofErr w:type="spellEnd"/>
            <w:r>
              <w:rPr>
                <w:rFonts w:ascii="Arial Narrow" w:eastAsia="Calibri" w:hAnsi="Arial Narrow" w:cs="Arial"/>
                <w:color w:val="000000"/>
                <w:sz w:val="20"/>
                <w:szCs w:val="20"/>
                <w:lang w:eastAsia="en-US" w:bidi="ar-SA"/>
              </w:rPr>
              <w:t xml:space="preserve"> Auditoría, S.L.P.</w:t>
            </w:r>
          </w:p>
        </w:tc>
        <w:tc>
          <w:tcPr>
            <w:tcW w:w="1292"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8.500</w:t>
            </w:r>
          </w:p>
        </w:tc>
        <w:tc>
          <w:tcPr>
            <w:tcW w:w="1141"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7.500</w:t>
            </w:r>
          </w:p>
        </w:tc>
        <w:tc>
          <w:tcPr>
            <w:tcW w:w="1145" w:type="dxa"/>
            <w:tcBorders>
              <w:top w:val="single" w:sz="2" w:space="0" w:color="000000"/>
              <w:left w:val="single" w:sz="2"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11,76%</w:t>
            </w:r>
          </w:p>
        </w:tc>
      </w:tr>
      <w:tr w:rsidR="00401564">
        <w:trPr>
          <w:trHeight w:val="510"/>
          <w:jc w:val="center"/>
        </w:trPr>
        <w:tc>
          <w:tcPr>
            <w:tcW w:w="1317"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LOTE 4</w:t>
            </w:r>
          </w:p>
        </w:tc>
        <w:tc>
          <w:tcPr>
            <w:tcW w:w="1785"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 xml:space="preserve">Ayuntamiento </w:t>
            </w:r>
            <w:r>
              <w:rPr>
                <w:rFonts w:ascii="Arial Narrow" w:eastAsia="Calibri" w:hAnsi="Arial Narrow" w:cs="Arial"/>
                <w:color w:val="000000"/>
                <w:sz w:val="20"/>
                <w:szCs w:val="20"/>
                <w:lang w:eastAsia="en-US" w:bidi="ar-SA"/>
              </w:rPr>
              <w:t xml:space="preserve">de </w:t>
            </w:r>
            <w:proofErr w:type="spellStart"/>
            <w:r>
              <w:rPr>
                <w:rFonts w:ascii="Arial Narrow" w:eastAsia="Calibri" w:hAnsi="Arial Narrow" w:cs="Arial"/>
                <w:color w:val="000000"/>
                <w:sz w:val="20"/>
                <w:szCs w:val="20"/>
                <w:lang w:eastAsia="en-US" w:bidi="ar-SA"/>
              </w:rPr>
              <w:t>Irurtzun</w:t>
            </w:r>
            <w:proofErr w:type="spellEnd"/>
          </w:p>
        </w:tc>
        <w:tc>
          <w:tcPr>
            <w:tcW w:w="21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 xml:space="preserve">B31825144- MM </w:t>
            </w:r>
            <w:proofErr w:type="spellStart"/>
            <w:r>
              <w:rPr>
                <w:rFonts w:ascii="Arial Narrow" w:eastAsia="Calibri" w:hAnsi="Arial Narrow" w:cs="Arial"/>
                <w:color w:val="000000"/>
                <w:sz w:val="20"/>
                <w:szCs w:val="20"/>
                <w:lang w:eastAsia="en-US" w:bidi="ar-SA"/>
              </w:rPr>
              <w:t>Consulting</w:t>
            </w:r>
            <w:proofErr w:type="spellEnd"/>
            <w:r>
              <w:rPr>
                <w:rFonts w:ascii="Arial Narrow" w:eastAsia="Calibri" w:hAnsi="Arial Narrow" w:cs="Arial"/>
                <w:color w:val="000000"/>
                <w:sz w:val="20"/>
                <w:szCs w:val="20"/>
                <w:lang w:eastAsia="en-US" w:bidi="ar-SA"/>
              </w:rPr>
              <w:t xml:space="preserve"> Financiero, S.L.</w:t>
            </w:r>
          </w:p>
        </w:tc>
        <w:tc>
          <w:tcPr>
            <w:tcW w:w="1292"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8.500</w:t>
            </w:r>
          </w:p>
        </w:tc>
        <w:tc>
          <w:tcPr>
            <w:tcW w:w="1141" w:type="dxa"/>
            <w:tcBorders>
              <w:top w:val="single" w:sz="2" w:space="0" w:color="000000"/>
              <w:left w:val="single" w:sz="2" w:space="0" w:color="000000"/>
              <w:bottom w:val="single" w:sz="2" w:space="0" w:color="000000"/>
              <w:right w:val="single" w:sz="2"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6.690</w:t>
            </w:r>
          </w:p>
        </w:tc>
        <w:tc>
          <w:tcPr>
            <w:tcW w:w="1145" w:type="dxa"/>
            <w:tcBorders>
              <w:top w:val="single" w:sz="2" w:space="0" w:color="000000"/>
              <w:left w:val="single" w:sz="2" w:space="0" w:color="000000"/>
              <w:bottom w:val="single" w:sz="2"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21.29%</w:t>
            </w:r>
          </w:p>
        </w:tc>
      </w:tr>
      <w:tr w:rsidR="00401564">
        <w:trPr>
          <w:trHeight w:val="510"/>
          <w:jc w:val="center"/>
        </w:trPr>
        <w:tc>
          <w:tcPr>
            <w:tcW w:w="1317"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LOTE 5</w:t>
            </w:r>
          </w:p>
        </w:tc>
        <w:tc>
          <w:tcPr>
            <w:tcW w:w="1785" w:type="dxa"/>
            <w:tcBorders>
              <w:top w:val="single" w:sz="2"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 xml:space="preserve">Ayuntamiento de </w:t>
            </w:r>
            <w:proofErr w:type="spellStart"/>
            <w:r>
              <w:rPr>
                <w:rFonts w:ascii="Arial Narrow" w:eastAsia="Calibri" w:hAnsi="Arial Narrow" w:cs="Arial"/>
                <w:color w:val="000000"/>
                <w:sz w:val="20"/>
                <w:szCs w:val="20"/>
                <w:lang w:eastAsia="en-US" w:bidi="ar-SA"/>
              </w:rPr>
              <w:t>Cadreita</w:t>
            </w:r>
            <w:proofErr w:type="spellEnd"/>
          </w:p>
        </w:tc>
        <w:tc>
          <w:tcPr>
            <w:tcW w:w="2108"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 xml:space="preserve">B08914830- </w:t>
            </w:r>
            <w:proofErr w:type="spellStart"/>
            <w:r>
              <w:rPr>
                <w:rFonts w:ascii="Arial Narrow" w:eastAsia="Calibri" w:hAnsi="Arial Narrow" w:cs="Arial"/>
                <w:color w:val="000000"/>
                <w:sz w:val="20"/>
                <w:szCs w:val="20"/>
                <w:lang w:eastAsia="en-US" w:bidi="ar-SA"/>
              </w:rPr>
              <w:t>Grant</w:t>
            </w:r>
            <w:proofErr w:type="spellEnd"/>
            <w:r>
              <w:rPr>
                <w:rFonts w:ascii="Arial Narrow" w:eastAsia="Calibri" w:hAnsi="Arial Narrow" w:cs="Arial"/>
                <w:color w:val="000000"/>
                <w:sz w:val="20"/>
                <w:szCs w:val="20"/>
                <w:lang w:eastAsia="en-US" w:bidi="ar-SA"/>
              </w:rPr>
              <w:t xml:space="preserve"> </w:t>
            </w:r>
            <w:proofErr w:type="spellStart"/>
            <w:r>
              <w:rPr>
                <w:rFonts w:ascii="Arial Narrow" w:eastAsia="Calibri" w:hAnsi="Arial Narrow" w:cs="Arial"/>
                <w:color w:val="000000"/>
                <w:sz w:val="20"/>
                <w:szCs w:val="20"/>
                <w:lang w:eastAsia="en-US" w:bidi="ar-SA"/>
              </w:rPr>
              <w:t>Thornton</w:t>
            </w:r>
            <w:proofErr w:type="spellEnd"/>
            <w:r>
              <w:rPr>
                <w:rFonts w:ascii="Arial Narrow" w:eastAsia="Calibri" w:hAnsi="Arial Narrow" w:cs="Arial"/>
                <w:color w:val="000000"/>
                <w:sz w:val="20"/>
                <w:szCs w:val="20"/>
                <w:lang w:eastAsia="en-US" w:bidi="ar-SA"/>
              </w:rPr>
              <w:t>, S.L.P.</w:t>
            </w:r>
          </w:p>
        </w:tc>
        <w:tc>
          <w:tcPr>
            <w:tcW w:w="1292" w:type="dxa"/>
            <w:tcBorders>
              <w:top w:val="single" w:sz="2"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8.500</w:t>
            </w:r>
          </w:p>
        </w:tc>
        <w:tc>
          <w:tcPr>
            <w:tcW w:w="1141" w:type="dxa"/>
            <w:tcBorders>
              <w:top w:val="single" w:sz="2"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7.900</w:t>
            </w:r>
          </w:p>
        </w:tc>
        <w:tc>
          <w:tcPr>
            <w:tcW w:w="1145" w:type="dxa"/>
            <w:tcBorders>
              <w:top w:val="single" w:sz="2" w:space="0" w:color="000000"/>
              <w:left w:val="single" w:sz="4" w:space="0" w:color="000000"/>
              <w:bottom w:val="single" w:sz="4" w:space="0" w:color="000000"/>
              <w:right w:val="single" w:sz="4" w:space="0" w:color="000000"/>
            </w:tcBorders>
            <w:shd w:val="clear" w:color="auto" w:fill="auto"/>
            <w:vAlign w:val="center"/>
          </w:tcPr>
          <w:p w:rsidR="00401564" w:rsidRDefault="00DA2D04">
            <w:pPr>
              <w:widowControl/>
              <w:suppressAutoHyphens w:val="0"/>
              <w:spacing w:after="160" w:line="259" w:lineRule="auto"/>
              <w:jc w:val="center"/>
              <w:rPr>
                <w:rFonts w:ascii="Arial Narrow" w:eastAsia="Calibri" w:hAnsi="Arial Narrow" w:cs="Arial"/>
                <w:color w:val="000000"/>
                <w:sz w:val="20"/>
                <w:szCs w:val="20"/>
                <w:lang w:eastAsia="en-US" w:bidi="ar-SA"/>
              </w:rPr>
            </w:pPr>
            <w:r>
              <w:rPr>
                <w:rFonts w:ascii="Arial Narrow" w:eastAsia="Calibri" w:hAnsi="Arial Narrow" w:cs="Arial"/>
                <w:color w:val="000000"/>
                <w:sz w:val="20"/>
                <w:szCs w:val="20"/>
                <w:lang w:eastAsia="en-US" w:bidi="ar-SA"/>
              </w:rPr>
              <w:t>7,05%</w:t>
            </w:r>
          </w:p>
        </w:tc>
      </w:tr>
    </w:tbl>
    <w:p w:rsidR="00401564" w:rsidRDefault="00DA2D04">
      <w:pPr>
        <w:pStyle w:val="western"/>
        <w:spacing w:before="312" w:after="125"/>
        <w:ind w:left="142" w:firstLine="425"/>
        <w:jc w:val="both"/>
      </w:pPr>
      <w:r>
        <w:rPr>
          <w:b/>
          <w:bCs/>
        </w:rPr>
        <w:t>Segundo. –</w:t>
      </w:r>
      <w:r>
        <w:t xml:space="preserve"> Suspender la eficacia de la adjudicación durante el plazo de diez días naturales desde la fecha de remisión de la notificación de esta adjudicación, de conformidad con lo dispuesto en el artículo 101.2.a) de la Ley Foral de Contratos Públicos.</w:t>
      </w:r>
    </w:p>
    <w:p w:rsidR="00401564" w:rsidRDefault="00DA2D04">
      <w:pPr>
        <w:pStyle w:val="western"/>
        <w:spacing w:before="125" w:after="125"/>
        <w:ind w:left="142" w:firstLine="425"/>
        <w:jc w:val="both"/>
      </w:pPr>
      <w:r>
        <w:rPr>
          <w:b/>
          <w:bCs/>
        </w:rPr>
        <w:t>Tercero. –</w:t>
      </w:r>
      <w:r>
        <w:t xml:space="preserve"> </w:t>
      </w:r>
      <w:r>
        <w:t>De conformidad con lo previsto en la cláusula decimoquinta del pliego, dentro del plazo de siete días naturales contados a partir del siguiente a la notificación de la presente resolución, los adjudicatarios deberán aportar a través del Registro General El</w:t>
      </w:r>
      <w:r>
        <w:t>ectrónico de la Cámara de Comptos de Navarra la documentación indicada en dicha cláusula, requisito necesario para poder formalizar los correspondientes contratos.</w:t>
      </w:r>
    </w:p>
    <w:p w:rsidR="00401564" w:rsidRDefault="00DA2D04">
      <w:pPr>
        <w:pStyle w:val="western"/>
        <w:spacing w:before="125" w:after="125"/>
        <w:ind w:left="142" w:firstLine="425"/>
        <w:jc w:val="both"/>
      </w:pPr>
      <w:r>
        <w:rPr>
          <w:b/>
          <w:bCs/>
        </w:rPr>
        <w:t>Cuarto.</w:t>
      </w:r>
      <w:r>
        <w:t xml:space="preserve"> – Trasladar esta resolución al Secretario General, a la Administradora y a la Interv</w:t>
      </w:r>
      <w:r>
        <w:t>entora, a los efectos de su conocimiento.</w:t>
      </w:r>
    </w:p>
    <w:p w:rsidR="00401564" w:rsidRDefault="00DA2D04">
      <w:pPr>
        <w:pStyle w:val="western"/>
        <w:spacing w:before="125" w:after="125"/>
        <w:ind w:left="142" w:firstLine="425"/>
        <w:jc w:val="both"/>
      </w:pPr>
      <w:r>
        <w:rPr>
          <w:b/>
          <w:bCs/>
        </w:rPr>
        <w:t xml:space="preserve">Quinto. </w:t>
      </w:r>
      <w:r>
        <w:t>– Ordenar la publicación de la adjudicación en el Portal de Contratación de Navarra en el plazo establecido en el artículo 102.1 de la Ley Foral de Contratos Públicos.</w:t>
      </w:r>
    </w:p>
    <w:p w:rsidR="00401564" w:rsidRDefault="00DA2D04">
      <w:pPr>
        <w:pStyle w:val="western"/>
        <w:spacing w:before="125" w:after="125"/>
        <w:ind w:left="142" w:firstLine="425"/>
        <w:jc w:val="both"/>
      </w:pPr>
      <w:r>
        <w:rPr>
          <w:b/>
          <w:bCs/>
        </w:rPr>
        <w:t>Sexto.</w:t>
      </w:r>
      <w:r>
        <w:t xml:space="preserve"> - Notificar esta resolución a l</w:t>
      </w:r>
      <w:r>
        <w:t>as empresas licitadoras, significándoles que contra la misma podrán realizar alguna de las siguientes actuaciones:</w:t>
      </w:r>
    </w:p>
    <w:p w:rsidR="00401564" w:rsidRDefault="00DA2D04">
      <w:pPr>
        <w:pStyle w:val="western"/>
        <w:numPr>
          <w:ilvl w:val="0"/>
          <w:numId w:val="2"/>
        </w:numPr>
        <w:spacing w:before="125" w:after="125"/>
        <w:ind w:left="567"/>
        <w:jc w:val="both"/>
      </w:pPr>
      <w:r>
        <w:lastRenderedPageBreak/>
        <w:t xml:space="preserve">Interponer reclamación ante el Tribunal Administrativo de Contratos Públicos de Navarra, por cualquiera de los motivos expuestos en el </w:t>
      </w:r>
      <w:r>
        <w:t>artículo 124.3 de la Ley Foral 8/2018, de 13 de abril, de Contratos Públicos, en el plazo de diez días naturales a contar desde el día siguiente al de su notificación.</w:t>
      </w:r>
    </w:p>
    <w:p w:rsidR="00401564" w:rsidRDefault="00DA2D04">
      <w:pPr>
        <w:pStyle w:val="western"/>
        <w:numPr>
          <w:ilvl w:val="0"/>
          <w:numId w:val="2"/>
        </w:numPr>
        <w:spacing w:before="125" w:after="125"/>
        <w:ind w:left="567"/>
        <w:jc w:val="both"/>
      </w:pPr>
      <w:r>
        <w:t>Recurso potestativo de reposición ante el Presidente de la Cámara de Comptos en el plazo</w:t>
      </w:r>
      <w:r>
        <w:t xml:space="preserve"> de un mes a partir del día siguiente al de su notificación, de conformidad con lo dispuesto en el artículo 123 de la Ley 39/2015, de 1 de octubre, del Procedimiento Administrativo Común de las Administraciones Públicas.</w:t>
      </w:r>
    </w:p>
    <w:p w:rsidR="00401564" w:rsidRDefault="00DA2D04">
      <w:pPr>
        <w:pStyle w:val="western"/>
        <w:numPr>
          <w:ilvl w:val="0"/>
          <w:numId w:val="2"/>
        </w:numPr>
        <w:spacing w:before="125" w:after="125"/>
        <w:ind w:left="567"/>
        <w:jc w:val="both"/>
      </w:pPr>
      <w:r>
        <w:t xml:space="preserve">Recurso contencioso administrativo </w:t>
      </w:r>
      <w:r>
        <w:t>ante la Sala de lo Contencioso Administrativo del Tribunal Superior de Justicia de Navarra en el plazo de dos meses contados desde el día siguiente al de su notificación.</w:t>
      </w:r>
    </w:p>
    <w:p w:rsidR="00401564" w:rsidRDefault="00401564">
      <w:pPr>
        <w:pStyle w:val="western"/>
        <w:spacing w:before="125" w:after="125"/>
        <w:ind w:left="142" w:firstLine="709"/>
        <w:jc w:val="both"/>
      </w:pPr>
    </w:p>
    <w:p w:rsidR="00401564" w:rsidRDefault="00DA2D04">
      <w:pPr>
        <w:pStyle w:val="western"/>
        <w:spacing w:before="125" w:after="125"/>
        <w:jc w:val="center"/>
        <w:rPr>
          <w:i/>
          <w:sz w:val="28"/>
          <w:szCs w:val="28"/>
        </w:rPr>
      </w:pPr>
      <w:r>
        <w:rPr>
          <w:i/>
          <w:sz w:val="28"/>
          <w:szCs w:val="28"/>
        </w:rPr>
        <w:t xml:space="preserve">(Documento firmado electrónicamente por el presidente, Ignacio Cabeza del Salvador, </w:t>
      </w:r>
      <w:r>
        <w:rPr>
          <w:i/>
          <w:sz w:val="28"/>
          <w:szCs w:val="28"/>
        </w:rPr>
        <w:t>en la fecha que indica al margen)</w:t>
      </w:r>
    </w:p>
    <w:p w:rsidR="00401564" w:rsidRDefault="00401564">
      <w:pPr>
        <w:pStyle w:val="western"/>
        <w:spacing w:before="125" w:after="125"/>
        <w:ind w:left="142" w:firstLine="709"/>
        <w:jc w:val="both"/>
      </w:pPr>
    </w:p>
    <w:p w:rsidR="00401564" w:rsidRDefault="00DA2D04">
      <w:pPr>
        <w:pStyle w:val="western"/>
        <w:spacing w:before="125" w:after="125"/>
        <w:ind w:left="142" w:firstLine="709"/>
        <w:jc w:val="both"/>
      </w:pPr>
      <w:r>
        <w:t xml:space="preserve"> </w:t>
      </w:r>
    </w:p>
    <w:sectPr w:rsidR="00401564">
      <w:headerReference w:type="default" r:id="rId7"/>
      <w:footerReference w:type="default" r:id="rId8"/>
      <w:pgSz w:w="11906" w:h="16838"/>
      <w:pgMar w:top="1809" w:right="1417" w:bottom="1354" w:left="1417" w:header="567" w:footer="567" w:gutter="0"/>
      <w:cols w:space="720"/>
      <w:formProt w:val="0"/>
      <w:docGrid w:linePitch="60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D04" w:rsidRDefault="00DA2D04">
      <w:r>
        <w:separator/>
      </w:r>
    </w:p>
  </w:endnote>
  <w:endnote w:type="continuationSeparator" w:id="0">
    <w:p w:rsidR="00DA2D04" w:rsidRDefault="00DA2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DejaVu Sans">
    <w:panose1 w:val="020B0603030804020204"/>
    <w:charset w:val="00"/>
    <w:family w:val="swiss"/>
    <w:pitch w:val="variable"/>
    <w:sig w:usb0="E7002EFF" w:usb1="D200FDFF" w:usb2="0A246029" w:usb3="00000000" w:csb0="000001FF" w:csb1="00000000"/>
  </w:font>
  <w:font w:name="Liberation Sans Unicode MS">
    <w:charset w:val="00"/>
    <w:family w:val="swiss"/>
    <w:pitch w:val="variable"/>
  </w:font>
  <w:font w:name="Mangal">
    <w:panose1 w:val="00000400000000000000"/>
    <w:charset w:val="01"/>
    <w:family w:val="roman"/>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Liberation Sans;Arial">
    <w:panose1 w:val="00000000000000000000"/>
    <w:charset w:val="00"/>
    <w:family w:val="roman"/>
    <w:notTrueType/>
    <w:pitch w:val="default"/>
  </w:font>
  <w:font w:name="Microsoft YaHei">
    <w:panose1 w:val="020B0503020204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564" w:rsidRDefault="00DA2D04">
    <w:pPr>
      <w:pStyle w:val="Textoindependiente"/>
      <w:pBdr>
        <w:top w:val="single" w:sz="4" w:space="11" w:color="000000"/>
      </w:pBdr>
      <w:spacing w:after="0"/>
      <w:jc w:val="center"/>
      <w:rPr>
        <w:b/>
        <w:sz w:val="18"/>
        <w:szCs w:val="18"/>
      </w:rPr>
    </w:pPr>
    <w:r>
      <w:rPr>
        <w:b/>
        <w:sz w:val="18"/>
        <w:szCs w:val="18"/>
      </w:rPr>
      <w:t xml:space="preserve">Cámara de Comptos de Navarra / </w:t>
    </w:r>
    <w:proofErr w:type="spellStart"/>
    <w:r>
      <w:rPr>
        <w:b/>
        <w:sz w:val="18"/>
        <w:szCs w:val="18"/>
      </w:rPr>
      <w:t>Nafarroako</w:t>
    </w:r>
    <w:proofErr w:type="spellEnd"/>
    <w:r>
      <w:rPr>
        <w:b/>
        <w:sz w:val="18"/>
        <w:szCs w:val="18"/>
      </w:rPr>
      <w:t xml:space="preserve"> </w:t>
    </w:r>
    <w:proofErr w:type="spellStart"/>
    <w:r>
      <w:rPr>
        <w:b/>
        <w:sz w:val="18"/>
        <w:szCs w:val="18"/>
      </w:rPr>
      <w:t>Kontuen</w:t>
    </w:r>
    <w:proofErr w:type="spellEnd"/>
    <w:r>
      <w:rPr>
        <w:b/>
        <w:sz w:val="18"/>
        <w:szCs w:val="18"/>
      </w:rPr>
      <w:t xml:space="preserve"> </w:t>
    </w:r>
    <w:proofErr w:type="spellStart"/>
    <w:r>
      <w:rPr>
        <w:b/>
        <w:sz w:val="18"/>
        <w:szCs w:val="18"/>
      </w:rPr>
      <w:t>Ganbera</w:t>
    </w:r>
    <w:proofErr w:type="spellEnd"/>
  </w:p>
  <w:p w:rsidR="00401564" w:rsidRDefault="00DA2D04">
    <w:pPr>
      <w:pStyle w:val="Textoindependiente"/>
      <w:spacing w:after="0"/>
      <w:jc w:val="center"/>
      <w:rPr>
        <w:sz w:val="16"/>
        <w:szCs w:val="16"/>
      </w:rPr>
    </w:pPr>
    <w:r>
      <w:rPr>
        <w:sz w:val="16"/>
        <w:szCs w:val="16"/>
      </w:rPr>
      <w:t xml:space="preserve">Calle </w:t>
    </w:r>
    <w:proofErr w:type="spellStart"/>
    <w:r>
      <w:rPr>
        <w:sz w:val="16"/>
        <w:szCs w:val="16"/>
      </w:rPr>
      <w:t>Ansoleaga</w:t>
    </w:r>
    <w:proofErr w:type="spellEnd"/>
    <w:r>
      <w:rPr>
        <w:sz w:val="16"/>
        <w:szCs w:val="16"/>
      </w:rPr>
      <w:t xml:space="preserve"> 10, Pamplona/Iruña. 31001 (Navarra). Tfno. 848421400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D04" w:rsidRDefault="00DA2D04">
      <w:r>
        <w:separator/>
      </w:r>
    </w:p>
  </w:footnote>
  <w:footnote w:type="continuationSeparator" w:id="0">
    <w:p w:rsidR="00DA2D04" w:rsidRDefault="00DA2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564" w:rsidRDefault="00DA2D04">
    <w:pPr>
      <w:pStyle w:val="Encabezado"/>
    </w:pPr>
    <w:r>
      <w:rPr>
        <w:noProof/>
        <w:lang w:eastAsia="es-ES" w:bidi="ar-SA"/>
      </w:rPr>
      <w:drawing>
        <wp:inline distT="0" distB="0" distL="0" distR="0">
          <wp:extent cx="988695" cy="698500"/>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rcRect l="-62" t="-89" r="-62" b="-89"/>
                  <a:stretch>
                    <a:fillRect/>
                  </a:stretch>
                </pic:blipFill>
                <pic:spPr bwMode="auto">
                  <a:xfrm>
                    <a:off x="0" y="0"/>
                    <a:ext cx="988695" cy="6985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7393B"/>
    <w:multiLevelType w:val="multilevel"/>
    <w:tmpl w:val="A4AE4F42"/>
    <w:lvl w:ilvl="0">
      <w:start w:val="1"/>
      <w:numFmt w:val="bullet"/>
      <w:lvlText w:val="-"/>
      <w:lvlJc w:val="left"/>
      <w:pPr>
        <w:ind w:left="1211" w:hanging="360"/>
      </w:pPr>
      <w:rPr>
        <w:rFonts w:ascii="Times New Roman" w:hAnsi="Times New Roman" w:cs="Times New Roman" w:hint="default"/>
        <w:b/>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cs="Wingdings" w:hint="default"/>
      </w:rPr>
    </w:lvl>
    <w:lvl w:ilvl="3">
      <w:start w:val="1"/>
      <w:numFmt w:val="bullet"/>
      <w:lvlText w:val=""/>
      <w:lvlJc w:val="left"/>
      <w:pPr>
        <w:ind w:left="3371" w:hanging="360"/>
      </w:pPr>
      <w:rPr>
        <w:rFonts w:ascii="Symbol" w:hAnsi="Symbol" w:cs="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cs="Wingdings" w:hint="default"/>
      </w:rPr>
    </w:lvl>
    <w:lvl w:ilvl="6">
      <w:start w:val="1"/>
      <w:numFmt w:val="bullet"/>
      <w:lvlText w:val=""/>
      <w:lvlJc w:val="left"/>
      <w:pPr>
        <w:ind w:left="5531" w:hanging="360"/>
      </w:pPr>
      <w:rPr>
        <w:rFonts w:ascii="Symbol" w:hAnsi="Symbol" w:cs="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cs="Wingdings" w:hint="default"/>
      </w:rPr>
    </w:lvl>
  </w:abstractNum>
  <w:abstractNum w:abstractNumId="1" w15:restartNumberingAfterBreak="0">
    <w:nsid w:val="324946B3"/>
    <w:multiLevelType w:val="multilevel"/>
    <w:tmpl w:val="070CB1CC"/>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564"/>
    <w:rsid w:val="001F2192"/>
    <w:rsid w:val="00401564"/>
    <w:rsid w:val="00DA2D04"/>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B1B59B-2B23-4C5E-9A3B-5B6C166BD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Unicode MS"/>
        <w:szCs w:val="24"/>
        <w:lang w:val="es-E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Times New Roman" w:eastAsia="DejaVu Sans" w:hAnsi="Times New Roman" w:cs="DejaVu Sans"/>
      <w:sz w:val="26"/>
    </w:rPr>
  </w:style>
  <w:style w:type="paragraph" w:styleId="Ttulo1">
    <w:name w:val="heading 1"/>
    <w:basedOn w:val="Ttulo10"/>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Characters">
    <w:name w:val="Endnote Characters"/>
    <w:qFormat/>
  </w:style>
  <w:style w:type="character" w:customStyle="1" w:styleId="FootnoteCharacters">
    <w:name w:val="Footnote Characters"/>
    <w:qFormat/>
  </w:style>
  <w:style w:type="character" w:customStyle="1" w:styleId="EnlacedeInternet">
    <w:name w:val="Enlace de Internet"/>
    <w:rPr>
      <w:color w:val="000080"/>
      <w:u w:val="single"/>
    </w:rPr>
  </w:style>
  <w:style w:type="character" w:customStyle="1" w:styleId="EncabezadoCar">
    <w:name w:val="Encabezado Car"/>
    <w:basedOn w:val="Fuentedeprrafopredeter"/>
    <w:qFormat/>
    <w:rPr>
      <w:rFonts w:cs="Times New Roman"/>
      <w:sz w:val="24"/>
      <w:szCs w:val="24"/>
    </w:rPr>
  </w:style>
  <w:style w:type="character" w:customStyle="1" w:styleId="PiedepginaCar">
    <w:name w:val="Pie de página Car"/>
    <w:basedOn w:val="Fuentedeprrafopredeter"/>
    <w:qFormat/>
    <w:rPr>
      <w:rFonts w:cs="Times New Roman"/>
      <w:sz w:val="24"/>
      <w:szCs w:val="24"/>
    </w:rPr>
  </w:style>
  <w:style w:type="character" w:customStyle="1" w:styleId="Textoindependiente2Car">
    <w:name w:val="Texto independiente 2 Car"/>
    <w:basedOn w:val="Fuentedeprrafopredeter"/>
    <w:link w:val="Textoindependiente2"/>
    <w:uiPriority w:val="99"/>
    <w:semiHidden/>
    <w:qFormat/>
    <w:rsid w:val="00731482"/>
    <w:rPr>
      <w:rFonts w:ascii="Times New Roman" w:eastAsia="DejaVu Sans" w:hAnsi="Times New Roman" w:cs="Mangal"/>
      <w:sz w:val="26"/>
    </w:rPr>
  </w:style>
  <w:style w:type="character" w:customStyle="1" w:styleId="Textoindependiente3Car">
    <w:name w:val="Texto independiente 3 Car"/>
    <w:basedOn w:val="Fuentedeprrafopredeter"/>
    <w:link w:val="Textoindependiente3"/>
    <w:uiPriority w:val="99"/>
    <w:semiHidden/>
    <w:qFormat/>
    <w:rsid w:val="00A14996"/>
    <w:rPr>
      <w:rFonts w:ascii="Times New Roman" w:eastAsia="DejaVu Sans" w:hAnsi="Times New Roman" w:cs="Mangal"/>
      <w:sz w:val="16"/>
      <w:szCs w:val="14"/>
    </w:rPr>
  </w:style>
  <w:style w:type="character" w:customStyle="1" w:styleId="TextodegloboCar">
    <w:name w:val="Texto de globo Car"/>
    <w:basedOn w:val="Fuentedeprrafopredeter"/>
    <w:link w:val="Textodeglobo"/>
    <w:uiPriority w:val="99"/>
    <w:semiHidden/>
    <w:qFormat/>
    <w:rsid w:val="00A14996"/>
    <w:rPr>
      <w:rFonts w:ascii="Segoe UI" w:eastAsia="DejaVu Sans" w:hAnsi="Segoe UI" w:cs="Mangal"/>
      <w:sz w:val="18"/>
      <w:szCs w:val="16"/>
    </w:rPr>
  </w:style>
  <w:style w:type="character" w:customStyle="1" w:styleId="ListLabel1">
    <w:name w:val="ListLabel 1"/>
    <w:qFormat/>
    <w:rPr>
      <w:rFonts w:eastAsia="DejaVu Sans" w:cs="Times New Roman"/>
      <w:b/>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Times New Roman"/>
      <w:b/>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Symbol"/>
    </w:rPr>
  </w:style>
  <w:style w:type="character" w:customStyle="1" w:styleId="ListLabel12">
    <w:name w:val="ListLabel 12"/>
    <w:qFormat/>
    <w:rPr>
      <w:rFonts w:cs="Courier New"/>
    </w:rPr>
  </w:style>
  <w:style w:type="character" w:customStyle="1" w:styleId="ListLabel13">
    <w:name w:val="ListLabel 13"/>
    <w:qFormat/>
    <w:rPr>
      <w:rFonts w:cs="Wingdings"/>
    </w:rPr>
  </w:style>
  <w:style w:type="paragraph" w:customStyle="1" w:styleId="Ttulo10">
    <w:name w:val="Título1"/>
    <w:basedOn w:val="Normal"/>
    <w:next w:val="Textoindependiente"/>
    <w:qFormat/>
    <w:pPr>
      <w:keepNext/>
      <w:spacing w:before="240" w:after="283"/>
    </w:pPr>
    <w:rPr>
      <w:rFonts w:ascii="Liberation Sans;Arial" w:hAnsi="Liberation Sans;Arial" w:cs="Liberation Sans;Arial"/>
      <w:sz w:val="28"/>
      <w:szCs w:val="28"/>
    </w:rPr>
  </w:style>
  <w:style w:type="paragraph" w:styleId="Textoindependiente">
    <w:name w:val="Body Text"/>
    <w:basedOn w:val="Normal"/>
    <w:pPr>
      <w:spacing w:after="120"/>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rPr>
  </w:style>
  <w:style w:type="paragraph" w:customStyle="1" w:styleId="ndice">
    <w:name w:val="Índice"/>
    <w:basedOn w:val="Normal"/>
    <w:qFormat/>
    <w:pPr>
      <w:suppressLineNumbers/>
    </w:pPr>
    <w:rPr>
      <w:rFonts w:cs="Arial Unicode MS"/>
    </w:rPr>
  </w:style>
  <w:style w:type="paragraph" w:styleId="Ttulo">
    <w:name w:val="Title"/>
    <w:basedOn w:val="Normal"/>
    <w:next w:val="Textoindependiente"/>
    <w:qFormat/>
    <w:pPr>
      <w:keepNext/>
      <w:spacing w:before="240" w:after="120"/>
    </w:pPr>
    <w:rPr>
      <w:rFonts w:ascii="Liberation Sans;Arial" w:eastAsia="Microsoft YaHei" w:hAnsi="Liberation Sans;Arial" w:cs="Arial Unicode MS"/>
      <w:sz w:val="28"/>
      <w:szCs w:val="28"/>
    </w:rPr>
  </w:style>
  <w:style w:type="paragraph" w:customStyle="1" w:styleId="Lneahorizontal">
    <w:name w:val="Línea horizontal"/>
    <w:basedOn w:val="Normal"/>
    <w:next w:val="Textoindependiente"/>
    <w:qFormat/>
    <w:pPr>
      <w:pBdr>
        <w:bottom w:val="double" w:sz="2" w:space="0" w:color="808080"/>
      </w:pBdr>
      <w:spacing w:after="283"/>
    </w:pPr>
    <w:rPr>
      <w:sz w:val="12"/>
    </w:rPr>
  </w:style>
  <w:style w:type="paragraph" w:styleId="Remitedesobre">
    <w:name w:val="envelope return"/>
    <w:basedOn w:val="Normal"/>
    <w:qFormat/>
    <w:rPr>
      <w:i/>
    </w:rPr>
  </w:style>
  <w:style w:type="paragraph" w:customStyle="1" w:styleId="Contenidodelatabla">
    <w:name w:val="Contenido de la tabla"/>
    <w:basedOn w:val="Textoindependiente"/>
    <w:qFormat/>
    <w:pPr>
      <w:spacing w:after="0"/>
    </w:pPr>
  </w:style>
  <w:style w:type="paragraph" w:customStyle="1" w:styleId="HeaderandFooter">
    <w:name w:val="Header and Footer"/>
    <w:basedOn w:val="Normal"/>
    <w:qFormat/>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customStyle="1" w:styleId="DocumentMap">
    <w:name w:val="DocumentMap"/>
    <w:qFormat/>
    <w:pPr>
      <w:suppressAutoHyphens/>
    </w:pPr>
    <w:rPr>
      <w:rFonts w:ascii="Times New Roman" w:eastAsia="Times New Roman" w:hAnsi="Times New Roman" w:cs="Times New Roman"/>
      <w:szCs w:val="20"/>
      <w:lang w:eastAsia="es-ES" w:bidi="ar-SA"/>
    </w:rPr>
  </w:style>
  <w:style w:type="paragraph" w:customStyle="1" w:styleId="western">
    <w:name w:val="western"/>
    <w:basedOn w:val="Normal"/>
    <w:qFormat/>
    <w:pPr>
      <w:widowControl/>
      <w:spacing w:before="100" w:after="119"/>
    </w:pPr>
    <w:rPr>
      <w:rFonts w:cs="Times New Roman"/>
      <w:color w:val="000000"/>
      <w:szCs w:val="26"/>
      <w:lang w:eastAsia="es-ES" w:bidi="ar-SA"/>
    </w:rPr>
  </w:style>
  <w:style w:type="paragraph" w:styleId="Textoindependiente2">
    <w:name w:val="Body Text 2"/>
    <w:basedOn w:val="Normal"/>
    <w:link w:val="Textoindependiente2Car"/>
    <w:uiPriority w:val="99"/>
    <w:semiHidden/>
    <w:unhideWhenUsed/>
    <w:qFormat/>
    <w:rsid w:val="00731482"/>
    <w:pPr>
      <w:spacing w:after="120" w:line="480" w:lineRule="auto"/>
    </w:pPr>
    <w:rPr>
      <w:rFonts w:cs="Mangal"/>
    </w:rPr>
  </w:style>
  <w:style w:type="paragraph" w:styleId="Textoindependiente3">
    <w:name w:val="Body Text 3"/>
    <w:basedOn w:val="Normal"/>
    <w:link w:val="Textoindependiente3Car"/>
    <w:uiPriority w:val="99"/>
    <w:semiHidden/>
    <w:unhideWhenUsed/>
    <w:qFormat/>
    <w:rsid w:val="00A14996"/>
    <w:pPr>
      <w:spacing w:after="120"/>
    </w:pPr>
    <w:rPr>
      <w:rFonts w:cs="Mangal"/>
      <w:sz w:val="16"/>
      <w:szCs w:val="14"/>
    </w:rPr>
  </w:style>
  <w:style w:type="paragraph" w:styleId="Textodeglobo">
    <w:name w:val="Balloon Text"/>
    <w:basedOn w:val="Normal"/>
    <w:link w:val="TextodegloboCar"/>
    <w:uiPriority w:val="99"/>
    <w:semiHidden/>
    <w:unhideWhenUsed/>
    <w:qFormat/>
    <w:rsid w:val="00A14996"/>
    <w:rPr>
      <w:rFonts w:ascii="Segoe UI" w:hAnsi="Segoe UI" w:cs="Mangal"/>
      <w:sz w:val="18"/>
      <w:szCs w:val="16"/>
    </w:rP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788</Words>
  <Characters>4336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D851984</dc:creator>
  <dc:description/>
  <cp:lastModifiedBy>D156363</cp:lastModifiedBy>
  <cp:revision>2</cp:revision>
  <cp:lastPrinted>2022-08-03T09:59:00Z</cp:lastPrinted>
  <dcterms:created xsi:type="dcterms:W3CDTF">2022-09-15T12:36:00Z</dcterms:created>
  <dcterms:modified xsi:type="dcterms:W3CDTF">2022-09-15T12:36:00Z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Gobierno de Navarra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