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bmp" ContentType="image/bmp"/>
  <Default Extension="emf" ContentType="image/x-emf"/>
  <Default Extension="wmf" ContentType="image/x-wmf"/>
  <Default Extension="gif" ContentType="image/gif"/>
  <Default Extension="ico" ContentType="image/x-icon"/>
  <Default Extension="tif" ContentType="image/tiff"/>
  <Default Extension="tiff" ContentType="image/tiff"/>
  <Default Extension="jpeg" ContentType="image/jpeg"/>
  <Default Extension="jpg" ContentType="image/jpeg"/>
  <Default Extension="svg" ContentType="image/svg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16="http://schemas.microsoft.com/office/word/2018/wordml" xmlns:c="http://schemas.openxmlformats.org/drawingml/2006/chart" mc:Ignorable="w14 w15 w16se w16cid w16 w16cex w16sdtdh wp14">
  <w:background w:color="FFFFFF"/>
  <w:body>
    <w:p w14:paraId="1CF29EF6">
      <w:pPr>
        <w:spacing w:line="360" w:lineRule="auto"/>
        <w:rPr>
          <w:rFonts w:ascii="Arial" w:hAnsi="Arial" w:eastAsia="Arial" w:cs="Arial"/>
          <w:b/>
          <w:bCs/>
        </w:rPr>
      </w:pPr>
    </w:p>
    <w:p w14:paraId="1CF29EF7">
      <w:pPr>
        <w:spacing/>
        <w:ind w:firstLine="720"/>
        <w:jc w:val="both"/>
        <w:rPr>
          <w:rFonts w:ascii="Arial" w:hAnsi="Arial" w:eastAsia="Arial" w:cs="Arial"/>
          <w:bCs/>
        </w:rPr>
      </w:pPr>
      <w:r>
        <w:rPr>
          <w:rFonts w:ascii="Arial" w:hAnsi="Arial" w:eastAsia="Arial" w:cs="Arial"/>
          <w:bCs/>
        </w:rPr>
        <w:t xml:space="preserve">RESOLUCIÓN </w:t>
      </w:r>
      <w:r>
        <w:rPr>
          <w:rFonts w:ascii="Arial" w:hAnsi="Arial" w:eastAsia="Arial"/>
        </w:rPr>
        <w:fldChar w:fldCharType="begin"/>
      </w:r>
      <w:r>
        <w:rPr>
          <w:rFonts w:ascii="Arial" w:hAnsi="Arial" w:eastAsia="Arial"/>
        </w:rPr>
        <w:instrText xml:space="preserve">MERGEFIELD  {"name":"extra_numeroResolucion","tagId":"8095d0ab-4154-4fda-afa9-b35aff908e6a","path":"extra_numeroResolucion","type":3,"complexType":0,"dataType":"Texto"}  \* MERGEFORMAT </w:instrText>
      </w:r>
      <w:r>
        <w:rPr>
          <w:rFonts w:ascii="Arial" w:hAnsi="Arial" w:eastAsia="Arial"/>
        </w:rPr>
        <w:fldChar w:fldCharType="separate"/>
      </w:r>
      <w:r>
        <w:rPr>
          <w:rFonts w:ascii="Arial" w:hAnsi="Arial" w:eastAsia="Arial"/>
        </w:rPr>
        <w:t xml:space="preserve">889E/2025</w:t>
      </w:r>
      <w:r>
        <w:rPr>
          <w:rFonts w:ascii="Arial" w:hAnsi="Arial" w:eastAsia="Arial"/>
        </w:rPr>
        <w:fldChar w:fldCharType="end"/>
      </w:r>
      <w:r>
        <w:rPr>
          <w:rFonts w:ascii="Arial" w:hAnsi="Arial" w:eastAsia="Arial" w:cs="Arial"/>
          <w:bCs/>
        </w:rPr>
        <w:t xml:space="preserve">, de </w:t>
      </w:r>
      <w:r>
        <w:rPr>
          <w:rFonts w:ascii="Arial" w:hAnsi="Arial" w:eastAsia="Arial"/>
        </w:rPr>
        <w:fldChar w:fldCharType="begin"/>
      </w:r>
      <w:r>
        <w:rPr>
          <w:rFonts w:ascii="Arial" w:hAnsi="Arial" w:eastAsia="Arial"/>
        </w:rPr>
        <w:instrText xml:space="preserve">MERGEFIELD  {"name":"extra_diaResolucion","tagId":"5fecf813-a468-469a-afb7-ba5bf8631bb2","path":"extra_diaResolucion","type":3,"complexType":0,"dataType":"Texto"}  \* MERGEFORMAT </w:instrText>
      </w:r>
      <w:r>
        <w:rPr>
          <w:rFonts w:ascii="Arial" w:hAnsi="Arial" w:eastAsia="Arial"/>
        </w:rPr>
        <w:fldChar w:fldCharType="separate"/>
      </w:r>
      <w:r>
        <w:rPr>
          <w:rFonts w:ascii="Arial" w:hAnsi="Arial" w:eastAsia="Arial"/>
        </w:rPr>
        <w:t xml:space="preserve">5</w:t>
      </w:r>
      <w:r>
        <w:rPr>
          <w:rFonts w:ascii="Arial" w:hAnsi="Arial" w:eastAsia="Arial"/>
        </w:rPr>
        <w:fldChar w:fldCharType="end"/>
      </w:r>
      <w:r>
        <w:rPr>
          <w:rFonts w:ascii="Arial" w:hAnsi="Arial" w:eastAsia="Arial" w:cs="Arial"/>
          <w:bCs/>
        </w:rPr>
        <w:t xml:space="preserve"> de </w:t>
      </w:r>
      <w:r>
        <w:rPr>
          <w:rFonts w:ascii="Arial" w:hAnsi="Arial" w:eastAsia="Arial"/>
        </w:rPr>
        <w:fldChar w:fldCharType="begin"/>
      </w:r>
      <w:r>
        <w:rPr>
          <w:rFonts w:ascii="Arial" w:hAnsi="Arial" w:eastAsia="Arial"/>
        </w:rPr>
        <w:instrText xml:space="preserve">MERGEFIELD  {"name":"extra_mesResolucion","tagId"</w:instrText>
      </w:r>
      <w:r>
        <w:rPr>
          <w:rFonts w:ascii="Arial" w:hAnsi="Arial" w:eastAsia="Arial"/>
        </w:rPr>
        <w:instrText xml:space="preserve">:"bb930e28-4366-4998-b518-56f2a5512c72","path":"extra_mesResolucion","type":3,"complexType":0,"dataType":"Texto"}  \* MERGEFORMAT </w:instrText>
      </w:r>
      <w:r>
        <w:rPr>
          <w:rFonts w:ascii="Arial" w:hAnsi="Arial" w:eastAsia="Arial"/>
        </w:rPr>
        <w:fldChar w:fldCharType="separate"/>
      </w:r>
      <w:r>
        <w:rPr>
          <w:rFonts w:ascii="Arial" w:hAnsi="Arial" w:eastAsia="Arial"/>
        </w:rPr>
        <w:t xml:space="preserve">agosto</w:t>
      </w:r>
      <w:r>
        <w:rPr>
          <w:rFonts w:ascii="Arial" w:hAnsi="Arial" w:eastAsia="Arial"/>
        </w:rPr>
        <w:fldChar w:fldCharType="end"/>
      </w:r>
      <w:r>
        <w:rPr>
          <w:rFonts w:ascii="Arial" w:hAnsi="Arial" w:eastAsia="Arial" w:cs="Arial"/>
          <w:bCs/>
        </w:rPr>
        <w:t xml:space="preserve">, </w:t>
      </w:r>
      <w:r>
        <w:rPr>
          <w:rFonts w:ascii="Arial" w:hAnsi="Arial" w:eastAsia="Arial"/>
        </w:rPr>
        <w:t xml:space="preserve">de la Directora General de Medio Ambiente</w:t>
      </w:r>
      <w:r>
        <w:rPr>
          <w:rFonts w:ascii="Arial" w:hAnsi="Arial" w:eastAsia="Arial"/>
        </w:rPr>
        <w:t xml:space="preserve">, por la que se declara desierto el procedimiento de adjudicación del proyecto de reforma de la oficina central de Guarderío en </w:t>
      </w:r>
      <w:r>
        <w:rPr>
          <w:rFonts w:ascii="Arial" w:hAnsi="Arial" w:eastAsia="Arial"/>
        </w:rPr>
        <w:t xml:space="preserve">Miluze</w:t>
      </w:r>
      <w:r>
        <w:rPr>
          <w:rFonts w:ascii="Arial" w:hAnsi="Arial" w:eastAsia="Arial"/>
        </w:rPr>
        <w:t xml:space="preserve">.</w:t>
      </w:r>
    </w:p>
    <w:p w14:paraId="1CF29EF8">
      <w:pPr>
        <w:spacing/>
        <w:rPr>
          <w:rFonts w:ascii="Arial" w:hAnsi="Arial" w:eastAsia="Arial" w:cs="Arial"/>
          <w:b/>
          <w:bCs/>
        </w:rPr>
      </w:pPr>
    </w:p>
    <w:tbl>
      <w:tblPr>
        <w:tblW w:w="9385" w:type="dxa"/>
        <w:tblInd w:w="108" w:type="dxa"/>
        <w:tblBorders>
          <w:top w:val="single" w:color="C0C0C0" w:sz="4" w:space="0"/>
          <w:left w:val="single" w:color="C0C0C0" w:sz="4" w:space="0"/>
          <w:bottom w:val="single" w:color="C0C0C0" w:sz="4" w:space="0"/>
          <w:right w:val="single" w:color="C0C0C0" w:sz="4" w:space="0"/>
          <w:insideH w:val="single" w:color="C0C0C0" w:sz="4" w:space="0"/>
          <w:insideV w:val="single" w:color="C0C0C0" w:sz="4" w:space="0"/>
        </w:tblBorders>
        <w:shd w:fill="auto" w:val="solid"/>
        <w:tblLook w:val="04A0" w:firstRow="1" w:lastRow="0" w:firstColumn="1" w:lastColumn="0" w:noHBand="0" w:noVBand="1"/>
      </w:tblPr>
      <w:tblGrid>
        <w:gridCol w:w="2297"/>
        <w:gridCol w:w="7088"/>
      </w:tblGrid>
      <w:tr>
        <w:trPr>
          <w:trHeight w:val="279" w:hRule="atLeast"/>
        </w:trPr>
        <w:tc>
          <w:tcPr>
            <w:tcW w:type="dxa" w:w="2297"/>
            <w:tcBorders/>
            <w:shd w:fill="auto" w:color="EAEAEA" w:val="solid"/>
            <w:tcMar>
              <w:top w:w="57" w:type="dxa"/>
              <w:left w:w="108" w:type="dxa"/>
              <w:bottom w:w="57" w:type="dxa"/>
              <w:right w:w="108" w:type="dxa"/>
            </w:tcMar>
          </w:tcPr>
          <w:p>
            <w:pPr>
              <w:spacing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REFERENCIA:</w:t>
            </w:r>
          </w:p>
        </w:tc>
        <w:tc>
          <w:tcPr>
            <w:tcW w:type="dxa" w:w="7088"/>
            <w:tcBorders/>
            <w:shd w:fill="auto" w:color="EAEAEA" w:val="solid"/>
          </w:tcPr>
          <w:p>
            <w:pPr>
              <w:spacing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  <w:b/>
              </w:rPr>
              <w:t xml:space="preserve">Número del expediente: </w:t>
            </w:r>
            <w:r>
              <w:rPr>
                <w:rFonts w:ascii="Arial" w:hAnsi="Arial" w:eastAsia="Arial"/>
                <w:b/>
              </w:rPr>
              <w:t xml:space="preserve">0005-CP01-2025-000025</w:t>
            </w:r>
          </w:p>
        </w:tc>
      </w:tr>
      <w:tr>
        <w:trPr>
          <w:trHeight w:val="945" w:hRule="atLeast"/>
        </w:trPr>
        <w:tc>
          <w:tcPr>
            <w:tcW w:type="dxa" w:w="2297"/>
            <w:tcBorders/>
            <w:shd w:fill="auto" w:color="EAEAEA" w:val="solid"/>
            <w:tcMar>
              <w:top w:w="57" w:type="dxa"/>
              <w:left w:w="108" w:type="dxa"/>
              <w:bottom w:w="57" w:type="dxa"/>
              <w:right w:w="108" w:type="dxa"/>
            </w:tcMar>
          </w:tcPr>
          <w:p>
            <w:pPr>
              <w:spacing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UNIDAD GESTORA: </w:t>
            </w:r>
          </w:p>
        </w:tc>
        <w:tc>
          <w:tcPr>
            <w:tcW w:type="dxa" w:w="7088"/>
            <w:tcBorders/>
            <w:shd w:fill="auto" w:color="EAEAEA" w:val="solid"/>
          </w:tcPr>
          <w:p>
            <w:pPr>
              <w:spacing/>
              <w:jc w:val="both"/>
              <w:rPr>
                <w:rFonts w:ascii="Arial" w:hAnsi="Arial" w:eastAsia="Arial"/>
              </w:rPr>
            </w:pPr>
            <w:r>
              <w:rPr>
                <w:rFonts w:ascii="Arial" w:hAnsi="Arial" w:eastAsia="Arial"/>
              </w:rPr>
              <w:t xml:space="preserve">Servicio de Guarderío, Calidad y Educación Ambiental</w:t>
            </w:r>
          </w:p>
          <w:p>
            <w:pPr>
              <w:spacing/>
              <w:jc w:val="both"/>
              <w:rPr>
                <w:rFonts w:ascii="Arial" w:hAnsi="Arial" w:eastAsia="Arial" w:cs="Arial"/>
              </w:rPr>
            </w:pPr>
            <w:r>
              <w:rPr>
                <w:rFonts w:ascii="Arial" w:hAnsi="Arial" w:eastAsia="Arial"/>
              </w:rPr>
              <w:t xml:space="preserve">Sección de </w:t>
            </w:r>
            <w:r>
              <w:rPr>
                <w:rFonts w:ascii="Arial" w:hAnsi="Arial" w:eastAsia="Arial"/>
              </w:rPr>
              <w:t xml:space="preserve">Guarderío de Medio Ambiente</w:t>
            </w:r>
          </w:p>
          <w:p>
            <w:pPr>
              <w:spacing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Teléfono: </w:t>
            </w:r>
            <w:r>
              <w:rPr>
                <w:rFonts w:ascii="Arial" w:hAnsi="Arial" w:eastAsia="Arial" w:cs="Arial"/>
              </w:rPr>
              <w:t xml:space="preserve">848 424834</w:t>
            </w:r>
          </w:p>
          <w:p>
            <w:pPr>
              <w:spacing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Dirección: C/ González Tablas Nº 9 </w:t>
            </w:r>
            <w:r>
              <w:rPr>
                <w:rFonts w:ascii="Arial" w:hAnsi="Arial" w:eastAsia="Arial" w:cs="Arial"/>
              </w:rPr>
              <w:t xml:space="preserve">Sótano</w:t>
            </w:r>
          </w:p>
          <w:p>
            <w:pPr>
              <w:spacing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 xml:space="preserve">Correo </w:t>
            </w:r>
            <w:r>
              <w:rPr>
                <w:rFonts w:ascii="Arial" w:hAnsi="Arial" w:eastAsia="Arial" w:cs="Arial"/>
              </w:rPr>
              <w:t xml:space="preserve">electrónico: </w:t>
            </w:r>
            <w:r>
              <w:rPr>
                <w:rFonts w:ascii="Arial" w:hAnsi="Arial" w:eastAsia="Arial" w:cs="Arial"/>
              </w:rPr>
              <w:t xml:space="preserve">guarderio</w:t>
            </w:r>
            <w:r>
              <w:rPr>
                <w:rFonts w:ascii="Arial" w:hAnsi="Arial" w:eastAsia="Arial" w:cs="Arial"/>
              </w:rPr>
              <w:t xml:space="preserve">@navarra.es</w:t>
            </w:r>
          </w:p>
        </w:tc>
      </w:tr>
    </w:tbl>
    <w:p w14:paraId="1CF29F05">
      <w:pPr>
        <w:spacing/>
        <w:jc w:val="both"/>
        <w:rPr>
          <w:rFonts w:ascii="Arial" w:hAnsi="Arial" w:eastAsia="Arial" w:cs="Arial"/>
          <w:b/>
          <w:bCs/>
        </w:rPr>
      </w:pPr>
    </w:p>
    <w:p w14:paraId="3D954057">
      <w:pPr>
        <w:spacing/>
        <w:ind w:firstLine="723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Mediante Resolución 613E/2025, de 27 de junio, de la Directora General de Medio Ambiente se aprueba el expediente de contratación de las obras de “Guarderío </w:t>
      </w:r>
      <w:r>
        <w:rPr>
          <w:rFonts w:ascii="Arial" w:hAnsi="Arial" w:eastAsia="Arial" w:cs="Arial"/>
        </w:rPr>
        <w:t xml:space="preserve">Miluze</w:t>
      </w:r>
      <w:r>
        <w:rPr>
          <w:rFonts w:ascii="Arial" w:hAnsi="Arial" w:eastAsia="Arial" w:cs="Arial"/>
        </w:rPr>
        <w:t xml:space="preserve">. Reforma de la oficina central”.</w:t>
      </w:r>
    </w:p>
    <w:p w14:paraId="21D22851">
      <w:pPr>
        <w:spacing/>
        <w:ind w:firstLine="723"/>
        <w:jc w:val="both"/>
        <w:rPr>
          <w:rFonts w:ascii="Arial" w:hAnsi="Arial" w:eastAsia="Arial" w:cs="Arial"/>
        </w:rPr>
      </w:pPr>
    </w:p>
    <w:p w14:paraId="166175AF">
      <w:pPr>
        <w:spacing/>
        <w:ind w:firstLine="723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Una vez aprobado el expediente de contratación se procedió al envío del expediente a PLENA y a su publicación en el Portal de Contratación de Navarra el día 27 de junio de 2025. Con fecha de 30 de julio de 2025 a las 14:00 horas finalizó el plazo para la presentación de ofertas, no habiéndose recibido ofertas por parte de ninguna empresa.</w:t>
      </w:r>
    </w:p>
    <w:p w14:paraId="33EC6E47">
      <w:pPr>
        <w:spacing/>
        <w:ind w:firstLine="723"/>
        <w:jc w:val="both"/>
        <w:rPr>
          <w:rFonts w:ascii="Arial" w:hAnsi="Arial" w:eastAsia="Arial" w:cs="Arial"/>
        </w:rPr>
      </w:pPr>
    </w:p>
    <w:p w14:paraId="104F5A02">
      <w:pPr>
        <w:spacing/>
        <w:ind w:firstLine="723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Por parte de la unidad gestora responsable del expediente se ha emitido el correspondiente informe en el que se analizan las posibles causas de la ausencia de ofertas, considerando </w:t>
      </w:r>
      <w:r>
        <w:rPr>
          <w:rFonts w:ascii="Arial" w:hAnsi="Arial" w:eastAsia="Arial" w:cs="Arial"/>
        </w:rPr>
        <w:t xml:space="preserve">el </w:t>
      </w:r>
      <w:r>
        <w:rPr>
          <w:rFonts w:ascii="Arial" w:hAnsi="Arial" w:eastAsia="Arial" w:cs="Arial"/>
        </w:rPr>
        <w:t xml:space="preserve">precio de licitación como insuficiente, como la motivación más plausible. </w:t>
      </w:r>
    </w:p>
    <w:p w14:paraId="4F3CCBC1">
      <w:pPr>
        <w:spacing/>
        <w:ind w:firstLine="723"/>
        <w:jc w:val="both"/>
        <w:rPr>
          <w:rFonts w:ascii="Arial" w:hAnsi="Arial" w:eastAsia="Arial" w:cs="Arial"/>
        </w:rPr>
      </w:pPr>
    </w:p>
    <w:p w14:paraId="6A617A76">
      <w:pPr>
        <w:spacing/>
        <w:ind w:firstLine="723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De conformidad con lo expuesto, y en ejercicio de las atribuciones que me han sido conferidas por el Decreto Foral 255/2023, de 15 de noviembre, por el que se establece la estructura orgánica del Departamento de Desarrollo Rural y Medio Ambiente,</w:t>
      </w:r>
    </w:p>
    <w:p w14:paraId="1CF29F0A">
      <w:pPr>
        <w:spacing/>
        <w:ind w:firstLine="723"/>
        <w:jc w:val="both"/>
        <w:rPr>
          <w:rFonts w:ascii="Arial" w:hAnsi="Arial" w:eastAsia="Arial" w:cs="Arial"/>
        </w:rPr>
      </w:pPr>
    </w:p>
    <w:p w14:paraId="1CF29F0B">
      <w:pPr>
        <w:spacing/>
        <w:ind w:firstLine="723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RESUELV</w:t>
      </w:r>
      <w:r>
        <w:rPr>
          <w:rFonts w:ascii="Arial" w:hAnsi="Arial" w:eastAsia="Arial" w:cs="Arial"/>
        </w:rPr>
        <w:t xml:space="preserve">O:</w:t>
      </w:r>
    </w:p>
    <w:p w14:paraId="1CF29F0C">
      <w:pPr>
        <w:spacing/>
        <w:ind w:firstLine="723"/>
        <w:jc w:val="both"/>
        <w:rPr>
          <w:rFonts w:ascii="Arial" w:hAnsi="Arial" w:eastAsia="Arial" w:cs="Arial"/>
        </w:rPr>
      </w:pPr>
    </w:p>
    <w:p w14:paraId="58B19E82">
      <w:pPr>
        <w:pStyle w:val="Prrafodelista"/>
        <w:numPr>
          <w:ilvl w:val="0"/>
          <w:numId w:val="1"/>
        </w:numPr>
        <w:spacing/>
        <w:jc w:val="both"/>
        <w:rPr>
          <w:rFonts w:ascii="Arial" w:hAnsi="Arial" w:eastAsia="Arial" w:cs="Arial"/>
          <w:lang w:val="es-ES-tradnl" w:bidi="es-ES"/>
        </w:rPr>
      </w:pPr>
      <w:r>
        <w:rPr>
          <w:rFonts w:ascii="Arial" w:hAnsi="Arial" w:eastAsia="Arial" w:cs="Arial"/>
          <w:lang w:val="es-ES-tradnl" w:bidi="es-ES"/>
        </w:rPr>
        <w:t xml:space="preserve">Declarar desierto el procedimiento de adjudicación de la obra de reforma de la oficina central de Guarderío en </w:t>
      </w:r>
      <w:r>
        <w:rPr>
          <w:rFonts w:ascii="Arial" w:hAnsi="Arial" w:eastAsia="Arial" w:cs="Arial"/>
          <w:lang w:val="es-ES-tradnl" w:bidi="es-ES"/>
        </w:rPr>
        <w:t xml:space="preserve">Miluze</w:t>
      </w:r>
      <w:r>
        <w:rPr>
          <w:rFonts w:ascii="Arial" w:hAnsi="Arial" w:eastAsia="Arial" w:cs="Arial"/>
          <w:lang w:val="es-ES-tradnl" w:bidi="es-ES"/>
        </w:rPr>
        <w:t xml:space="preserve">.</w:t>
      </w:r>
    </w:p>
    <w:p w14:paraId="312A8D35">
      <w:pPr>
        <w:pStyle w:val="Prrafodelista"/>
        <w:spacing/>
        <w:ind w:left="786"/>
        <w:jc w:val="both"/>
        <w:rPr>
          <w:rFonts w:ascii="Arial" w:hAnsi="Arial" w:eastAsia="Arial" w:cs="Arial"/>
          <w:lang w:val="es-ES-tradnl" w:bidi="es-ES"/>
        </w:rPr>
      </w:pPr>
    </w:p>
    <w:p w14:paraId="311ABBE4">
      <w:pPr>
        <w:pStyle w:val="Prrafodelista"/>
        <w:numPr>
          <w:ilvl w:val="0"/>
          <w:numId w:val="1"/>
        </w:numPr>
        <w:spacing/>
        <w:jc w:val="both"/>
        <w:rPr>
          <w:rFonts w:ascii="Arial" w:hAnsi="Arial" w:eastAsia="Arial" w:cs="Arial"/>
          <w:lang w:val="es-ES-tradnl" w:bidi="es-ES"/>
        </w:rPr>
      </w:pPr>
      <w:r>
        <w:rPr>
          <w:rFonts w:ascii="Arial" w:hAnsi="Arial" w:eastAsia="Arial" w:cs="Arial"/>
          <w:lang w:val="es-ES-tradnl" w:bidi="es-ES"/>
        </w:rPr>
        <w:t xml:space="preserve">Liberar las cantidades que se indican a continuación:</w:t>
      </w:r>
    </w:p>
    <w:p w14:paraId="4447D0EC">
      <w:pPr>
        <w:pStyle w:val="Prrafodelista"/>
        <w:spacing/>
        <w:rPr>
          <w:rFonts w:ascii="Arial" w:hAnsi="Arial" w:eastAsia="Arial" w:cs="Arial"/>
          <w:lang w:val="es-ES-tradnl" w:bidi="es-ES"/>
        </w:rPr>
      </w:pPr>
    </w:p>
    <w:p w14:paraId="69A6EB6C">
      <w:pPr>
        <w:spacing/>
        <w:ind w:left="720" w:firstLine="426"/>
        <w:jc w:val="both"/>
        <w:rPr>
          <w:rFonts w:ascii="Arial" w:hAnsi="Arial" w:eastAsia="Arial" w:cs="Arial"/>
          <w:lang w:val="es-ES-tradnl" w:bidi="es-ES"/>
        </w:rPr>
      </w:pPr>
      <w:r>
        <w:rPr>
          <w:rFonts w:ascii="Arial" w:hAnsi="Arial" w:eastAsia="Arial" w:cs="Arial"/>
          <w:lang w:val="es-ES-tradnl" w:bidi="es-ES"/>
        </w:rPr>
        <w:t xml:space="preserve">-</w:t>
      </w:r>
      <w:r>
        <w:rPr>
          <w:rFonts w:ascii="Arial" w:hAnsi="Arial" w:eastAsia="Arial" w:cs="Arial"/>
          <w:lang w:val="es-ES-tradnl" w:bidi="es-ES"/>
        </w:rPr>
        <w:tab/>
        <w:t xml:space="preserve"/>
      </w:r>
      <w:r>
        <w:rPr>
          <w:rFonts w:ascii="Arial" w:hAnsi="Arial" w:eastAsia="Arial" w:cs="Arial"/>
          <w:lang w:val="es-ES-tradnl" w:bidi="es-ES"/>
        </w:rPr>
        <w:t xml:space="preserve">En la partida 740008-74800-6020-456700 “Acondicionamiento de instalaciones” del Presupuesto de Gastos de 2025, liberación de 549.725,17 euros de la Autorización (expediente 2025 0070003590 A(R)) y de la correspondiente Reserva (expediente 2025 0070003384 R) para que pase al disponible de la partida. </w:t>
      </w:r>
    </w:p>
    <w:p w14:paraId="297FD246">
      <w:pPr>
        <w:spacing/>
        <w:ind w:left="720" w:firstLine="426"/>
        <w:jc w:val="both"/>
        <w:rPr>
          <w:rFonts w:ascii="Arial" w:hAnsi="Arial" w:eastAsia="Arial" w:cs="Arial"/>
          <w:lang w:val="es-ES-tradnl" w:bidi="es-ES"/>
        </w:rPr>
      </w:pPr>
    </w:p>
    <w:p w14:paraId="43A28705">
      <w:pPr>
        <w:spacing/>
        <w:ind w:left="720" w:firstLine="426"/>
        <w:jc w:val="both"/>
        <w:rPr>
          <w:rFonts w:ascii="Arial" w:hAnsi="Arial" w:eastAsia="Arial" w:cs="Arial"/>
          <w:lang w:val="es-ES-tradnl" w:bidi="es-ES"/>
        </w:rPr>
      </w:pPr>
      <w:r>
        <w:rPr>
          <w:rFonts w:ascii="Arial" w:hAnsi="Arial" w:eastAsia="Arial" w:cs="Arial"/>
          <w:lang w:val="es-ES-tradnl" w:bidi="es-ES"/>
        </w:rPr>
        <w:t xml:space="preserve">-</w:t>
      </w:r>
      <w:r>
        <w:rPr>
          <w:rFonts w:ascii="Arial" w:hAnsi="Arial" w:eastAsia="Arial" w:cs="Arial"/>
          <w:lang w:val="es-ES-tradnl" w:bidi="es-ES"/>
        </w:rPr>
        <w:tab/>
        <w:t xml:space="preserve"/>
      </w:r>
      <w:r>
        <w:rPr>
          <w:rFonts w:ascii="Arial" w:hAnsi="Arial" w:eastAsia="Arial" w:cs="Arial"/>
          <w:lang w:val="es-ES-tradnl" w:bidi="es-ES"/>
        </w:rPr>
        <w:t xml:space="preserve">En la partida 740008-74800-6020-456700 “Acondicionamiento de instalaciones</w:t>
      </w:r>
      <w:r>
        <w:rPr>
          <w:rFonts w:ascii="Arial" w:hAnsi="Arial" w:eastAsia="Arial" w:cs="Arial"/>
          <w:lang w:val="es-ES-tradnl" w:bidi="es-ES"/>
        </w:rPr>
        <w:t xml:space="preserve">”</w:t>
      </w:r>
      <w:r>
        <w:rPr/>
        <w:t xml:space="preserve"> </w:t>
      </w:r>
      <w:r>
        <w:rPr>
          <w:rFonts w:ascii="Arial" w:hAnsi="Arial" w:eastAsia="Arial" w:cs="Arial"/>
          <w:lang w:val="es-ES-tradnl" w:bidi="es-ES"/>
        </w:rPr>
        <w:t xml:space="preserve">o partida equivalente a la anterior que al efecto se habilite </w:t>
      </w:r>
      <w:r>
        <w:rPr>
          <w:rFonts w:ascii="Arial" w:hAnsi="Arial" w:eastAsia="Arial" w:cs="Arial"/>
          <w:lang w:val="es-ES-tradnl" w:bidi="es-ES"/>
        </w:rPr>
        <w:t xml:space="preserve">en los </w:t>
      </w:r>
      <w:r>
        <w:rPr>
          <w:rFonts w:ascii="Arial" w:hAnsi="Arial" w:eastAsia="Arial" w:cs="Arial"/>
          <w:lang w:val="es-ES-tradnl" w:bidi="es-ES"/>
        </w:rPr>
        <w:t xml:space="preserve">Presupuesto</w:t>
      </w:r>
      <w:r>
        <w:rPr>
          <w:rFonts w:ascii="Arial" w:hAnsi="Arial" w:eastAsia="Arial" w:cs="Arial"/>
          <w:lang w:val="es-ES-tradnl" w:bidi="es-ES"/>
        </w:rPr>
        <w:t xml:space="preserve">s</w:t>
      </w:r>
      <w:r>
        <w:rPr>
          <w:rFonts w:ascii="Arial" w:hAnsi="Arial" w:eastAsia="Arial" w:cs="Arial"/>
          <w:lang w:val="es-ES-tradnl" w:bidi="es-ES"/>
        </w:rPr>
        <w:t xml:space="preserve"> de Gastos de 2026, liberación de 713.042,28 euros de la Autorización (expediente 2025 0070003590 A(R)) y de la correspondiente Reserva (expediente 2025 0070003384 R) para que pase al disponible de la partida.</w:t>
      </w:r>
    </w:p>
    <w:p w14:paraId="43F41FA3">
      <w:pPr>
        <w:spacing/>
        <w:ind w:firstLine="426"/>
        <w:jc w:val="both"/>
        <w:rPr>
          <w:rFonts w:ascii="Arial" w:hAnsi="Arial" w:eastAsia="Arial" w:cs="Arial"/>
          <w:lang w:val="es-ES-tradnl" w:bidi="es-ES"/>
        </w:rPr>
      </w:pPr>
    </w:p>
    <w:p w14:paraId="076E7FB8">
      <w:pPr>
        <w:pStyle w:val="Prrafodelista"/>
        <w:numPr>
          <w:ilvl w:val="0"/>
          <w:numId w:val="1"/>
        </w:numPr>
        <w:spacing/>
        <w:jc w:val="both"/>
        <w:rPr>
          <w:rFonts w:ascii="Arial" w:hAnsi="Arial" w:eastAsia="Arial" w:cs="Arial"/>
          <w:lang w:val="es-ES-tradnl" w:bidi="es-ES"/>
        </w:rPr>
      </w:pPr>
      <w:r>
        <w:rPr>
          <w:rFonts w:ascii="Arial" w:hAnsi="Arial" w:eastAsia="Arial" w:cs="Arial"/>
          <w:lang w:val="es-ES-tradnl" w:bidi="es-ES"/>
        </w:rPr>
        <w:t xml:space="preserve">Publicar la finalización del contrato en el Portal de Contratación de Navarra, en cumplimiento del artículo 88.2.e de la Ley Foral 2/2018, de 13 de abril, de Contratos Públicos.</w:t>
      </w:r>
    </w:p>
    <w:p w14:paraId="7549035E">
      <w:pPr>
        <w:pStyle w:val="Prrafodelista"/>
        <w:spacing/>
        <w:ind w:left="786"/>
        <w:jc w:val="both"/>
        <w:rPr>
          <w:rFonts w:ascii="Arial" w:hAnsi="Arial" w:eastAsia="Arial" w:cs="Arial"/>
          <w:lang w:val="es-ES-tradnl" w:bidi="es-ES"/>
        </w:rPr>
      </w:pPr>
    </w:p>
    <w:p w14:paraId="35265E9B">
      <w:pPr>
        <w:pStyle w:val="Prrafodelista"/>
        <w:numPr>
          <w:ilvl w:val="0"/>
          <w:numId w:val="1"/>
        </w:numPr>
        <w:spacing/>
        <w:jc w:val="both"/>
        <w:rPr>
          <w:rFonts w:ascii="Arial" w:hAnsi="Arial" w:eastAsia="Arial" w:cs="Arial"/>
          <w:lang w:val="es-ES-tradnl" w:bidi="es-ES"/>
        </w:rPr>
      </w:pPr>
      <w:r>
        <w:rPr>
          <w:rFonts w:ascii="Arial" w:hAnsi="Arial" w:eastAsia="Arial" w:cs="Arial"/>
          <w:lang w:val="es-ES-tradnl" w:bidi="es-ES"/>
        </w:rPr>
        <w:t xml:space="preserve">Trasladar esta Resolución al Servicio de Guarderío, Calidad y Educación Ambiental, a la Sección de Gestión Presupuestaria y a la Sección de Régimen Jurídico de Medio Ambiente.</w:t>
      </w:r>
    </w:p>
    <w:p w14:paraId="7B7FD302">
      <w:pPr>
        <w:pStyle w:val="Prrafodelista"/>
        <w:spacing/>
        <w:rPr>
          <w:rFonts w:ascii="Arial" w:hAnsi="Arial" w:eastAsia="Arial" w:cs="Arial"/>
          <w:lang w:val="es-ES-tradnl" w:bidi="es-ES"/>
        </w:rPr>
      </w:pPr>
    </w:p>
    <w:p w14:paraId="1CF29F0F">
      <w:pPr>
        <w:spacing/>
        <w:ind w:left="720" w:hanging="294"/>
        <w:jc w:val="both"/>
        <w:rPr>
          <w:rFonts w:ascii="Arial" w:hAnsi="Arial" w:eastAsia="Arial" w:cs="Arial"/>
          <w:lang w:val="es-ES-tradnl" w:bidi="es-ES"/>
        </w:rPr>
      </w:pPr>
      <w:r>
        <w:rPr>
          <w:rFonts w:ascii="Arial" w:hAnsi="Arial" w:eastAsia="Arial" w:cs="Arial"/>
          <w:lang w:val="es-ES-tradnl" w:bidi="es-ES"/>
        </w:rPr>
        <w:t xml:space="preserve">5.</w:t>
      </w:r>
      <w:r>
        <w:rPr>
          <w:rFonts w:ascii="Arial" w:hAnsi="Arial" w:eastAsia="Arial" w:cs="Arial"/>
          <w:lang w:val="es-ES-tradnl" w:bidi="es-ES"/>
        </w:rPr>
        <w:tab/>
        <w:t xml:space="preserve"/>
      </w:r>
      <w:r>
        <w:rPr>
          <w:rFonts w:ascii="Arial" w:hAnsi="Arial" w:eastAsia="Arial" w:cs="Arial"/>
          <w:lang w:val="es-ES-tradnl" w:bidi="es-ES"/>
        </w:rPr>
        <w:t xml:space="preserve">Contra esta Resolución, que no agota la vía administrativa, cabe interponer recurso de </w:t>
      </w:r>
      <w:bookmarkStart w:id="2" w:name="_GoBack"/>
      <w:bookmarkEnd w:id="2"/>
      <w:r>
        <w:rPr>
          <w:rFonts w:ascii="Arial" w:hAnsi="Arial" w:eastAsia="Arial" w:cs="Arial"/>
          <w:lang w:val="es-ES-tradnl" w:bidi="es-ES"/>
        </w:rPr>
        <w:t xml:space="preserve">alzada ante el Consejero de Desarrollo Rural y Medio Ambiente, en el plazo de un mes a partir del día siguiente al de su notificación.</w:t>
      </w:r>
    </w:p>
    <w:p w14:paraId="1CF29F10">
      <w:pPr>
        <w:spacing/>
        <w:ind w:firstLine="426"/>
        <w:jc w:val="both"/>
        <w:rPr>
          <w:rFonts w:ascii="Arial" w:hAnsi="Arial" w:eastAsia="Arial" w:cs="Arial"/>
        </w:rPr>
      </w:pPr>
    </w:p>
    <w:p w14:paraId="1CF29F11">
      <w:pPr>
        <w:spacing/>
        <w:ind w:firstLine="360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Pamplona, </w:t>
      </w:r>
      <w:r>
        <w:rPr>
          <w:rFonts w:ascii="Arial" w:hAnsi="Arial" w:eastAsia="Arial"/>
        </w:rPr>
        <w:fldChar w:fldCharType="begin"/>
      </w:r>
      <w:r>
        <w:rPr>
          <w:rFonts w:ascii="Arial" w:hAnsi="Arial" w:eastAsia="Arial"/>
        </w:rPr>
        <w:instrText xml:space="preserve">MERGEFIELD  {"name":"extra_fechaResolucion","tagId":"7cf9b747-2bef-4639-8d16-344414bfcbba","path":"extra_fechaResolucion","type":3,"complexType":0,"dataType":"Texto"}  \* MERGEFORMAT </w:instrText>
      </w:r>
      <w:r>
        <w:rPr>
          <w:rFonts w:ascii="Arial" w:hAnsi="Arial" w:eastAsia="Arial"/>
        </w:rPr>
        <w:fldChar w:fldCharType="separate"/>
      </w:r>
      <w:r>
        <w:rPr>
          <w:rFonts w:ascii="Arial" w:hAnsi="Arial" w:eastAsia="Arial"/>
        </w:rPr>
        <w:t xml:space="preserve">5 de agosto de 2025</w:t>
      </w:r>
      <w:r>
        <w:rPr>
          <w:rFonts w:ascii="Arial" w:hAnsi="Arial" w:eastAsia="Arial"/>
        </w:rPr>
        <w:fldChar w:fldCharType="end"/>
      </w:r>
      <w:r>
        <w:rPr>
          <w:rFonts w:ascii="Arial" w:hAnsi="Arial" w:eastAsia="Arial" w:cs="Arial"/>
        </w:rPr>
        <w:t xml:space="preserve">.</w:t>
      </w:r>
    </w:p>
    <w:p w14:paraId="1CF29F12">
      <w:pPr>
        <w:spacing/>
        <w:ind w:firstLine="360"/>
        <w:jc w:val="both"/>
        <w:rPr>
          <w:rFonts w:ascii="Arial" w:hAnsi="Arial" w:eastAsia="Arial" w:cs="Arial"/>
        </w:rPr>
      </w:pPr>
    </w:p>
    <w:p w14:paraId="1CF29F13">
      <w:pPr>
        <w:spacing/>
        <w:ind w:left="1760" w:right="2173"/>
        <w:jc w:val="center"/>
        <w:rPr>
          <w:rFonts w:ascii="Arial" w:hAnsi="Arial" w:eastAsia="Arial" w:cs="Arial"/>
        </w:rPr>
      </w:pPr>
      <w:r>
        <w:rPr>
          <w:rFonts w:ascii="Arial" w:hAnsi="Arial" w:eastAsia="Arial"/>
        </w:rPr>
        <w:t xml:space="preserve">LA DIRECTORA GENERAL DE MEDIO AMBIENTE</w:t>
      </w:r>
    </w:p>
    <w:p w14:paraId="1CF29F14">
      <w:pPr>
        <w:spacing/>
        <w:ind w:right="-29"/>
        <w:jc w:val="center"/>
        <w:rPr>
          <w:rFonts w:ascii="Arial" w:hAnsi="Arial" w:eastAsia="Arial" w:cs="Arial"/>
        </w:rPr>
      </w:pPr>
    </w:p>
    <w:p w14:paraId="1CF29F15">
      <w:pPr>
        <w:spacing/>
        <w:ind w:left="1760" w:right="2173"/>
        <w:jc w:val="center"/>
        <w:rPr>
          <w:rFonts w:ascii="Arial" w:hAnsi="Arial" w:eastAsia="Arial" w:cs="Arial"/>
        </w:rPr>
      </w:pPr>
      <w:r>
        <w:rPr>
          <w:rFonts w:ascii="Arial" w:hAnsi="Arial" w:eastAsia="Arial"/>
        </w:rPr>
        <w:t xml:space="preserve">Ana </w:t>
      </w:r>
      <w:r>
        <w:rPr>
          <w:rFonts w:ascii="Arial" w:hAnsi="Arial" w:eastAsia="Arial"/>
        </w:rPr>
        <w:t xml:space="preserve">Bretaña de la Torre</w:t>
      </w:r>
    </w:p>
    <w:p w14:paraId="1CF29F16">
      <w:pPr>
        <w:spacing/>
        <w:ind w:left="1760" w:right="2173"/>
        <w:jc w:val="center"/>
        <w:rPr>
          <w:rFonts w:ascii="Arial" w:hAnsi="Arial" w:eastAsia="Arial" w:cs="Arial"/>
        </w:rPr>
      </w:pPr>
    </w:p>
    <w:sectPr>
      <w:footerReference w:type="even" r:id="rId1"/>
      <w:headerReference w:type="default" r:id="rId2"/>
      <w:type w:val="nextPage"/>
      <w:pgSz w:w="11906" w:h="16838"/>
      <w:pgMar w:top="2268" w:right="851" w:bottom="1418" w:left="1701" w:header="709" w:footer="709" w:gutter="0"/>
      <w:pgBorders/>
      <w:pgNumType w:fmt="decimal"/>
      <w:cols w:num="1" w:equalWidth="1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charset w:val="0"/>
    <w:family w:val="roman"/>
    <w:pitch w:val="variable"/>
    <w:sig w:usb0="E0002EFF" w:usb1="C000785B" w:usb2="00000009" w:usb3="00000000" w:csb0="000001FF" w:csb1="00000000"/>
  </w:font>
  <w:font w:name="Calibri">
    <w:charset w:val="0"/>
    <w:family w:val="swiss"/>
    <w:pitch w:val="variable"/>
    <w:sig w:usb0="E4002EFF" w:usb1="C000247B" w:usb2="00000009" w:usb3="00000000" w:csb0="000001FF" w:csb1="00000000"/>
  </w:font>
  <w:font w:name="Calibri Light">
    <w:charset w:val="0"/>
    <w:family w:val="swiss"/>
    <w:pitch w:val="variable"/>
    <w:sig w:usb0="E4002EFF" w:usb1="C000247B" w:usb2="00000009" w:usb3="00000000" w:csb0="000001FF" w:csb1="00000000"/>
  </w:font>
  <w:font w:name="Arial">
    <w:charset w:val="0"/>
    <w:family w:val="swiss"/>
    <w:pitch w:val="variable"/>
    <w:sig w:usb0="E0002EFF" w:usb1="C000785B" w:usb2="00000009" w:usb3="00000000" w:csb0="000001FF" w:csb1="00000000"/>
  </w:font>
  <w:font w:name="Tahoma">
    <w:charset w:val="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 w14:paraId="1CF29F19">
    <w:pPr>
      <w:pStyle w:val="Piedepgina"/>
      <w:spacing/>
      <w:rPr/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 xml:space="preserve">2</w:t>
    </w:r>
    <w:r>
      <w:rPr>
        <w:rStyle w:val="Nmerodepgina"/>
      </w:rPr>
      <w:fldChar w:fldCharType="end"/>
    </w:r>
  </w:p>
  <w:p w14:paraId="1CF29F1A">
    <w:pPr>
      <w:pStyle w:val="Piedepgina"/>
      <w:spacing/>
      <w:rPr/>
    </w:pPr>
  </w:p>
</w:ftr>
</file>

<file path=word/header2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c="http://schemas.microsoft.com/office/word/2010/wordprocessingCanvas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="http://schemas.openxmlformats.org/wordprocessingml/2006/main" ve:Ignorable="w14 w15 wp14">
  <w:p w14:paraId="1CF29F17">
    <w:pPr>
      <w:spacing/>
      <w:ind w:left="-567"/>
      <w:rPr/>
    </w:pPr>
    <w:r>
      <w:rPr>
        <w:noProof/>
      </w:rPr>
      <ve:AlternateContent>
        <ve:Choice Requires="wps">
          <w:drawing>
            <wp:anchor distT="0" distB="0" distL="114300" distR="114300" simplePos="0" relativeHeight="5120" behindDoc="0" locked="0" layoutInCell="1" allowOverlap="1">
              <wp:simplePos x="0" y="0"/>
              <wp:positionH relativeFrom="page">
                <wp:posOffset>241935</wp:posOffset>
              </wp:positionH>
              <wp:positionV relativeFrom="paragraph">
                <wp:posOffset>-635</wp:posOffset>
              </wp:positionV>
              <wp:extent cx="6991350" cy="422275"/>
              <wp:effectExtent xmlns:wp="http://schemas.openxmlformats.org/drawingml/2006/wordprocessingDrawing" l="0" t="0" r="0" b="0"/>
              <wp:wrapNone/>
              <wp:docPr id="1" name="Grupo 13" titl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91350" cy="422275"/>
                        <a:chOff x="0" y="0"/>
                        <a:chExt cx="6991350" cy="422275"/>
                      </a:xfrm>
                    </wpg:grpSpPr>
                    <wpg:grpSp>
                      <wpg:cNvPr id="2" name="Grupo 2"/>
                      <wpg:cNvGrpSpPr/>
                      <wpg:grpSpPr>
                        <a:xfrm>
                          <a:off x="3105150" y="9525"/>
                          <a:ext cx="1152525" cy="412750"/>
                          <a:chOff x="0" y="0"/>
                          <a:chExt cx="1152525" cy="412750"/>
                        </a:xfrm>
                      </wpg:grpSpPr>
                      <pic:pic>
                        <pic:nvPicPr>
                          <pic:cNvPr id="2" name="Picture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11" l="3881" r="75659" t="224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361950"/>
                          </a:xfrm>
                          <a:prstGeom prst="rect">
                            <a:avLst/>
                          </a:prstGeom>
                          <a:ln xmlns:a="http://schemas.openxmlformats.org/drawingml/2006/main">
                            <a:noFill/>
                          </a:ln>
                          <a:extLst xmlns:a="http://schemas.openxmlformats.org/drawingml/2006/main"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>
                        <pic:nvPicPr>
                          <pic:cNvPr id="3" name="Picture 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6250" y="9525"/>
                            <a:ext cx="676275" cy="4032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>
                      <pic:nvPicPr>
                        <pic:cNvPr id="4" name="Picture 3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95425" y="9525"/>
                          <a:ext cx="1428750" cy="349885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11" name="Grupo 11"/>
                      <wpg:cNvGrpSpPr/>
                      <wpg:grpSpPr>
                        <a:xfrm>
                          <a:off x="0" y="0"/>
                          <a:ext cx="1318260" cy="390525"/>
                          <a:chOff x="0" y="0"/>
                          <a:chExt cx="1318260" cy="390525"/>
                        </a:xfrm>
                      </wpg:grpSpPr>
                      <pic:pic>
                        <pic:nvPicPr>
                          <pic:cNvPr id="5" name="Picture 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506" r="67702" t="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50"/>
                            <a:ext cx="495300" cy="314325"/>
                          </a:xfrm>
                          <a:prstGeom prst="rect">
                            <a:avLst/>
                          </a:prstGeom>
                          <a:ln xmlns:a="http://schemas.openxmlformats.org/drawingml/2006/main">
                            <a:noFill/>
                          </a:ln>
                          <a:extLst xmlns:a="http://schemas.openxmlformats.org/drawingml/2006/main"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>
                        <pic:nvPicPr>
                          <pic:cNvPr id="6" name="Picture 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5775" y="0"/>
                            <a:ext cx="832485" cy="3905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>
                      <pic:nvPicPr>
                        <pic:cNvPr id="7" name="Picture 6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7916" l="10274" r="13866" t="86044"/>
                        <a:stretch>
                          <a:fillRect/>
                        </a:stretch>
                      </pic:blipFill>
                      <pic:spPr bwMode="auto">
                        <a:xfrm>
                          <a:off x="4381500" y="0"/>
                          <a:ext cx="2609850" cy="370840"/>
                        </a:xfrm>
                        <a:prstGeom prst="rect">
                          <a:avLst/>
                        </a:prstGeom>
                        <a:ln xmlns:a="http://schemas.openxmlformats.org/drawingml/2006/main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ve:Choice>
        <ve:Fallback>
          <w:pict>
            <v:group id="Grupo 13" style="position:absolute;;margin-left:19.05pt;margin-top:-0.05pt;width:550.5pt;height:33.25pt;z-index:5120;mso-position-horizontal-relative:page;mso-wrap-distance-left:9pt;mso-wrap-distance-top:0pt;mso-wrap-distance-right:9pt;mso-wrap-distance-bottom:0pt;" coordorigin="0,0">
              <v:group id="Grupo 2" coordorigin="0,0" style="position:absolute;;width:90.75;height:32.5;;v-text-anchor:top" strokecolor="#000000" strokeweight="1pt">
                <v:stroke dashstyle="solid" linestyle="single" joinstyle="miter" endcap="flat" color2="#000000"/>
                <v:shape id="Picture 1" style="position:absolute;;width:30.75;height:28.5;;v-text-anchor:top" strokecolor="#000000" strokeweight="1pt">
                  <v:stroke dashstyle="solid" linestyle="single" joinstyle="miter" endcap="flat" color2="#000000"/>
                  <v:imagedata r:id="rId9" croptop="14717f" cropbottom="6233f" cropleft="2543f" cropright="49583f"/>
                </v:shape>
                <v:shape id="Picture 2" style="position:absolute;;width:53.25;height:31.75;;v-text-anchor:top" strokecolor="#000000" strokeweight="1pt">
                  <v:stroke dashstyle="solid" linestyle="single" joinstyle="miter" endcap="flat" color2="#000000"/>
                  <v:imagedata r:id="rId10"/>
                </v:shape>
              </v:group>
              <v:shape id="Picture 3" style="position:absolute;;width:112.5;height:27.55;;v-text-anchor:top" strokecolor="#000000" strokeweight="1pt">
                <v:stroke dashstyle="solid" linestyle="single" joinstyle="miter" endcap="flat" color2="#000000"/>
                <v:imagedata r:id="rId11"/>
              </v:shape>
              <v:group id="Grupo 11" coordorigin="0,0" style="position:absolute;;width:103.8;height:30.75;;v-text-anchor:top" strokecolor="#000000" strokeweight="1pt">
                <v:stroke dashstyle="solid" linestyle="single" joinstyle="miter" endcap="flat" color2="#000000"/>
                <v:shape id="Picture 4" style="position:absolute;;width:39;height:24.75;;v-text-anchor:top" strokecolor="#000000" strokeweight="1pt">
                  <v:stroke dashstyle="solid" linestyle="single" joinstyle="miter" endcap="flat" color2="#000000"/>
                  <v:imagedata r:id="rId12" croptop="1f" cropbottom="6230f" cropright="44369f"/>
                </v:shape>
                <v:shape id="Picture 5" style="position:absolute;;width:65.55;height:30.75;;v-text-anchor:top" strokecolor="#000000" strokeweight="1pt">
                  <v:stroke dashstyle="solid" linestyle="single" joinstyle="miter" endcap="flat" color2="#000000"/>
                  <v:imagedata r:id="rId13"/>
                </v:shape>
              </v:group>
              <v:shape id="Picture 6" style="position:absolute;;width:205.5;height:29.2;;v-text-anchor:top" strokecolor="#000000" strokeweight="1pt">
                <v:stroke dashstyle="solid" linestyle="single" joinstyle="miter" endcap="flat" color2="#000000"/>
                <v:imagedata r:id="rId14" croptop="56389f" cropbottom="5188f" cropleft="6733f" cropright="9087f"/>
              </v:shape>
            </v:group>
          </w:pict>
        </ve:Fallback>
      </ve:AlternateContent>
    </w:r>
  </w:p>
  <w:p w14:paraId="1CF29F18">
    <w:pPr>
      <w:spacing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DF62E1"/>
    <w:lvl w:ilvl="0">
      <w:start w:val="1"/>
      <w:numFmt w:val="decimal"/>
      <w:suff w:val="tab"/>
      <w:lvlText w:val="%1."/>
      <w:pPr>
        <w:spacing/>
        <w:ind w:left="786" w:hanging="360"/>
      </w:pPr>
      <w:rPr>
        <w:rFonts w:hint="default"/>
      </w:rPr>
    </w:lvl>
    <w:lvl w:ilvl="1">
      <w:start w:val="1"/>
      <w:numFmt w:val="lowerLetter"/>
      <w:suff w:val="tab"/>
      <w:lvlText w:val="%2."/>
      <w:pPr>
        <w:spacing/>
        <w:ind w:left="1506" w:hanging="360"/>
      </w:pPr>
      <w:rPr/>
    </w:lvl>
    <w:lvl w:ilvl="2">
      <w:start w:val="1"/>
      <w:numFmt w:val="lowerRoman"/>
      <w:suff w:val="tab"/>
      <w:lvlText w:val="%3."/>
      <w:lvlJc w:val="right"/>
      <w:pPr>
        <w:spacing/>
        <w:ind w:left="2226" w:hanging="180"/>
      </w:pPr>
      <w:rPr/>
    </w:lvl>
    <w:lvl w:ilvl="3">
      <w:start w:val="1"/>
      <w:numFmt w:val="decimal"/>
      <w:suff w:val="tab"/>
      <w:lvlText w:val="%4."/>
      <w:pPr>
        <w:spacing/>
        <w:ind w:left="2946" w:hanging="360"/>
      </w:pPr>
      <w:rPr/>
    </w:lvl>
    <w:lvl w:ilvl="4">
      <w:start w:val="1"/>
      <w:numFmt w:val="lowerLetter"/>
      <w:suff w:val="tab"/>
      <w:lvlText w:val="%5."/>
      <w:pPr>
        <w:spacing/>
        <w:ind w:left="3666" w:hanging="360"/>
      </w:pPr>
      <w:rPr/>
    </w:lvl>
    <w:lvl w:ilvl="5">
      <w:start w:val="1"/>
      <w:numFmt w:val="lowerRoman"/>
      <w:suff w:val="tab"/>
      <w:lvlText w:val="%6."/>
      <w:lvlJc w:val="right"/>
      <w:pPr>
        <w:spacing/>
        <w:ind w:left="4386" w:hanging="180"/>
      </w:pPr>
      <w:rPr/>
    </w:lvl>
    <w:lvl w:ilvl="6">
      <w:start w:val="1"/>
      <w:numFmt w:val="decimal"/>
      <w:suff w:val="tab"/>
      <w:lvlText w:val="%7."/>
      <w:pPr>
        <w:spacing/>
        <w:ind w:left="5106" w:hanging="360"/>
      </w:pPr>
      <w:rPr/>
    </w:lvl>
    <w:lvl w:ilvl="7">
      <w:start w:val="1"/>
      <w:numFmt w:val="lowerLetter"/>
      <w:suff w:val="tab"/>
      <w:lvlText w:val="%8."/>
      <w:pPr>
        <w:spacing/>
        <w:ind w:left="5826" w:hanging="360"/>
      </w:pPr>
      <w:rPr/>
    </w:lvl>
    <w:lvl w:ilvl="8">
      <w:start w:val="1"/>
      <w:numFmt w:val="lowerRoman"/>
      <w:suff w:val="tab"/>
      <w:lvlText w:val="%9."/>
      <w:lvlJc w:val="right"/>
      <w:pPr>
        <w:spacing/>
        <w:ind w:left="6546" w:hanging="180"/>
      </w:pPr>
      <w:rPr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isplayBackgroundShape/>
  <w:proofState w:spelling="clean" w:grammar="clean"/>
  <w:defaultTabStop w:val="720"/>
  <w:hyphenationZone w:val="425"/>
  <w:characterSpacingControl xmlns:w="http://schemas.openxmlformats.org/wordprocessingml/2006/main"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intLim m:val="subSup"/>
    <m:naryLim m:val="undOvr"/>
  </m:mathPr>
  <w:themeFontLang w:val="es-ES"/>
  <w:clrSchemeMapping xmlns:w="http://schemas.openxmlformats.org/wordprocessingml/2006/main" w:bg1="light1" w:t1="dark1" w:bg2="light2" w:t2="dark2" w:accent1="accent1" w:accent2="accent2" w:accent3="accent3" w:accent4="accent4" w:accent5="accent5" w:accent6="accent6" w:hyperlink="hyperlink" w:followedHyperlink="followedHyperlink"/>
  <w:decimalSymbol xmlns:w="http://schemas.openxmlformats.org/wordprocessingml/2006/main" w:val=","/>
  <w:listSeparator xmlns:w="http://schemas.openxmlformats.org/wordprocessingml/2006/main"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Calibri" w:cs="Calibri"/>
        <w:color w:val="000000"/>
        <w:sz w:val="22"/>
        <w:szCs w:val="22"/>
        <w:lang w:val="es-ES" w:eastAsia="es-ES" w:bidi="ar-SA"/>
      </w:rPr>
    </w:rPrDefault>
    <w:pPrDefault>
      <w:pPr>
        <w:spacing/>
      </w:pPr>
    </w:pPrDefault>
  </w:docDefaults>
  <w:latentStyles xmlns:w="http://schemas.openxmlformats.org/wordprocessingml/2006/main"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pPr>
      <w:spacing/>
    </w:pPr>
    <w:rPr/>
  </w:style>
  <w:style w:type="paragraph" w:styleId="Ttulo1">
    <w:name w:val="Heading 1"/>
    <w:basedOn w:val="Normal"/>
    <w:next w:val="Normal"/>
    <w:pPr>
      <w:spacing w:before="240" w:line="259" w:lineRule="auto"/>
      <w:outlineLvl w:val="0"/>
    </w:pPr>
    <w:rPr>
      <w:rFonts w:ascii="Calibri Light" w:hAnsi="Calibri Light" w:eastAsia="Calibri Light" w:cs="Calibri Light"/>
      <w:color w:val="2F5496"/>
      <w:sz w:val="32"/>
      <w:szCs w:val="32"/>
    </w:rPr>
  </w:style>
  <w:style w:type="paragraph" w:styleId="Ttulo2">
    <w:name w:val="Heading 2"/>
    <w:basedOn w:val="Normal"/>
    <w:next w:val="Normal"/>
    <w:pPr>
      <w:spacing w:before="40" w:line="259" w:lineRule="auto"/>
      <w:outlineLvl w:val="1"/>
    </w:pPr>
    <w:rPr>
      <w:rFonts w:ascii="Calibri Light" w:hAnsi="Calibri Light" w:eastAsia="Calibri Light" w:cs="Calibri Light"/>
      <w:color w:val="2F5496"/>
      <w:sz w:val="26"/>
      <w:szCs w:val="26"/>
    </w:rPr>
  </w:style>
  <w:style w:type="paragraph" w:styleId="Ttulo3">
    <w:name w:val="Heading 3"/>
    <w:basedOn w:val="Normal"/>
    <w:next w:val="Normal"/>
    <w:pPr>
      <w:spacing w:before="40" w:line="259" w:lineRule="auto"/>
      <w:outlineLvl w:val="2"/>
    </w:pPr>
    <w:rPr>
      <w:rFonts w:ascii="Calibri Light" w:hAnsi="Calibri Light" w:eastAsia="Calibri Light" w:cs="Calibri Light"/>
      <w:color w:val="1F3763"/>
      <w:sz w:val="24"/>
      <w:szCs w:val="24"/>
    </w:rPr>
  </w:style>
  <w:style w:type="paragraph" w:styleId="Ttulo4">
    <w:name w:val="Heading 4"/>
    <w:basedOn w:val="Normal"/>
    <w:next w:val="Normal"/>
    <w:pPr>
      <w:spacing w:before="40" w:line="259" w:lineRule="auto"/>
      <w:outlineLvl w:val="3"/>
    </w:pPr>
    <w:rPr>
      <w:rFonts w:ascii="Calibri Light" w:hAnsi="Calibri Light" w:eastAsia="Calibri Light" w:cs="Calibri Light"/>
      <w:i/>
      <w:iCs/>
      <w:color w:val="2F5496"/>
    </w:rPr>
  </w:style>
  <w:style w:type="paragraph" w:styleId="Ttulo5">
    <w:name w:val="Heading 5"/>
    <w:basedOn w:val="Normal"/>
    <w:next w:val="Normal"/>
    <w:pPr>
      <w:spacing w:before="40" w:line="259" w:lineRule="auto"/>
      <w:outlineLvl w:val="4"/>
    </w:pPr>
    <w:rPr>
      <w:rFonts w:ascii="Calibri Light" w:hAnsi="Calibri Light" w:eastAsia="Calibri Light" w:cs="Calibri Light"/>
      <w:color w:val="2F5496"/>
    </w:rPr>
  </w:style>
  <w:style w:type="paragraph" w:styleId="Ttulo6">
    <w:name w:val="Heading 6"/>
    <w:basedOn w:val="Normal"/>
    <w:next w:val="Normal"/>
    <w:pPr>
      <w:spacing w:before="40" w:line="259" w:lineRule="auto"/>
      <w:outlineLvl w:val="5"/>
    </w:pPr>
    <w:rPr>
      <w:rFonts w:ascii="Calibri Light" w:hAnsi="Calibri Light" w:eastAsia="Calibri Light" w:cs="Calibri Light"/>
      <w:color w:val="1F3763"/>
    </w:rPr>
  </w:style>
  <w:style w:type="paragraph" w:styleId="Ttulo7">
    <w:name w:val="Heading 7"/>
    <w:basedOn w:val="Normal"/>
    <w:next w:val="Normal"/>
    <w:pPr>
      <w:spacing w:before="40" w:line="259" w:lineRule="auto"/>
      <w:outlineLvl w:val="6"/>
    </w:pPr>
    <w:rPr>
      <w:rFonts w:ascii="Calibri Light" w:hAnsi="Calibri Light" w:eastAsia="Calibri Light"/>
      <w:i/>
      <w:color w:val="1F3763"/>
    </w:rPr>
  </w:style>
  <w:style w:type="paragraph" w:styleId="Ttulo8">
    <w:name w:val="Heading 8"/>
    <w:basedOn w:val="Normal"/>
    <w:next w:val="Normal"/>
    <w:pPr>
      <w:spacing w:before="40" w:line="259" w:lineRule="auto"/>
      <w:outlineLvl w:val="7"/>
    </w:pPr>
    <w:rPr>
      <w:rFonts w:ascii="Calibri Light" w:hAnsi="Calibri Light" w:eastAsia="Calibri Light"/>
      <w:color w:val="333333"/>
      <w:sz w:val="21"/>
    </w:rPr>
  </w:style>
  <w:style w:type="paragraph" w:styleId="Ttulo9">
    <w:name w:val="Heading 9"/>
    <w:basedOn w:val="Normal"/>
    <w:next w:val="Normal"/>
    <w:pPr>
      <w:spacing w:before="40" w:line="259" w:lineRule="auto"/>
      <w:outlineLvl w:val="8"/>
    </w:pPr>
    <w:rPr>
      <w:rFonts w:ascii="Calibri Light" w:hAnsi="Calibri Light" w:eastAsia="Calibri Light"/>
      <w:i/>
      <w:color w:val="333333"/>
      <w:sz w:val="21"/>
    </w:rPr>
  </w:style>
  <w:style w:type="character" w:styleId="Fuentedeprrafopredeter" w:default="1">
    <w:name w:val="Default Paragraph Font"/>
    <w:uiPriority w:val="1"/>
    <w:semiHidden/>
    <w:unhideWhenUsed/>
    <w:rPr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>
    <w:name w:val="No List"/>
    <w:uiPriority w:val="99"/>
    <w:semiHidden/>
    <w:unhideWhenUsed/>
  </w:style>
  <w:style w:type="paragraph" w:styleId="Piedepgina">
    <w:name w:val="Footer"/>
    <w:basedOn w:val="Normal"/>
    <w:pPr>
      <w:tabs>
        <w:tab w:val="center" w:pos="4252"/>
        <w:tab w:val="right" w:pos="8504"/>
      </w:tabs>
      <w:spacing/>
    </w:pPr>
    <w:rPr>
      <w:rFonts w:ascii="Arial" w:hAnsi="Arial" w:eastAsia="Arial" w:cs="Arial"/>
    </w:rPr>
  </w:style>
  <w:style w:type="character" w:styleId="Nmerodepgina">
    <w:name w:val="Page Number"/>
    <w:basedOn w:val="Fuentedeprrafopredeter"/>
    <w:rPr/>
  </w:style>
  <w:style w:type="character" w:styleId="Ttulo1Car" w:customStyle="1">
    <w:name w:val="Título 1 Car"/>
    <w:basedOn w:val="Fuentedeprrafopredeter"/>
    <w:rPr>
      <w:rFonts w:ascii="Calibri Light" w:hAnsi="Calibri Light" w:eastAsia="Calibri Light" w:cs="Calibri Light"/>
      <w:color w:val="2F5496"/>
      <w:sz w:val="32"/>
      <w:szCs w:val="32"/>
    </w:rPr>
  </w:style>
  <w:style w:type="character" w:styleId="Ttulo2Car" w:customStyle="1">
    <w:name w:val="Título 2 Car"/>
    <w:basedOn w:val="Fuentedeprrafopredeter"/>
    <w:rPr>
      <w:rFonts w:ascii="Calibri Light" w:hAnsi="Calibri Light" w:eastAsia="Calibri Light" w:cs="Calibri Light"/>
      <w:color w:val="2F5496"/>
      <w:sz w:val="26"/>
      <w:szCs w:val="26"/>
    </w:rPr>
  </w:style>
  <w:style w:type="character" w:styleId="Ttulo3Car" w:customStyle="1">
    <w:name w:val="Título 3 Car"/>
    <w:basedOn w:val="Fuentedeprrafopredeter"/>
    <w:rPr>
      <w:rFonts w:ascii="Calibri Light" w:hAnsi="Calibri Light" w:eastAsia="Calibri Light" w:cs="Calibri Light"/>
      <w:color w:val="1F3763"/>
      <w:sz w:val="24"/>
      <w:szCs w:val="24"/>
    </w:rPr>
  </w:style>
  <w:style w:type="character" w:styleId="Ttulo4Car" w:customStyle="1">
    <w:name w:val="Título 4 Car"/>
    <w:basedOn w:val="Fuentedeprrafopredeter"/>
    <w:rPr>
      <w:rFonts w:ascii="Calibri Light" w:hAnsi="Calibri Light" w:eastAsia="Calibri Light" w:cs="Calibri Light"/>
      <w:i/>
      <w:iCs/>
      <w:color w:val="2F5496"/>
    </w:rPr>
  </w:style>
  <w:style w:type="character" w:styleId="Ttulo5Car" w:customStyle="1">
    <w:name w:val="Título 5 Car"/>
    <w:basedOn w:val="Fuentedeprrafopredeter"/>
    <w:rPr>
      <w:rFonts w:ascii="Calibri Light" w:hAnsi="Calibri Light" w:eastAsia="Calibri Light" w:cs="Calibri Light"/>
      <w:color w:val="2F5496"/>
    </w:rPr>
  </w:style>
  <w:style w:type="character" w:styleId="Ttulo6Car" w:customStyle="1">
    <w:name w:val="Título 6 Car"/>
    <w:basedOn w:val="Fuentedeprrafopredeter"/>
    <w:rPr>
      <w:rFonts w:ascii="Calibri Light" w:hAnsi="Calibri Light" w:eastAsia="Calibri Light" w:cs="Calibri Light"/>
      <w:color w:val="1F3763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/>
      <w:ind w:left="-851"/>
    </w:pPr>
    <w:rPr>
      <w:rFonts w:ascii="Arial" w:hAnsi="Arial" w:eastAsia="Arial" w:cs="Arial"/>
    </w:rPr>
  </w:style>
  <w:style w:type="character" w:styleId="EncabezadoCar" w:customStyle="1">
    <w:name w:val="Encabezado Car"/>
    <w:basedOn w:val="Fuentedeprrafopredeter"/>
    <w:rPr>
      <w:rFonts w:ascii="Arial" w:hAnsi="Arial" w:eastAsia="Arial" w:cs="Arial"/>
    </w:rPr>
  </w:style>
  <w:style w:type="character" w:styleId="PiedepginaCar" w:customStyle="1">
    <w:name w:val="Pie de página Car"/>
    <w:basedOn w:val="Fuentedeprrafopredeter"/>
    <w:rPr>
      <w:rFonts w:ascii="Arial" w:hAnsi="Arial" w:eastAsia="Arial" w:cs="Arial"/>
    </w:rPr>
  </w:style>
  <w:style w:type="table" w:styleId="NormalTablee9e2c3c7-4918-49e1-8631-17a316a335e6" w:customStyle="1">
    <w:name w:val="Normal Table_e9e2c3c7-4918-49e1-8631-17a316a335e6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NormalTablee9e2c3c7-4918-49e1-8631-17a316a335e6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eading7Char" w:customStyle="1">
    <w:name w:val="Heading 7 Char"/>
    <w:basedOn w:val="Fuentedeprrafopredeter"/>
    <w:rPr>
      <w:rFonts w:ascii="Calibri Light" w:hAnsi="Calibri Light" w:eastAsia="Calibri Light"/>
      <w:i/>
      <w:color w:val="1F3763"/>
    </w:rPr>
  </w:style>
  <w:style w:type="character" w:styleId="Heading8Char" w:customStyle="1">
    <w:name w:val="Heading 8 Char"/>
    <w:basedOn w:val="Fuentedeprrafopredeter"/>
    <w:rPr>
      <w:rFonts w:ascii="Calibri Light" w:hAnsi="Calibri Light" w:eastAsia="Calibri Light"/>
      <w:color w:val="333333"/>
      <w:sz w:val="21"/>
    </w:rPr>
  </w:style>
  <w:style w:type="character" w:styleId="Heading9Char" w:customStyle="1">
    <w:name w:val="Heading 9 Char"/>
    <w:basedOn w:val="Fuentedeprrafopredeter"/>
    <w:rPr>
      <w:rFonts w:ascii="Calibri Light" w:hAnsi="Calibri Light" w:eastAsia="Calibri Light"/>
      <w:i/>
      <w:color w:val="333333"/>
      <w:sz w:val="21"/>
    </w:rPr>
  </w:style>
  <w:style w:type="paragraph" w:styleId="Textodeglobo">
    <w:name w:val="Balloon Text"/>
    <w:basedOn w:val="Normal"/>
    <w:pPr>
      <w:spacing/>
    </w:pPr>
    <w:rPr>
      <w:rFonts w:ascii="Tahoma" w:hAnsi="Tahoma" w:eastAsia="Tahoma" w:cs="Tahoma"/>
      <w:sz w:val="16"/>
      <w:szCs w:val="16"/>
    </w:rPr>
  </w:style>
  <w:style w:type="character" w:styleId="TextodegloboCar" w:customStyle="1">
    <w:name w:val="Texto de globo Car"/>
    <w:basedOn w:val="Fuentedeprrafopredeter"/>
    <w:rPr>
      <w:rFonts w:ascii="Tahoma" w:hAnsi="Tahoma" w:eastAsia="Tahoma" w:cs="Tahoma"/>
      <w:sz w:val="16"/>
      <w:szCs w:val="16"/>
    </w:rPr>
  </w:style>
  <w:style w:type="paragraph" w:styleId="Textoindependiente">
    <w:name w:val="Body Text"/>
    <w:basedOn w:val="Normal"/>
    <w:pPr>
      <w:spacing w:line="360" w:lineRule="auto"/>
    </w:pPr>
    <w:rPr>
      <w:sz w:val="24"/>
      <w:szCs w:val="20"/>
    </w:rPr>
  </w:style>
  <w:style w:type="paragraph" w:styleId="NormalWeb">
    <w:name w:val="Normal (Web)"/>
    <w:basedOn w:val="Normal"/>
    <w:pPr>
      <w:spacing w:after="240"/>
    </w:pPr>
    <w:rPr>
      <w:rFonts w:ascii="Times New Roman" w:hAnsi="Times New Roman" w:eastAsia="Times New Roman"/>
      <w:sz w:val="24"/>
    </w:rPr>
  </w:style>
  <w:style w:type="paragraph" w:styleId="Mapadeldocumento">
    <w:name w:val="Document Map"/>
    <w:basedOn w:val="Normal"/>
    <w:pPr>
      <w:spacing/>
    </w:pPr>
    <w:rPr>
      <w:rFonts w:ascii="Tahoma" w:hAnsi="Tahoma" w:eastAsia="Tahoma" w:cs="Tahoma"/>
      <w:sz w:val="20"/>
      <w:szCs w:val="20"/>
    </w:rPr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Prrafodelista">
    <w:name w:val="List Paragraph"/>
    <w:basedOn w:val="Normal"/>
    <w:pPr>
      <w:spacing/>
      <w:ind w:left="708"/>
    </w:pPr>
    <w:rPr/>
  </w:style>
  <w:style w:type="character" w:styleId="Refdecomentario1" w:customStyle="1">
    <w:name w:val="Ref. de comentario1"/>
    <w:basedOn w:val="Fuentedeprrafopredeter"/>
    <w:rPr>
      <w:sz w:val="16"/>
      <w:szCs w:val="16"/>
    </w:rPr>
  </w:style>
  <w:style w:type="paragraph" w:styleId="Textocomentario1" w:customStyle="1">
    <w:name w:val="Texto comentario1"/>
    <w:basedOn w:val="Normal"/>
    <w:pPr>
      <w:spacing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rPr>
      <w:rFonts w:ascii="Arial" w:hAnsi="Arial" w:eastAsia="Arial"/>
    </w:rPr>
  </w:style>
  <w:style w:type="paragraph" w:styleId="Asuntodelcomentario1" w:customStyle="1">
    <w:name w:val="Asunto del comentario1"/>
    <w:basedOn w:val="Textocomentario1"/>
    <w:next w:val="Textocomentario1"/>
    <w:pPr>
      <w:spacing/>
    </w:pPr>
    <w:rPr>
      <w:b/>
      <w:bCs/>
    </w:rPr>
  </w:style>
  <w:style w:type="character" w:styleId="AsuntodelcomentarioCar" w:customStyle="1">
    <w:name w:val="Asunto del comentario Car"/>
    <w:basedOn w:val="Fuentedeprrafopredeter"/>
    <w:rPr>
      <w:rFonts w:ascii="Arial" w:hAnsi="Arial" w:eastAsia="Arial"/>
      <w:b/>
      <w:bCs/>
    </w:rPr>
  </w:style>
  <w:style w:type="character" w:styleId="Heading1Char" w:customStyle="1">
    <w:name w:val="Heading 1 Char"/>
    <w:basedOn w:val="Fuentedeprrafopredeter"/>
    <w:rPr>
      <w:rFonts w:ascii="Calibri Light" w:hAnsi="Calibri Light" w:eastAsia="Calibri Light"/>
      <w:color w:val="2F5496"/>
      <w:sz w:val="32"/>
    </w:rPr>
  </w:style>
  <w:style w:type="character" w:styleId="Heading2Char" w:customStyle="1">
    <w:name w:val="Heading 2 Char"/>
    <w:basedOn w:val="Fuentedeprrafopredeter"/>
    <w:rPr>
      <w:rFonts w:ascii="Calibri Light" w:hAnsi="Calibri Light" w:eastAsia="Calibri Light"/>
      <w:color w:val="2F5496"/>
      <w:sz w:val="26"/>
    </w:rPr>
  </w:style>
  <w:style w:type="character" w:styleId="Heading3Char" w:customStyle="1">
    <w:name w:val="Heading 3 Char"/>
    <w:basedOn w:val="Fuentedeprrafopredeter"/>
    <w:rPr>
      <w:rFonts w:ascii="Calibri Light" w:hAnsi="Calibri Light" w:eastAsia="Calibri Light"/>
      <w:color w:val="1F3763"/>
      <w:sz w:val="24"/>
    </w:rPr>
  </w:style>
  <w:style w:type="character" w:styleId="Heading4Char" w:customStyle="1">
    <w:name w:val="Heading 4 Char"/>
    <w:basedOn w:val="Fuentedeprrafopredeter"/>
    <w:rPr>
      <w:rFonts w:ascii="Calibri Light" w:hAnsi="Calibri Light" w:eastAsia="Calibri Light"/>
      <w:i/>
      <w:color w:val="2F5496"/>
    </w:rPr>
  </w:style>
  <w:style w:type="character" w:styleId="Heading5Char" w:customStyle="1">
    <w:name w:val="Heading 5 Char"/>
    <w:basedOn w:val="Fuentedeprrafopredeter"/>
    <w:rPr>
      <w:rFonts w:ascii="Calibri Light" w:hAnsi="Calibri Light" w:eastAsia="Calibri Light"/>
      <w:color w:val="2F5496"/>
    </w:rPr>
  </w:style>
  <w:style w:type="character" w:styleId="Heading6Char" w:customStyle="1">
    <w:name w:val="Heading 6 Char"/>
    <w:basedOn w:val="Fuentedeprrafopredeter"/>
    <w:rPr>
      <w:rFonts w:ascii="Calibri Light" w:hAnsi="Calibri Light" w:eastAsia="Calibri Light"/>
      <w:color w:val="1F3763"/>
    </w:rPr>
  </w:style>
  <w:style w:type="paragraph" w:styleId="Resolucion" w:customStyle="1">
    <w:name w:val="Resolucion"/>
    <w:basedOn w:val="Normal"/>
    <w:pPr>
      <w:tabs>
        <w:tab w:val="left" w:pos="720"/>
        <w:tab w:val="center" w:pos="3888"/>
      </w:tabs>
      <w:spacing w:after="240" w:line="360" w:lineRule="auto"/>
      <w:ind w:firstLine="709"/>
      <w:jc w:val="both"/>
    </w:pPr>
    <w:rPr>
      <w:rFonts w:ascii="Arial" w:hAnsi="Arial" w:eastAsia="Arial" w:cs="Arial"/>
      <w:color w:val="auto"/>
      <w:lang w:val="es-ES-tradnl" w:bidi="es-ES"/>
    </w:rPr>
  </w:style>
</w:styles>
</file>

<file path=word/_rels/document.xml.rels>&#65279;<?xml version="1.0" encoding="utf-8" standalone="yes"?><Relationships xmlns="http://schemas.openxmlformats.org/package/2006/relationships"><Relationship Id="rId15" Type="http://schemas.openxmlformats.org/officeDocument/2006/relationships/styles" Target="styles.xml" /><Relationship Id="rId16" Type="http://schemas.openxmlformats.org/officeDocument/2006/relationships/settings" Target="settings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" Type="http://schemas.openxmlformats.org/officeDocument/2006/relationships/footer" Target="footer1.xml" /><Relationship Id="rId2" Type="http://schemas.openxmlformats.org/officeDocument/2006/relationships/header" Target="header2.xml" /><Relationship Id="rId19" Type="http://schemas.openxmlformats.org/officeDocument/2006/relationships/fontTable" Target="fontTable.xml" /></Relationships>
</file>

<file path=word/_rels/header2.xml.rels>&#65279;<?xml version="1.0" encoding="utf-8" standalone="yes"?><Relationships xmlns="http://schemas.openxmlformats.org/package/2006/relationships"><Relationship Id="rId3" Type="http://schemas.openxmlformats.org/officeDocument/2006/relationships/image" Target="media/image1.png" /><Relationship Id="rId4" Type="http://schemas.openxmlformats.org/officeDocument/2006/relationships/image" Target="media/image2.png" /><Relationship Id="rId5" Type="http://schemas.openxmlformats.org/officeDocument/2006/relationships/image" Target="media/image3.jpeg" /><Relationship Id="rId6" Type="http://schemas.openxmlformats.org/officeDocument/2006/relationships/image" Target="media/image4.emf" /><Relationship Id="rId7" Type="http://schemas.openxmlformats.org/officeDocument/2006/relationships/image" Target="media/image5.png" /><Relationship Id="rId8" Type="http://schemas.openxmlformats.org/officeDocument/2006/relationships/image" Target="media/image6.png" /><Relationship Id="rId9" Type="http://schemas.openxmlformats.org/officeDocument/2006/relationships/image" Target="media/image1.png" /><Relationship Id="rId10" Type="http://schemas.openxmlformats.org/officeDocument/2006/relationships/image" Target="media/image2.png" /><Relationship Id="rId11" Type="http://schemas.openxmlformats.org/officeDocument/2006/relationships/image" Target="media/image3.jpeg" /><Relationship Id="rId12" Type="http://schemas.openxmlformats.org/officeDocument/2006/relationships/image" Target="media/image4.emf" /><Relationship Id="rId13" Type="http://schemas.openxmlformats.org/officeDocument/2006/relationships/image" Target="media/image5.png" /><Relationship Id="rId14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 xmlns:a="http://schemas.openxmlformats.org/drawingml/2006/main"/>
  <a:extraClrSchemeLst xmlns:a="http://schemas.openxmlformats.org/drawingml/2006/main"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</Template>
  <TotalTime>7</TotalTime>
  <Pages>2</Pages>
  <Words>595</Words>
  <Characters>3275</Characters>
  <Application>Microsoft Office Word</Application>
  <DocSecurity>0</DocSecurity>
  <Lines>27</Lines>
  <Paragraphs>7</Paragraphs>
  <Company>Gobierno de Navarra</Company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Zaratiegi Martínez, Eva (Departamento DRyMA)</cp:lastModifiedBy>
  <cp:revision>2</cp:revision>
  <dcterms:created xsi:type="dcterms:W3CDTF">2025-07-14T07:10:00Z</dcterms:created>
  <dcterms:modified xsi:type="dcterms:W3CDTF">2025-08-04T11:32:00Z</dcterms:modified>
</cp:coreProperties>
</file>