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6B" w:rsidRPr="00F50FEC" w:rsidRDefault="00273203" w:rsidP="0036596B">
      <w:pPr>
        <w:pStyle w:val="Ttulo2"/>
        <w:numPr>
          <w:ilvl w:val="0"/>
          <w:numId w:val="0"/>
        </w:numPr>
        <w:jc w:val="both"/>
      </w:pPr>
      <w:bookmarkStart w:id="0" w:name="_Toc67568535"/>
      <w:r>
        <w:t xml:space="preserve">anexo iii: </w:t>
      </w:r>
      <w:bookmarkStart w:id="1" w:name="_GoBack"/>
      <w:r>
        <w:t xml:space="preserve">CRITERIOS, </w:t>
      </w:r>
      <w:r w:rsidR="0036596B" w:rsidRPr="00F50FEC">
        <w:t>METODOLOGÍA E INDICADORES DE EVALUACIÓN</w:t>
      </w:r>
      <w:bookmarkEnd w:id="0"/>
    </w:p>
    <w:bookmarkEnd w:id="1"/>
    <w:p w:rsidR="0036596B" w:rsidRPr="00810C7A" w:rsidRDefault="0036596B" w:rsidP="0036596B">
      <w:pPr>
        <w:overflowPunct w:val="0"/>
        <w:autoSpaceDE w:val="0"/>
        <w:autoSpaceDN w:val="0"/>
        <w:adjustRightInd w:val="0"/>
        <w:spacing w:after="240"/>
        <w:textAlignment w:val="baseline"/>
        <w:rPr>
          <w:rFonts w:ascii="Calibri" w:hAnsi="Calibri"/>
          <w:lang w:val="es-ES_tradnl"/>
        </w:rPr>
      </w:pPr>
      <w:r w:rsidRPr="00810C7A">
        <w:rPr>
          <w:rFonts w:ascii="Calibri" w:hAnsi="Calibri"/>
          <w:lang w:val="es-ES_tradnl"/>
        </w:rPr>
        <w:t xml:space="preserve"> </w:t>
      </w:r>
    </w:p>
    <w:p w:rsidR="0036596B" w:rsidRPr="00810C7A" w:rsidRDefault="0036596B" w:rsidP="0036596B">
      <w:pPr>
        <w:pStyle w:val="Ttulo3"/>
        <w:numPr>
          <w:ilvl w:val="2"/>
          <w:numId w:val="2"/>
        </w:numPr>
      </w:pPr>
      <w:bookmarkStart w:id="2" w:name="_Toc67568536"/>
      <w:r w:rsidRPr="00810C7A">
        <w:t>EVALUACIÓN Y SEGUIMIENTO</w:t>
      </w:r>
      <w:bookmarkEnd w:id="2"/>
      <w:r w:rsidRPr="00810C7A">
        <w:t xml:space="preserve"> </w:t>
      </w:r>
    </w:p>
    <w:p w:rsidR="0036596B" w:rsidRPr="00810C7A" w:rsidRDefault="0036596B" w:rsidP="0036596B">
      <w:pPr>
        <w:rPr>
          <w:lang w:val="es-ES_tradnl" w:eastAsia="zh-CN"/>
        </w:rPr>
      </w:pPr>
      <w:r w:rsidRPr="00810C7A">
        <w:rPr>
          <w:lang w:val="es-ES_tradnl" w:eastAsia="zh-CN"/>
        </w:rPr>
        <w:t>La</w:t>
      </w:r>
      <w:r>
        <w:rPr>
          <w:lang w:val="es-ES_tradnl" w:eastAsia="zh-CN"/>
        </w:rPr>
        <w:t xml:space="preserve"> </w:t>
      </w:r>
      <w:r w:rsidRPr="00810C7A">
        <w:rPr>
          <w:lang w:val="es-ES_tradnl" w:eastAsia="zh-CN"/>
        </w:rPr>
        <w:t>evaluación hace referencia al análisis valorativo y juicio emitido, de acuerdo a determin</w:t>
      </w:r>
      <w:r>
        <w:rPr>
          <w:lang w:val="es-ES_tradnl" w:eastAsia="zh-CN"/>
        </w:rPr>
        <w:t xml:space="preserve">ados criterios preestablecidos </w:t>
      </w:r>
      <w:r w:rsidRPr="00810C7A">
        <w:rPr>
          <w:lang w:val="es-ES_tradnl" w:eastAsia="zh-CN"/>
        </w:rPr>
        <w:t xml:space="preserve">sobre actividades y resultados de un proyecto </w:t>
      </w:r>
      <w:r>
        <w:rPr>
          <w:lang w:val="es-ES_tradnl" w:eastAsia="zh-CN"/>
        </w:rPr>
        <w:t xml:space="preserve">de intervención en el ámbito de la discapacidad. </w:t>
      </w:r>
      <w:r w:rsidRPr="00810C7A">
        <w:rPr>
          <w:lang w:val="es-ES_tradnl" w:eastAsia="zh-CN"/>
        </w:rPr>
        <w:t>De manera que sea posible valorar y establecer conclusiones acerca de la pertinencia y logro de objetivos, la eficiencia, el impacto y la sustentabilidad de las acciones, así como de las estrategias utilizadas y los recursos asignados.</w:t>
      </w:r>
    </w:p>
    <w:p w:rsidR="0036596B" w:rsidRPr="00810C7A" w:rsidRDefault="0036596B" w:rsidP="0036596B">
      <w:pPr>
        <w:rPr>
          <w:i/>
          <w:lang w:val="es-ES_tradnl" w:eastAsia="zh-CN"/>
        </w:rPr>
      </w:pPr>
      <w:r w:rsidRPr="00810C7A">
        <w:rPr>
          <w:lang w:val="es-ES_tradnl" w:eastAsia="zh-CN"/>
        </w:rPr>
        <w:t>En</w:t>
      </w:r>
      <w:r>
        <w:rPr>
          <w:lang w:val="es-ES_tradnl" w:eastAsia="zh-CN"/>
        </w:rPr>
        <w:t xml:space="preserve"> </w:t>
      </w:r>
      <w:r w:rsidRPr="00810C7A">
        <w:rPr>
          <w:lang w:val="es-ES_tradnl" w:eastAsia="zh-CN"/>
        </w:rPr>
        <w:t>este sentido, el desarrollo y la buena ejecución del presente concierto será objeto de un proceso de seguimiento y evaluación continua, con la finalidad de asegurar que responde a las indicaciones y exigencias recogidas en las condiciones técnicas y administrativas que regulan la ejecución del mismo. Así mismo, los resultados de dicha evaluación constituirán la base, en los términos establecidos en el artículo 10.1 (Evaluación de los conciertos), de la Ley Foral  13/2017, de 16 de noviembre, de conciertos sociales en los ámbitos de Salud y Servicios Sociales, para valorar si: “</w:t>
      </w:r>
      <w:r w:rsidRPr="00810C7A">
        <w:rPr>
          <w:i/>
          <w:lang w:val="es-ES_tradnl" w:eastAsia="zh-CN"/>
        </w:rPr>
        <w:t>procede prorrogarlos y para determinar si se mantiene o no la prestación mediante el régimen de concierto social, pudiendo también servir de base para las valoraciones en el acceso a otros conciertos y para la evaluación de la normativa reguladora de los conciertos.</w:t>
      </w:r>
    </w:p>
    <w:p w:rsidR="0036596B" w:rsidRPr="00810C7A" w:rsidRDefault="0036596B" w:rsidP="0036596B">
      <w:pPr>
        <w:rPr>
          <w:lang w:val="es-ES_tradnl"/>
        </w:rPr>
      </w:pPr>
      <w:r w:rsidRPr="00810C7A">
        <w:rPr>
          <w:lang w:val="es-ES_tradnl"/>
        </w:rPr>
        <w:t>Se</w:t>
      </w:r>
      <w:r>
        <w:rPr>
          <w:lang w:val="es-ES_tradnl"/>
        </w:rPr>
        <w:t xml:space="preserve"> </w:t>
      </w:r>
      <w:r w:rsidRPr="00810C7A">
        <w:rPr>
          <w:lang w:val="es-ES_tradnl"/>
        </w:rPr>
        <w:t>quiere pues plantear un modelo de evaluación integral, que vaya más allá de la cuantificación de los resultados finales. Una evaluación que aporte conocimiento, elementos para el cambio y el análisis cuantitativo/ cualitativo de experiencias de intervención que puedan llegar a ser punto de partida de nuevos proyectos.</w:t>
      </w:r>
    </w:p>
    <w:p w:rsidR="0036596B" w:rsidRPr="00810C7A" w:rsidRDefault="0036596B" w:rsidP="0036596B">
      <w:pPr>
        <w:rPr>
          <w:lang w:val="es-ES_tradnl"/>
        </w:rPr>
      </w:pPr>
      <w:r w:rsidRPr="00810C7A">
        <w:rPr>
          <w:lang w:val="es-ES_tradnl"/>
        </w:rPr>
        <w:t>Supone</w:t>
      </w:r>
      <w:r>
        <w:rPr>
          <w:lang w:val="es-ES_tradnl"/>
        </w:rPr>
        <w:t xml:space="preserve"> </w:t>
      </w:r>
      <w:r w:rsidRPr="00810C7A">
        <w:rPr>
          <w:lang w:val="es-ES_tradnl"/>
        </w:rPr>
        <w:t xml:space="preserve">una mirada retrospectiva e introspectiva que desde el ámbito personal y grupal hacemos para el análisis valorativo del “qué, el cómo, el con qué y por qué” de los procesos de intervención. Una mirada que haga posible identificar: 1ª) los aspectos positivos y los aspectos a mejorar; 2ª) la adecuación de la intervención en cuanto a su modelo y metodología; 3ª) los </w:t>
      </w:r>
      <w:r>
        <w:rPr>
          <w:lang w:val="es-ES_tradnl"/>
        </w:rPr>
        <w:t xml:space="preserve">recursos; </w:t>
      </w:r>
      <w:r w:rsidRPr="00810C7A">
        <w:rPr>
          <w:lang w:val="es-ES_tradnl"/>
        </w:rPr>
        <w:t>y 4ª) la relación con los usuarios/as, con los contextos y con las instituciones.</w:t>
      </w:r>
    </w:p>
    <w:p w:rsidR="0036596B" w:rsidRPr="00810C7A" w:rsidRDefault="0036596B" w:rsidP="0036596B">
      <w:pPr>
        <w:rPr>
          <w:lang w:val="es-ES_tradnl"/>
        </w:rPr>
      </w:pPr>
      <w:r w:rsidRPr="00810C7A">
        <w:rPr>
          <w:lang w:val="es-ES_tradnl"/>
        </w:rPr>
        <w:t>Se</w:t>
      </w:r>
      <w:r>
        <w:rPr>
          <w:lang w:val="es-ES_tradnl"/>
        </w:rPr>
        <w:t xml:space="preserve"> </w:t>
      </w:r>
      <w:r w:rsidRPr="00810C7A">
        <w:rPr>
          <w:lang w:val="es-ES_tradnl"/>
        </w:rPr>
        <w:t xml:space="preserve">plantea una evaluación coparticipada, desde una dimensión inclusiva y multidisciplinar, a partir de la implicación de los usuarios/as, profesionales, agentes, contrapartes e instituciones externas. De esta manera, se quiere compensar la visión subjetivista y muchas veces unidireccional (enfocada únicamente a la cuantificación de los resultados) que desde una posición estrictamente interna o externa pueda darse, por una aproximación desde la </w:t>
      </w:r>
      <w:proofErr w:type="spellStart"/>
      <w:r w:rsidRPr="00810C7A">
        <w:rPr>
          <w:lang w:val="es-ES_tradnl"/>
        </w:rPr>
        <w:t>multidisciplinaridad</w:t>
      </w:r>
      <w:proofErr w:type="spellEnd"/>
      <w:r w:rsidRPr="00810C7A">
        <w:rPr>
          <w:lang w:val="es-ES_tradnl"/>
        </w:rPr>
        <w:t>, pluralidad, origen e implicación de las figuras y referentes evaluadores.</w:t>
      </w:r>
    </w:p>
    <w:p w:rsidR="0036596B" w:rsidRDefault="0036596B" w:rsidP="0036596B">
      <w:pPr>
        <w:rPr>
          <w:lang w:val="es-ES_tradnl"/>
        </w:rPr>
      </w:pPr>
      <w:r w:rsidRPr="00810C7A">
        <w:rPr>
          <w:lang w:val="es-ES_tradnl"/>
        </w:rPr>
        <w:t>Por</w:t>
      </w:r>
      <w:r>
        <w:rPr>
          <w:lang w:val="es-ES_tradnl"/>
        </w:rPr>
        <w:t xml:space="preserve"> </w:t>
      </w:r>
      <w:r w:rsidRPr="00810C7A">
        <w:rPr>
          <w:lang w:val="es-ES_tradnl"/>
        </w:rPr>
        <w:t xml:space="preserve">último, se plantea un modelo de evaluación sistemática, planificada, dirigida y protocolizada. Entendiendo que ésta además de su dimensión ideológica (si el proyecto responde al encargo social) y pragmática (en base a los resultados), debe de tener una dimensión científico- técnica que posibilite </w:t>
      </w:r>
      <w:r w:rsidRPr="00810C7A">
        <w:rPr>
          <w:lang w:val="es-ES_tradnl"/>
        </w:rPr>
        <w:lastRenderedPageBreak/>
        <w:t xml:space="preserve">una buena operatividad en su desarrollo, y un </w:t>
      </w:r>
      <w:r>
        <w:rPr>
          <w:lang w:val="es-ES_tradnl"/>
        </w:rPr>
        <w:t>aumento</w:t>
      </w:r>
      <w:r w:rsidRPr="00810C7A">
        <w:rPr>
          <w:lang w:val="es-ES_tradnl"/>
        </w:rPr>
        <w:t xml:space="preserve"> de la objetividad en la valoración de los datos. Esto es, mediante la sistematización- estructuración de las técnicas de recogida de información, el análisis documental, el establecimiento de indicadores y la interpretación estadística de los datos.</w:t>
      </w:r>
    </w:p>
    <w:p w:rsidR="0036596B" w:rsidRPr="00810C7A" w:rsidRDefault="0036596B" w:rsidP="0036596B">
      <w:pPr>
        <w:rPr>
          <w:lang w:val="es-ES_tradnl"/>
        </w:rPr>
      </w:pPr>
    </w:p>
    <w:p w:rsidR="0036596B" w:rsidRPr="00810C7A" w:rsidRDefault="0036596B" w:rsidP="0036596B">
      <w:pPr>
        <w:pStyle w:val="Ttulo3"/>
        <w:numPr>
          <w:ilvl w:val="2"/>
          <w:numId w:val="2"/>
        </w:numPr>
      </w:pPr>
      <w:bookmarkStart w:id="3" w:name="_Toc67568537"/>
      <w:r w:rsidRPr="00810C7A">
        <w:t>METODOLOGÍA</w:t>
      </w:r>
      <w:bookmarkEnd w:id="3"/>
    </w:p>
    <w:p w:rsidR="0036596B" w:rsidRPr="00810C7A" w:rsidRDefault="0036596B" w:rsidP="0036596B">
      <w:pPr>
        <w:rPr>
          <w:lang w:val="es-ES_tradnl"/>
        </w:rPr>
      </w:pPr>
      <w:r w:rsidRPr="00810C7A">
        <w:rPr>
          <w:lang w:val="es-ES_tradnl"/>
        </w:rPr>
        <w:t>En</w:t>
      </w:r>
      <w:r>
        <w:rPr>
          <w:lang w:val="es-ES_tradnl"/>
        </w:rPr>
        <w:t xml:space="preserve"> </w:t>
      </w:r>
      <w:r w:rsidRPr="00810C7A">
        <w:rPr>
          <w:lang w:val="es-ES_tradnl"/>
        </w:rPr>
        <w:t>coherencia con todo lo anterior, se parte de un modelo de evaluación cuya metodología está planteada desde la acción y la participación, en tanto que pretende implicar en su desarrollo a usuarios/as, profesionales, agentes e instituciones externas. Por otro lado, se pretende también un modelo metodológico que interrelacione la dimensión cuantitativa y cualitativa, en base a dar respuesta desde el análisis valorativo y</w:t>
      </w:r>
      <w:r>
        <w:rPr>
          <w:lang w:val="es-ES_tradnl"/>
        </w:rPr>
        <w:t xml:space="preserve"> el contraste</w:t>
      </w:r>
      <w:r w:rsidRPr="00810C7A">
        <w:rPr>
          <w:lang w:val="es-ES_tradnl"/>
        </w:rPr>
        <w:t xml:space="preserve"> de indicadores.</w:t>
      </w:r>
    </w:p>
    <w:p w:rsidR="0036596B" w:rsidRPr="00810C7A" w:rsidRDefault="0036596B" w:rsidP="0036596B">
      <w:pPr>
        <w:pStyle w:val="Ttulo4"/>
        <w:numPr>
          <w:ilvl w:val="3"/>
          <w:numId w:val="2"/>
        </w:numPr>
        <w:ind w:left="1288"/>
      </w:pPr>
      <w:r w:rsidRPr="00810C7A">
        <w:t xml:space="preserve">Objetivos de la evaluación. </w:t>
      </w:r>
    </w:p>
    <w:p w:rsidR="0036596B" w:rsidRPr="00810C7A" w:rsidRDefault="0036596B" w:rsidP="0036596B">
      <w:pPr>
        <w:rPr>
          <w:lang w:val="es-ES_tradnl"/>
        </w:rPr>
      </w:pPr>
      <w:r w:rsidRPr="00810C7A">
        <w:rPr>
          <w:lang w:val="es-ES_tradnl"/>
        </w:rPr>
        <w:t>En</w:t>
      </w:r>
      <w:r>
        <w:rPr>
          <w:lang w:val="es-ES_tradnl"/>
        </w:rPr>
        <w:t xml:space="preserve"> </w:t>
      </w:r>
      <w:r w:rsidRPr="00810C7A">
        <w:rPr>
          <w:lang w:val="es-ES_tradnl"/>
        </w:rPr>
        <w:t>coherencia con lo anteriormente expuesto, el modelo de evaluación y la metodología propuesta tiene por objetivo:</w:t>
      </w:r>
    </w:p>
    <w:p w:rsidR="0036596B" w:rsidRPr="00583544" w:rsidRDefault="0036596B" w:rsidP="0036596B">
      <w:pPr>
        <w:pStyle w:val="Prrafodelista"/>
        <w:numPr>
          <w:ilvl w:val="0"/>
          <w:numId w:val="3"/>
        </w:numPr>
        <w:rPr>
          <w:b/>
        </w:rPr>
      </w:pPr>
      <w:r w:rsidRPr="00583544">
        <w:t>Medir los factores que puedan dificultar o favorecer la intervención.</w:t>
      </w:r>
    </w:p>
    <w:p w:rsidR="0036596B" w:rsidRPr="00583544" w:rsidRDefault="0036596B" w:rsidP="0036596B">
      <w:pPr>
        <w:pStyle w:val="Prrafodelista"/>
        <w:numPr>
          <w:ilvl w:val="0"/>
          <w:numId w:val="3"/>
        </w:numPr>
        <w:rPr>
          <w:b/>
        </w:rPr>
      </w:pPr>
      <w:r w:rsidRPr="00583544">
        <w:t>Apreciar la efectividad de los esfuerzos realizados.</w:t>
      </w:r>
    </w:p>
    <w:p w:rsidR="0036596B" w:rsidRPr="00583544" w:rsidRDefault="0036596B" w:rsidP="0036596B">
      <w:pPr>
        <w:pStyle w:val="Prrafodelista"/>
        <w:numPr>
          <w:ilvl w:val="0"/>
          <w:numId w:val="3"/>
        </w:numPr>
        <w:rPr>
          <w:b/>
        </w:rPr>
      </w:pPr>
      <w:r w:rsidRPr="00583544">
        <w:t>Orientar la toma de decisiones e intervenciones futuras.</w:t>
      </w:r>
    </w:p>
    <w:p w:rsidR="0036596B" w:rsidRPr="00583544" w:rsidRDefault="0036596B" w:rsidP="0036596B">
      <w:pPr>
        <w:pStyle w:val="Prrafodelista"/>
        <w:numPr>
          <w:ilvl w:val="0"/>
          <w:numId w:val="3"/>
        </w:numPr>
        <w:rPr>
          <w:b/>
        </w:rPr>
      </w:pPr>
      <w:r w:rsidRPr="00583544">
        <w:t>Medir la distancia entre los objetivos prefijados y los</w:t>
      </w:r>
      <w:r>
        <w:t xml:space="preserve"> </w:t>
      </w:r>
      <w:r w:rsidRPr="00583544">
        <w:t>resultados obtenidos.</w:t>
      </w:r>
    </w:p>
    <w:p w:rsidR="0036596B" w:rsidRPr="00583544" w:rsidRDefault="0036596B" w:rsidP="0036596B">
      <w:pPr>
        <w:pStyle w:val="Prrafodelista"/>
        <w:numPr>
          <w:ilvl w:val="0"/>
          <w:numId w:val="3"/>
        </w:numPr>
        <w:rPr>
          <w:b/>
        </w:rPr>
      </w:pPr>
      <w:r w:rsidRPr="00583544">
        <w:t xml:space="preserve">Extraer elementos y experiencias que permitan estructurar y protocolizar intervenciones futuras. </w:t>
      </w:r>
    </w:p>
    <w:p w:rsidR="0036596B" w:rsidRPr="00583544" w:rsidRDefault="0036596B" w:rsidP="0036596B">
      <w:pPr>
        <w:pStyle w:val="Prrafodelista"/>
        <w:numPr>
          <w:ilvl w:val="0"/>
          <w:numId w:val="3"/>
        </w:numPr>
        <w:rPr>
          <w:b/>
        </w:rPr>
      </w:pPr>
      <w:r w:rsidRPr="00583544">
        <w:t>Mejorar el conocimiento del contexto de intervención.</w:t>
      </w:r>
    </w:p>
    <w:p w:rsidR="0036596B" w:rsidRPr="00583544" w:rsidRDefault="0036596B" w:rsidP="0036596B">
      <w:pPr>
        <w:pStyle w:val="Prrafodelista"/>
        <w:numPr>
          <w:ilvl w:val="0"/>
          <w:numId w:val="3"/>
        </w:numPr>
        <w:rPr>
          <w:b/>
        </w:rPr>
      </w:pPr>
      <w:r w:rsidRPr="00583544">
        <w:t>Conciliar en la medida de lo posible el encargo social, las necesidades de los/as usuarios/as y un modelo y metodología de intervención garantista para con sus derechos.</w:t>
      </w:r>
    </w:p>
    <w:p w:rsidR="0036596B" w:rsidRPr="00810C7A" w:rsidRDefault="0036596B" w:rsidP="0036596B">
      <w:pPr>
        <w:pStyle w:val="Ttulo4"/>
        <w:numPr>
          <w:ilvl w:val="3"/>
          <w:numId w:val="2"/>
        </w:numPr>
        <w:ind w:left="1288"/>
      </w:pPr>
      <w:r w:rsidRPr="00810C7A">
        <w:t xml:space="preserve">Tipos de evaluación. </w:t>
      </w:r>
    </w:p>
    <w:p w:rsidR="0036596B" w:rsidRPr="00583544" w:rsidRDefault="0036596B" w:rsidP="0036596B">
      <w:pPr>
        <w:pStyle w:val="Prrafodelista"/>
        <w:numPr>
          <w:ilvl w:val="0"/>
          <w:numId w:val="4"/>
        </w:numPr>
        <w:rPr>
          <w:b/>
        </w:rPr>
      </w:pPr>
      <w:r w:rsidRPr="00583544">
        <w:rPr>
          <w:b/>
        </w:rPr>
        <w:t xml:space="preserve">De resultados: </w:t>
      </w:r>
    </w:p>
    <w:p w:rsidR="0036596B" w:rsidRPr="00810C7A" w:rsidRDefault="0036596B" w:rsidP="0036596B">
      <w:pPr>
        <w:rPr>
          <w:lang w:val="es-ES_tradnl"/>
        </w:rPr>
      </w:pPr>
      <w:r w:rsidRPr="00810C7A">
        <w:rPr>
          <w:lang w:val="es-ES_tradnl"/>
        </w:rPr>
        <w:t>Dirigida</w:t>
      </w:r>
      <w:r>
        <w:rPr>
          <w:lang w:val="es-ES_tradnl"/>
        </w:rPr>
        <w:t xml:space="preserve"> a</w:t>
      </w:r>
      <w:r w:rsidRPr="00810C7A">
        <w:rPr>
          <w:lang w:val="es-ES_tradnl"/>
        </w:rPr>
        <w:t xml:space="preserve"> valorar hasta qué punto se pueden conseguir, se están consiguiendo o se han conseguido, los objetivos, actividades, protocolos... que forman parte de las condiciones técnicas del concierto. Así mismo se evalúa en términos de eficacia y eficiencia, a que coste en tiempo y recursos implementa</w:t>
      </w:r>
      <w:r>
        <w:rPr>
          <w:lang w:val="es-ES_tradnl"/>
        </w:rPr>
        <w:t xml:space="preserve">dos se alcanzan los objetivos. </w:t>
      </w:r>
    </w:p>
    <w:p w:rsidR="0036596B" w:rsidRPr="0085451A" w:rsidRDefault="0036596B" w:rsidP="0036596B">
      <w:pPr>
        <w:pStyle w:val="Prrafodelista"/>
        <w:keepNext/>
        <w:numPr>
          <w:ilvl w:val="0"/>
          <w:numId w:val="4"/>
        </w:numPr>
        <w:ind w:hanging="357"/>
        <w:rPr>
          <w:b/>
        </w:rPr>
      </w:pPr>
      <w:r w:rsidRPr="0085451A">
        <w:rPr>
          <w:b/>
        </w:rPr>
        <w:lastRenderedPageBreak/>
        <w:t>De impacto:</w:t>
      </w:r>
    </w:p>
    <w:p w:rsidR="0036596B" w:rsidRPr="00810C7A" w:rsidRDefault="0036596B" w:rsidP="0036596B">
      <w:pPr>
        <w:keepNext/>
        <w:rPr>
          <w:lang w:val="es-ES_tradnl"/>
        </w:rPr>
      </w:pPr>
      <w:r w:rsidRPr="00810C7A">
        <w:rPr>
          <w:lang w:val="es-ES_tradnl"/>
        </w:rPr>
        <w:t>Dirigida</w:t>
      </w:r>
      <w:r>
        <w:rPr>
          <w:lang w:val="es-ES_tradnl"/>
        </w:rPr>
        <w:t xml:space="preserve"> </w:t>
      </w:r>
      <w:r w:rsidRPr="00810C7A">
        <w:rPr>
          <w:lang w:val="es-ES_tradnl"/>
        </w:rPr>
        <w:t>a valorar y analizar los efectos más generales y menos inmediatos de la intervención sobre las necesidades de</w:t>
      </w:r>
      <w:r>
        <w:rPr>
          <w:lang w:val="es-ES_tradnl"/>
        </w:rPr>
        <w:t xml:space="preserve"> las personas usuarias atendidas. </w:t>
      </w:r>
    </w:p>
    <w:p w:rsidR="0036596B" w:rsidRPr="00810C7A" w:rsidRDefault="0036596B" w:rsidP="0036596B">
      <w:pPr>
        <w:rPr>
          <w:bCs/>
          <w:lang w:val="es-ES_tradnl"/>
        </w:rPr>
      </w:pPr>
      <w:r w:rsidRPr="00810C7A">
        <w:rPr>
          <w:bCs/>
          <w:lang w:val="es-ES_tradnl"/>
        </w:rPr>
        <w:t>El</w:t>
      </w:r>
      <w:r>
        <w:rPr>
          <w:bCs/>
          <w:lang w:val="es-ES_tradnl"/>
        </w:rPr>
        <w:t xml:space="preserve"> </w:t>
      </w:r>
      <w:r w:rsidRPr="00810C7A">
        <w:rPr>
          <w:bCs/>
          <w:lang w:val="es-ES_tradnl"/>
        </w:rPr>
        <w:t xml:space="preserve">resultado de esta evaluación se tomará como referencia para decidir de acuerdo al artículo </w:t>
      </w:r>
      <w:r>
        <w:rPr>
          <w:lang w:val="es-ES_tradnl" w:eastAsia="zh-CN"/>
        </w:rPr>
        <w:t xml:space="preserve">10.1 de la Ley Foral </w:t>
      </w:r>
      <w:r w:rsidRPr="00810C7A">
        <w:rPr>
          <w:lang w:val="es-ES_tradnl" w:eastAsia="zh-CN"/>
        </w:rPr>
        <w:t>13/2017, de 16 de noviembre, sobre la pertinencia o no de prorrogar el concierto.</w:t>
      </w:r>
    </w:p>
    <w:p w:rsidR="0036596B" w:rsidRPr="00F50FEC" w:rsidRDefault="0036596B" w:rsidP="0036596B">
      <w:pPr>
        <w:pStyle w:val="Ttulo4"/>
        <w:numPr>
          <w:ilvl w:val="0"/>
          <w:numId w:val="0"/>
        </w:numPr>
        <w:ind w:left="1288" w:hanging="437"/>
      </w:pPr>
      <w:r>
        <w:t>2.3</w:t>
      </w:r>
      <w:r w:rsidRPr="00F50FEC">
        <w:t>.  Ámbitos y cuestiones objeto de evaluación.</w:t>
      </w:r>
    </w:p>
    <w:p w:rsidR="0036596B" w:rsidRPr="00F50FEC" w:rsidRDefault="0036596B" w:rsidP="0036596B">
      <w:pPr>
        <w:pStyle w:val="Prrafodelista"/>
        <w:numPr>
          <w:ilvl w:val="0"/>
          <w:numId w:val="5"/>
        </w:numPr>
      </w:pPr>
      <w:r w:rsidRPr="00F50FEC">
        <w:t>El modelo de proyecto de intervención, así como la propuesta de objetivos recogidos en el pliego de las condiciones técnicas. Será objeto de evaluación el grado de consecución del proyecto técnico presentado, de los objetivos propuestos, examinando a que coste se alcanzan en términos de tiempo, recursos humanos y materiales empleados. Así mismo será objeto de evaluación el grado de impacto producido en la evolución de las personas usuarias atendidas.</w:t>
      </w:r>
    </w:p>
    <w:p w:rsidR="0036596B" w:rsidRPr="00F50FEC" w:rsidRDefault="0036596B" w:rsidP="0036596B">
      <w:pPr>
        <w:pStyle w:val="Prrafodelista"/>
        <w:numPr>
          <w:ilvl w:val="0"/>
          <w:numId w:val="5"/>
        </w:numPr>
      </w:pPr>
      <w:r w:rsidRPr="00F50FEC">
        <w:t xml:space="preserve">El grado de cumplimiento de las obligaciones contraídas por la entidad adjudicataria en los distintos programas recogidos en el pliego de las condiciones técnicas. Será objeto de evaluación el grado de consecución de dichas obligaciones, así como el impacto en el proyecto general de intervención. </w:t>
      </w:r>
    </w:p>
    <w:p w:rsidR="0036596B" w:rsidRPr="00F50FEC" w:rsidRDefault="0036596B" w:rsidP="0036596B">
      <w:pPr>
        <w:pStyle w:val="Prrafodelista"/>
        <w:numPr>
          <w:ilvl w:val="0"/>
          <w:numId w:val="5"/>
        </w:numPr>
      </w:pPr>
      <w:r w:rsidRPr="00F50FEC">
        <w:t xml:space="preserve">El grado de participación de personas usuarias objeto de atención y de sus familiares o allegados. Será objeto de evaluación los canales, recursos y metodologías de participación establecidos, así como su impacto en la evolución de las personas usuarias atendidas y </w:t>
      </w:r>
      <w:proofErr w:type="gramStart"/>
      <w:r w:rsidRPr="00F50FEC">
        <w:t>sus  familias</w:t>
      </w:r>
      <w:proofErr w:type="gramEnd"/>
      <w:r w:rsidRPr="00F50FEC">
        <w:t>.</w:t>
      </w:r>
    </w:p>
    <w:p w:rsidR="0036596B" w:rsidRPr="00F50FEC" w:rsidRDefault="0036596B" w:rsidP="0036596B">
      <w:pPr>
        <w:pStyle w:val="Prrafodelista"/>
        <w:numPr>
          <w:ilvl w:val="0"/>
          <w:numId w:val="5"/>
        </w:numPr>
      </w:pPr>
      <w:r w:rsidRPr="00F50FEC">
        <w:t xml:space="preserve">El grado de satisfacción percibida por las personas usuarias de los recursos objeto de licitación.  </w:t>
      </w:r>
    </w:p>
    <w:p w:rsidR="0036596B" w:rsidRPr="00F50FEC" w:rsidRDefault="0036596B" w:rsidP="0036596B">
      <w:pPr>
        <w:pStyle w:val="Ttulo4"/>
        <w:numPr>
          <w:ilvl w:val="0"/>
          <w:numId w:val="0"/>
        </w:numPr>
        <w:ind w:left="1288" w:hanging="437"/>
        <w:rPr>
          <w:rFonts w:cs="Arial"/>
          <w:b w:val="0"/>
        </w:rPr>
      </w:pPr>
      <m:oMath>
        <m:r>
          <m:rPr>
            <m:sty m:val="bi"/>
          </m:rPr>
          <w:rPr>
            <w:rFonts w:ascii="Cambria Math" w:hAnsi="Cambria Math"/>
          </w:rPr>
          <m:t xml:space="preserve">2.4. </m:t>
        </m:r>
      </m:oMath>
      <w:r w:rsidRPr="00F50FEC">
        <w:t>Instrumentos de evaluación.</w:t>
      </w:r>
      <w:r w:rsidRPr="00F50FEC">
        <w:rPr>
          <w:rFonts w:cs="Arial"/>
          <w:b w:val="0"/>
        </w:rPr>
        <w:t xml:space="preserve"> </w:t>
      </w:r>
    </w:p>
    <w:p w:rsidR="0036596B" w:rsidRPr="00F50FEC" w:rsidRDefault="0036596B" w:rsidP="0036596B">
      <w:pPr>
        <w:rPr>
          <w:lang w:val="es-ES_tradnl"/>
        </w:rPr>
      </w:pPr>
      <w:r w:rsidRPr="00F50FEC">
        <w:rPr>
          <w:lang w:val="es-ES_tradnl"/>
        </w:rPr>
        <w:t>Para llevar a cabo la evaluación se tomarán como referencia los siguientes instrumentos de evaluación:</w:t>
      </w:r>
    </w:p>
    <w:p w:rsidR="0036596B" w:rsidRPr="00F50FEC" w:rsidRDefault="0036596B" w:rsidP="0036596B">
      <w:pPr>
        <w:pStyle w:val="Prrafodelista"/>
        <w:numPr>
          <w:ilvl w:val="0"/>
          <w:numId w:val="6"/>
        </w:numPr>
        <w:tabs>
          <w:tab w:val="clear" w:pos="1700"/>
          <w:tab w:val="num" w:pos="993"/>
        </w:tabs>
        <w:ind w:hanging="991"/>
        <w:rPr>
          <w:rFonts w:cs="Arial"/>
          <w:b/>
        </w:rPr>
      </w:pPr>
      <w:r w:rsidRPr="00F50FEC">
        <w:rPr>
          <w:rFonts w:cs="Arial"/>
          <w:b/>
        </w:rPr>
        <w:t xml:space="preserve">Informes técnicos. </w:t>
      </w:r>
    </w:p>
    <w:p w:rsidR="0036596B" w:rsidRPr="00F50FEC" w:rsidRDefault="0036596B" w:rsidP="0036596B">
      <w:pPr>
        <w:rPr>
          <w:lang w:val="es-ES_tradnl" w:eastAsia="zh-CN"/>
        </w:rPr>
      </w:pPr>
      <w:r w:rsidRPr="00F50FEC">
        <w:rPr>
          <w:lang w:val="es-ES_tradnl" w:eastAsia="zh-CN"/>
        </w:rPr>
        <w:t xml:space="preserve">Los servicios deberán disponer de un sistema de evaluación que se aplicará como mínimo una vez al año, que abarcará todos los aspectos comprendidos en el proyecto presentado y que se desarrollarán en la memoria anual que los recursos deberán presentar a la Agencia Navarra de Autonomía y Desarrollo de las Personas, en soporte informático y papel, en la forma y plazo señalado en el pliego de condiciones económico administrativas. </w:t>
      </w:r>
    </w:p>
    <w:p w:rsidR="0036596B" w:rsidRPr="00F50FEC" w:rsidRDefault="0036596B" w:rsidP="0036596B">
      <w:pPr>
        <w:rPr>
          <w:lang w:val="es-ES_tradnl" w:eastAsia="zh-CN"/>
        </w:rPr>
      </w:pPr>
      <w:r w:rsidRPr="00F50FEC">
        <w:rPr>
          <w:lang w:val="es-ES_tradnl" w:eastAsia="zh-CN"/>
        </w:rPr>
        <w:t>A la hora de evaluar los servicios objeto de este contrato se tendrán en cuenta los indicadores de evaluación que establezca la Agencia Navarra de Autonomía y Desarrollo de las Personas.</w:t>
      </w:r>
    </w:p>
    <w:p w:rsidR="0036596B" w:rsidRPr="00F50FEC" w:rsidRDefault="0036596B" w:rsidP="0036596B">
      <w:pPr>
        <w:rPr>
          <w:lang w:val="es-ES_tradnl" w:eastAsia="zh-CN"/>
        </w:rPr>
      </w:pPr>
      <w:r w:rsidRPr="00F50FEC">
        <w:rPr>
          <w:lang w:val="es-ES_tradnl" w:eastAsia="zh-CN"/>
        </w:rPr>
        <w:lastRenderedPageBreak/>
        <w:t>La memoria será presentada de forma que facilite la comprobación del cumplimiento de las bases exigidas en los pliegos técnicos y administrativos y del Proyecto Técnico contratado.</w:t>
      </w:r>
    </w:p>
    <w:p w:rsidR="0036596B" w:rsidRPr="00F50FEC" w:rsidRDefault="0036596B" w:rsidP="0036596B">
      <w:pPr>
        <w:rPr>
          <w:lang w:val="es-ES_tradnl" w:eastAsia="zh-CN"/>
        </w:rPr>
      </w:pPr>
      <w:r w:rsidRPr="00F50FEC">
        <w:rPr>
          <w:lang w:val="es-ES_tradnl" w:eastAsia="zh-CN"/>
        </w:rPr>
        <w:t>Asimismo, la Agencia Navarra de Autonomía y Desarrollo de las Personas establecerá los indicadores a recabar periódicamente para facilitar el seguimiento del recurso.</w:t>
      </w:r>
    </w:p>
    <w:p w:rsidR="0036596B" w:rsidRPr="00F50FEC" w:rsidRDefault="0036596B" w:rsidP="0036596B">
      <w:pPr>
        <w:rPr>
          <w:lang w:val="es-ES_tradnl" w:eastAsia="zh-CN"/>
        </w:rPr>
      </w:pPr>
      <w:r w:rsidRPr="00F50FEC">
        <w:rPr>
          <w:lang w:val="es-ES_tradnl" w:eastAsia="zh-CN"/>
        </w:rPr>
        <w:t xml:space="preserve">El equipo técnico de la entidad adjudicataria del concierto será responsable de la elaboración de informes de seguimiento de acuerdo a lo recogido en el pliego de las condiciones técnicas, acerca de la situación de cada persona usuaria, así como todo lo relativo a la evolución del Programa de atención individual centrado en la persona de cada una de las personas usuarias. </w:t>
      </w:r>
      <w:proofErr w:type="gramStart"/>
      <w:r w:rsidRPr="00F50FEC">
        <w:rPr>
          <w:lang w:val="es-ES_tradnl" w:eastAsia="zh-CN"/>
        </w:rPr>
        <w:t>Dichos  informes</w:t>
      </w:r>
      <w:proofErr w:type="gramEnd"/>
      <w:r w:rsidRPr="00F50FEC">
        <w:rPr>
          <w:lang w:val="es-ES_tradnl" w:eastAsia="zh-CN"/>
        </w:rPr>
        <w:t xml:space="preserve"> serán remitidos a la Entidad Pública con carácter trimestral. </w:t>
      </w:r>
    </w:p>
    <w:p w:rsidR="0036596B" w:rsidRPr="00F50FEC" w:rsidRDefault="0036596B" w:rsidP="0036596B">
      <w:pPr>
        <w:pStyle w:val="Prrafodelista"/>
        <w:ind w:left="1700" w:firstLine="0"/>
        <w:rPr>
          <w:rFonts w:cs="Arial"/>
          <w:b/>
        </w:rPr>
      </w:pPr>
    </w:p>
    <w:p w:rsidR="0036596B" w:rsidRPr="00F50FEC" w:rsidRDefault="0036596B" w:rsidP="0036596B">
      <w:pPr>
        <w:pStyle w:val="Prrafodelista"/>
        <w:numPr>
          <w:ilvl w:val="0"/>
          <w:numId w:val="6"/>
        </w:numPr>
        <w:tabs>
          <w:tab w:val="clear" w:pos="1700"/>
          <w:tab w:val="num" w:pos="993"/>
        </w:tabs>
        <w:ind w:hanging="991"/>
        <w:rPr>
          <w:rFonts w:cs="Arial"/>
          <w:b/>
        </w:rPr>
      </w:pPr>
      <w:r w:rsidRPr="00F50FEC">
        <w:rPr>
          <w:rFonts w:cs="Arial"/>
          <w:b/>
        </w:rPr>
        <w:t xml:space="preserve">Indicadores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705"/>
        <w:gridCol w:w="1984"/>
        <w:gridCol w:w="1134"/>
        <w:gridCol w:w="1134"/>
        <w:gridCol w:w="993"/>
        <w:gridCol w:w="1767"/>
      </w:tblGrid>
      <w:tr w:rsidR="0036596B" w:rsidRPr="000C3043" w:rsidTr="00E632E7">
        <w:trPr>
          <w:trHeight w:val="374"/>
        </w:trPr>
        <w:tc>
          <w:tcPr>
            <w:tcW w:w="388" w:type="dxa"/>
            <w:vMerge w:val="restart"/>
            <w:shd w:val="clear" w:color="auto" w:fill="auto"/>
            <w:textDirection w:val="btLr"/>
            <w:vAlign w:val="center"/>
          </w:tcPr>
          <w:p w:rsidR="0036596B" w:rsidRPr="000C3043" w:rsidRDefault="0036596B" w:rsidP="00E632E7">
            <w:pPr>
              <w:spacing w:before="0" w:after="0"/>
              <w:ind w:left="113" w:right="113"/>
              <w:jc w:val="center"/>
              <w:rPr>
                <w:rFonts w:eastAsia="Calibri" w:cs="Arial"/>
                <w:b/>
                <w:color w:val="000000" w:themeColor="text1"/>
                <w:sz w:val="16"/>
                <w:szCs w:val="16"/>
              </w:rPr>
            </w:pPr>
            <w:r w:rsidRPr="000C3043">
              <w:rPr>
                <w:rFonts w:eastAsia="Calibri" w:cs="Arial"/>
                <w:b/>
                <w:color w:val="000000" w:themeColor="text1"/>
                <w:sz w:val="16"/>
                <w:szCs w:val="16"/>
              </w:rPr>
              <w:t>INDICADORES  DE PROCESOS</w:t>
            </w:r>
          </w:p>
        </w:tc>
        <w:tc>
          <w:tcPr>
            <w:tcW w:w="1705"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DESCRIPCIÓN</w:t>
            </w:r>
          </w:p>
        </w:tc>
        <w:tc>
          <w:tcPr>
            <w:tcW w:w="1984"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MEDIDA</w:t>
            </w:r>
          </w:p>
        </w:tc>
        <w:tc>
          <w:tcPr>
            <w:tcW w:w="1134"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OBJETIVO</w:t>
            </w:r>
          </w:p>
        </w:tc>
        <w:tc>
          <w:tcPr>
            <w:tcW w:w="1134"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SEGUIMIENTO</w:t>
            </w:r>
          </w:p>
        </w:tc>
        <w:tc>
          <w:tcPr>
            <w:tcW w:w="993"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REVISIÓN</w:t>
            </w:r>
          </w:p>
        </w:tc>
        <w:tc>
          <w:tcPr>
            <w:tcW w:w="1767"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OBSERVACIONES</w:t>
            </w:r>
          </w:p>
        </w:tc>
      </w:tr>
      <w:tr w:rsidR="0036596B" w:rsidRPr="000C3043" w:rsidTr="00E632E7">
        <w:trPr>
          <w:trHeight w:val="861"/>
        </w:trPr>
        <w:tc>
          <w:tcPr>
            <w:tcW w:w="388" w:type="dxa"/>
            <w:vMerge/>
            <w:shd w:val="clear" w:color="auto" w:fill="auto"/>
            <w:textDirection w:val="btLr"/>
            <w:vAlign w:val="center"/>
          </w:tcPr>
          <w:p w:rsidR="0036596B" w:rsidRPr="000C3043" w:rsidRDefault="0036596B" w:rsidP="00E632E7">
            <w:pPr>
              <w:spacing w:after="0"/>
              <w:ind w:left="113" w:right="113" w:firstLine="0"/>
              <w:jc w:val="center"/>
              <w:rPr>
                <w:rFonts w:eastAsia="Calibri" w:cs="Arial"/>
                <w:b/>
                <w:color w:val="000000" w:themeColor="text1"/>
                <w:sz w:val="16"/>
                <w:szCs w:val="16"/>
              </w:rPr>
            </w:pPr>
          </w:p>
        </w:tc>
        <w:tc>
          <w:tcPr>
            <w:tcW w:w="1705" w:type="dxa"/>
            <w:shd w:val="clear" w:color="auto" w:fill="auto"/>
            <w:vAlign w:val="center"/>
          </w:tcPr>
          <w:p w:rsidR="0036596B" w:rsidRPr="000C3043" w:rsidRDefault="0036596B" w:rsidP="00E632E7">
            <w:pPr>
              <w:ind w:firstLine="30"/>
              <w:rPr>
                <w:rFonts w:ascii="Calibri" w:eastAsia="Calibri" w:hAnsi="Calibri" w:cs="Arial"/>
                <w:sz w:val="16"/>
                <w:szCs w:val="16"/>
              </w:rPr>
            </w:pPr>
            <w:r w:rsidRPr="000C3043">
              <w:rPr>
                <w:rFonts w:ascii="Calibri" w:eastAsia="Calibri" w:hAnsi="Calibri" w:cs="Arial"/>
                <w:sz w:val="16"/>
                <w:szCs w:val="16"/>
              </w:rPr>
              <w:t xml:space="preserve">Casos nuevos atendidos </w:t>
            </w:r>
          </w:p>
        </w:tc>
        <w:tc>
          <w:tcPr>
            <w:tcW w:w="1984" w:type="dxa"/>
            <w:shd w:val="clear" w:color="auto" w:fill="auto"/>
            <w:vAlign w:val="center"/>
          </w:tcPr>
          <w:p w:rsidR="0036596B" w:rsidRPr="000C3043" w:rsidRDefault="0036596B" w:rsidP="00E632E7">
            <w:pPr>
              <w:ind w:firstLine="0"/>
              <w:rPr>
                <w:rFonts w:ascii="Calibri" w:eastAsia="Calibri" w:hAnsi="Calibri" w:cs="Arial"/>
                <w:sz w:val="16"/>
                <w:szCs w:val="16"/>
              </w:rPr>
            </w:pPr>
            <w:r w:rsidRPr="000C3043">
              <w:rPr>
                <w:rFonts w:ascii="Calibri" w:eastAsia="Calibri" w:hAnsi="Calibri" w:cs="Arial"/>
                <w:sz w:val="16"/>
                <w:szCs w:val="16"/>
              </w:rPr>
              <w:t>Nº casos nuevos atendidos en las viviendas en el año.</w:t>
            </w:r>
          </w:p>
        </w:tc>
        <w:tc>
          <w:tcPr>
            <w:tcW w:w="1134" w:type="dxa"/>
            <w:shd w:val="clear" w:color="auto" w:fill="auto"/>
            <w:vAlign w:val="center"/>
          </w:tcPr>
          <w:p w:rsidR="0036596B" w:rsidRPr="000C3043" w:rsidRDefault="0036596B" w:rsidP="00E632E7">
            <w:pPr>
              <w:ind w:hanging="113"/>
              <w:jc w:val="center"/>
              <w:rPr>
                <w:rFonts w:ascii="Calibri" w:eastAsia="Calibri" w:hAnsi="Calibri" w:cs="Arial"/>
                <w:sz w:val="16"/>
                <w:szCs w:val="16"/>
              </w:rPr>
            </w:pPr>
            <w:r w:rsidRPr="000C3043">
              <w:rPr>
                <w:rFonts w:ascii="Calibri" w:eastAsia="Calibri" w:hAnsi="Calibri" w:cs="Arial"/>
                <w:sz w:val="16"/>
                <w:szCs w:val="16"/>
              </w:rPr>
              <w:t>Medición</w:t>
            </w:r>
          </w:p>
        </w:tc>
        <w:tc>
          <w:tcPr>
            <w:tcW w:w="1134" w:type="dxa"/>
            <w:shd w:val="clear" w:color="auto" w:fill="auto"/>
            <w:vAlign w:val="center"/>
          </w:tcPr>
          <w:p w:rsidR="0036596B" w:rsidRPr="000C3043" w:rsidRDefault="0036596B" w:rsidP="00E632E7">
            <w:pPr>
              <w:ind w:hanging="114"/>
              <w:jc w:val="center"/>
              <w:rPr>
                <w:rFonts w:ascii="Calibri" w:eastAsia="Calibri" w:hAnsi="Calibri" w:cs="Arial"/>
                <w:sz w:val="16"/>
                <w:szCs w:val="16"/>
              </w:rPr>
            </w:pPr>
            <w:r w:rsidRPr="000C3043">
              <w:rPr>
                <w:rFonts w:ascii="Calibri" w:eastAsia="Calibri" w:hAnsi="Calibri" w:cs="Arial"/>
                <w:sz w:val="16"/>
                <w:szCs w:val="16"/>
              </w:rPr>
              <w:t>Anual</w:t>
            </w:r>
          </w:p>
        </w:tc>
        <w:tc>
          <w:tcPr>
            <w:tcW w:w="993" w:type="dxa"/>
            <w:shd w:val="clear" w:color="auto" w:fill="auto"/>
            <w:vAlign w:val="center"/>
          </w:tcPr>
          <w:p w:rsidR="0036596B" w:rsidRPr="000C3043" w:rsidRDefault="0036596B" w:rsidP="00E632E7">
            <w:pPr>
              <w:ind w:firstLine="31"/>
              <w:jc w:val="center"/>
              <w:rPr>
                <w:rFonts w:ascii="Calibri" w:eastAsia="Calibri" w:hAnsi="Calibri" w:cs="Arial"/>
                <w:sz w:val="16"/>
                <w:szCs w:val="16"/>
              </w:rPr>
            </w:pPr>
            <w:r w:rsidRPr="000C3043">
              <w:rPr>
                <w:rFonts w:ascii="Calibri" w:eastAsia="Calibri" w:hAnsi="Calibri" w:cs="Arial"/>
                <w:sz w:val="16"/>
                <w:szCs w:val="16"/>
              </w:rPr>
              <w:t>Anual</w:t>
            </w:r>
          </w:p>
        </w:tc>
        <w:tc>
          <w:tcPr>
            <w:tcW w:w="1767" w:type="dxa"/>
            <w:shd w:val="clear" w:color="auto" w:fill="auto"/>
            <w:vAlign w:val="center"/>
          </w:tcPr>
          <w:p w:rsidR="0036596B" w:rsidRPr="000C3043" w:rsidRDefault="0036596B" w:rsidP="00E632E7">
            <w:pPr>
              <w:ind w:firstLine="0"/>
              <w:jc w:val="left"/>
              <w:rPr>
                <w:rFonts w:eastAsia="Calibri" w:cs="Arial"/>
                <w:sz w:val="16"/>
                <w:szCs w:val="16"/>
              </w:rPr>
            </w:pPr>
            <w:r w:rsidRPr="001155CE">
              <w:rPr>
                <w:rFonts w:ascii="Calibri" w:eastAsia="Calibri" w:hAnsi="Calibri" w:cs="Arial"/>
                <w:sz w:val="16"/>
                <w:szCs w:val="16"/>
              </w:rPr>
              <w:t>Nuevas altas realizadas en el servicio en el año</w:t>
            </w:r>
          </w:p>
        </w:tc>
      </w:tr>
      <w:tr w:rsidR="0036596B" w:rsidRPr="000C3043" w:rsidTr="00E632E7">
        <w:trPr>
          <w:trHeight w:val="574"/>
        </w:trPr>
        <w:tc>
          <w:tcPr>
            <w:tcW w:w="388" w:type="dxa"/>
            <w:vMerge/>
            <w:shd w:val="clear" w:color="auto" w:fill="auto"/>
            <w:vAlign w:val="center"/>
          </w:tcPr>
          <w:p w:rsidR="0036596B" w:rsidRPr="000C3043" w:rsidRDefault="0036596B" w:rsidP="0036596B">
            <w:pPr>
              <w:numPr>
                <w:ilvl w:val="0"/>
                <w:numId w:val="7"/>
              </w:numPr>
              <w:spacing w:before="0" w:after="0"/>
              <w:contextualSpacing/>
              <w:jc w:val="center"/>
              <w:rPr>
                <w:rFonts w:eastAsia="Calibri" w:cs="Arial"/>
                <w:sz w:val="16"/>
                <w:szCs w:val="16"/>
              </w:rPr>
            </w:pPr>
          </w:p>
        </w:tc>
        <w:tc>
          <w:tcPr>
            <w:tcW w:w="1705"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Asignación profesional de referencia.</w:t>
            </w:r>
          </w:p>
        </w:tc>
        <w:tc>
          <w:tcPr>
            <w:tcW w:w="198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Máximo 15 días</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100%</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Datos recogidos en sistema de registro informatizado.</w:t>
            </w:r>
          </w:p>
        </w:tc>
      </w:tr>
      <w:tr w:rsidR="0036596B" w:rsidRPr="000C3043" w:rsidTr="00E632E7">
        <w:trPr>
          <w:trHeight w:val="1524"/>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Información sobre normas de funcionamiento</w:t>
            </w:r>
          </w:p>
        </w:tc>
        <w:tc>
          <w:tcPr>
            <w:tcW w:w="198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4F76A1F2" wp14:editId="152F8F4B">
                  <wp:extent cx="1143000" cy="5974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3166" r="33102"/>
                          <a:stretch/>
                        </pic:blipFill>
                        <pic:spPr bwMode="auto">
                          <a:xfrm>
                            <a:off x="0" y="0"/>
                            <a:ext cx="1162532" cy="6076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100%</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993"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El centro  dispondrá de un documento que recoja las normas de funcionamiento .Se facilitará  a todas las personas usuarias y/o sus familias en la primera entrevista.</w:t>
            </w:r>
          </w:p>
        </w:tc>
      </w:tr>
      <w:tr w:rsidR="0036596B" w:rsidRPr="000C3043" w:rsidTr="00E632E7">
        <w:trPr>
          <w:trHeight w:val="1334"/>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Utilización de entrevista de acogida</w:t>
            </w:r>
          </w:p>
        </w:tc>
        <w:tc>
          <w:tcPr>
            <w:tcW w:w="198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5C98E392" wp14:editId="705F4223">
                  <wp:extent cx="1059180" cy="77084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6410" r="36070"/>
                          <a:stretch/>
                        </pic:blipFill>
                        <pic:spPr bwMode="auto">
                          <a:xfrm>
                            <a:off x="0" y="0"/>
                            <a:ext cx="1081558" cy="7871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100%</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Realización de entrevista de acogida a persona usuaria.</w:t>
            </w:r>
          </w:p>
        </w:tc>
      </w:tr>
      <w:tr w:rsidR="0036596B" w:rsidRPr="000C3043" w:rsidTr="00E632E7">
        <w:trPr>
          <w:trHeight w:val="1316"/>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Evaluación de los apoyos necesarios para cada persona usuaria.</w:t>
            </w:r>
          </w:p>
        </w:tc>
        <w:tc>
          <w:tcPr>
            <w:tcW w:w="198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11791A59" wp14:editId="6DF495E1">
                  <wp:extent cx="982980" cy="69750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5282" r="36493"/>
                          <a:stretch/>
                        </pic:blipFill>
                        <pic:spPr bwMode="auto">
                          <a:xfrm>
                            <a:off x="0" y="0"/>
                            <a:ext cx="999166" cy="7089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100%</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 xml:space="preserve">A través de instrumentos específicos validados y basados en la mejor evidencia disponible. </w:t>
            </w:r>
          </w:p>
        </w:tc>
      </w:tr>
      <w:tr w:rsidR="0036596B" w:rsidRPr="000C3043" w:rsidTr="00E632E7">
        <w:trPr>
          <w:trHeight w:val="1461"/>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ind w:firstLine="30"/>
              <w:rPr>
                <w:rFonts w:ascii="Calibri" w:eastAsia="Calibri" w:hAnsi="Calibri" w:cs="Arial"/>
                <w:sz w:val="16"/>
                <w:szCs w:val="16"/>
              </w:rPr>
            </w:pPr>
            <w:r>
              <w:rPr>
                <w:rFonts w:ascii="Calibri" w:eastAsia="Calibri" w:hAnsi="Calibri" w:cs="Arial"/>
                <w:sz w:val="16"/>
                <w:szCs w:val="16"/>
              </w:rPr>
              <w:t xml:space="preserve">Plan de atención individual centrado en la persona  </w:t>
            </w:r>
          </w:p>
        </w:tc>
        <w:tc>
          <w:tcPr>
            <w:tcW w:w="198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5B26D8DD" wp14:editId="7C5A8780">
                  <wp:extent cx="998220" cy="8880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843" r="37205"/>
                          <a:stretch/>
                        </pic:blipFill>
                        <pic:spPr bwMode="auto">
                          <a:xfrm>
                            <a:off x="0" y="0"/>
                            <a:ext cx="1003238" cy="8924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90%</w:t>
            </w:r>
          </w:p>
        </w:tc>
        <w:tc>
          <w:tcPr>
            <w:tcW w:w="1134"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ind w:firstLine="30"/>
              <w:rPr>
                <w:rFonts w:ascii="Calibri" w:eastAsia="Calibri" w:hAnsi="Calibri" w:cs="Arial"/>
                <w:sz w:val="16"/>
                <w:szCs w:val="16"/>
              </w:rPr>
            </w:pPr>
            <w:r w:rsidRPr="00441F60">
              <w:rPr>
                <w:rFonts w:ascii="Calibri" w:eastAsia="Calibri" w:hAnsi="Calibri" w:cs="Arial"/>
                <w:sz w:val="16"/>
                <w:szCs w:val="16"/>
              </w:rPr>
              <w:t>El Plan establece de forma detallada las acciones dirigidas a la persona usuaria, familia y entorno.  Recogido en el historial de la persona usuaria.</w:t>
            </w:r>
          </w:p>
        </w:tc>
      </w:tr>
      <w:tr w:rsidR="0036596B" w:rsidRPr="000C3043" w:rsidTr="00E632E7">
        <w:trPr>
          <w:trHeight w:val="1149"/>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Pr>
                <w:rFonts w:ascii="Calibri" w:eastAsia="Calibri" w:hAnsi="Calibri" w:cs="Arial"/>
                <w:sz w:val="16"/>
                <w:szCs w:val="16"/>
              </w:rPr>
              <w:t xml:space="preserve">Plan de atención individual centrado en la persona  </w:t>
            </w:r>
            <w:r w:rsidRPr="00441F60">
              <w:rPr>
                <w:rFonts w:ascii="Calibri" w:eastAsia="Calibri" w:hAnsi="Calibri" w:cs="Arial"/>
                <w:sz w:val="16"/>
                <w:szCs w:val="16"/>
              </w:rPr>
              <w:t>consensuado con la persona usuaria y/o la familia.</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380D24F3" wp14:editId="6B4F4409">
                  <wp:extent cx="1082040" cy="66963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708" r="36487"/>
                          <a:stretch/>
                        </pic:blipFill>
                        <pic:spPr bwMode="auto">
                          <a:xfrm>
                            <a:off x="0" y="0"/>
                            <a:ext cx="1094209" cy="6771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100%</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Dato recogido en historial de la persona usuaria.</w:t>
            </w:r>
          </w:p>
        </w:tc>
      </w:tr>
      <w:tr w:rsidR="0036596B" w:rsidRPr="000C3043" w:rsidTr="00E632E7">
        <w:trPr>
          <w:trHeight w:val="374"/>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Actualización del Plan de atención personalizado o Plan de apoyos</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90%</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Revisión del Plan de apoyos con la frecuencia mínima establecida en Pliego técnico.</w:t>
            </w:r>
          </w:p>
        </w:tc>
      </w:tr>
      <w:tr w:rsidR="0036596B" w:rsidRPr="000C3043" w:rsidTr="00E632E7">
        <w:trPr>
          <w:trHeight w:val="961"/>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 xml:space="preserve">Informes de baja o continuidad de cuidados. </w:t>
            </w:r>
          </w:p>
        </w:tc>
        <w:tc>
          <w:tcPr>
            <w:tcW w:w="1984" w:type="dxa"/>
            <w:shd w:val="clear" w:color="auto" w:fill="auto"/>
            <w:vAlign w:val="center"/>
          </w:tcPr>
          <w:p w:rsidR="0036596B" w:rsidRPr="00441F60" w:rsidRDefault="0036596B" w:rsidP="00E632E7">
            <w:pPr>
              <w:spacing w:after="0"/>
              <w:ind w:firstLine="0"/>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5AF1EB3A" wp14:editId="0DDA07E2">
                  <wp:extent cx="1043940" cy="58672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126" r="38030"/>
                          <a:stretch/>
                        </pic:blipFill>
                        <pic:spPr bwMode="auto">
                          <a:xfrm>
                            <a:off x="0" y="0"/>
                            <a:ext cx="1052646" cy="5916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90%</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Mensual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Realización de un informe de baja o continuidad de cuidados. Coordinación con la ANADP.</w:t>
            </w:r>
          </w:p>
        </w:tc>
      </w:tr>
      <w:tr w:rsidR="0036596B" w:rsidRPr="000C3043" w:rsidTr="00E632E7">
        <w:trPr>
          <w:trHeight w:val="1336"/>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Red de apoyo</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 xml:space="preserve">Descripción </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Anual </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Descripción y establecimiento de una red de apoyo  basándose en los recursos comunitarios sociales y sanitarios existentes.</w:t>
            </w:r>
          </w:p>
        </w:tc>
      </w:tr>
      <w:tr w:rsidR="0036596B" w:rsidRPr="000C3043" w:rsidTr="00E632E7">
        <w:trPr>
          <w:trHeight w:val="387"/>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Coordinación Red de apoyo</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Medición</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Medición</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En los casos en los que intervengan otros agentes o servicios comunitarios se mantendrá mínimo un contacto  anual.</w:t>
            </w:r>
          </w:p>
        </w:tc>
      </w:tr>
      <w:tr w:rsidR="0036596B" w:rsidRPr="000C3043" w:rsidTr="00E632E7">
        <w:trPr>
          <w:trHeight w:val="961"/>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Bajas por paso a vida independiente</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 xml:space="preserve">Medición </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Medición</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 xml:space="preserve">Se computarán aquellas bajas del recurso en las que la persona usuaria pase a vivir de forma independiente. </w:t>
            </w:r>
          </w:p>
        </w:tc>
      </w:tr>
      <w:tr w:rsidR="0036596B" w:rsidRPr="000C3043" w:rsidTr="00E632E7">
        <w:trPr>
          <w:trHeight w:val="894"/>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Tasa de abandono</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006D2D97" wp14:editId="777AAE14">
                  <wp:extent cx="1082040" cy="5488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279" r="36194"/>
                          <a:stretch/>
                        </pic:blipFill>
                        <pic:spPr bwMode="auto">
                          <a:xfrm>
                            <a:off x="0" y="0"/>
                            <a:ext cx="1096473" cy="5562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Medición</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Anual </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Personas que abandonan voluntariamente el recurso pero no inician un proyecto de vida independiente.</w:t>
            </w:r>
          </w:p>
        </w:tc>
      </w:tr>
      <w:tr w:rsidR="0036596B" w:rsidRPr="000C3043" w:rsidTr="00E632E7">
        <w:trPr>
          <w:trHeight w:val="894"/>
        </w:trPr>
        <w:tc>
          <w:tcPr>
            <w:tcW w:w="388" w:type="dxa"/>
            <w:vMerge/>
            <w:shd w:val="clear" w:color="auto" w:fill="auto"/>
            <w:vAlign w:val="center"/>
          </w:tcPr>
          <w:p w:rsidR="0036596B" w:rsidRPr="000C3043" w:rsidRDefault="0036596B" w:rsidP="0036596B">
            <w:pPr>
              <w:numPr>
                <w:ilvl w:val="0"/>
                <w:numId w:val="7"/>
              </w:numPr>
              <w:spacing w:before="0" w:after="0"/>
              <w:contextualSpacing/>
              <w:jc w:val="left"/>
              <w:rPr>
                <w:rFonts w:eastAsia="Calibri" w:cs="Arial"/>
                <w:color w:val="000000" w:themeColor="text1"/>
                <w:sz w:val="16"/>
                <w:szCs w:val="16"/>
              </w:rPr>
            </w:pPr>
          </w:p>
        </w:tc>
        <w:tc>
          <w:tcPr>
            <w:tcW w:w="1705"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Calidad de vida</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38752642" wp14:editId="01499410">
                  <wp:extent cx="1089660" cy="600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014" r="34230"/>
                          <a:stretch/>
                        </pic:blipFill>
                        <pic:spPr bwMode="auto">
                          <a:xfrm>
                            <a:off x="0" y="0"/>
                            <a:ext cx="1098779" cy="6051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Medición</w:t>
            </w:r>
          </w:p>
        </w:tc>
        <w:tc>
          <w:tcPr>
            <w:tcW w:w="1134"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Anual </w:t>
            </w:r>
          </w:p>
        </w:tc>
        <w:tc>
          <w:tcPr>
            <w:tcW w:w="99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Anual </w:t>
            </w:r>
          </w:p>
        </w:tc>
        <w:tc>
          <w:tcPr>
            <w:tcW w:w="1767"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Aplicación de cuestionarios de calidad de vida.</w:t>
            </w:r>
          </w:p>
        </w:tc>
      </w:tr>
    </w:tbl>
    <w:p w:rsidR="0036596B" w:rsidRPr="000C3043" w:rsidRDefault="0036596B" w:rsidP="0036596B">
      <w:pPr>
        <w:pStyle w:val="Prrafodelista"/>
        <w:ind w:left="1700" w:firstLine="0"/>
        <w:rPr>
          <w:rFonts w:cs="Arial"/>
          <w:b/>
          <w:lang w:val="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984"/>
        <w:gridCol w:w="1163"/>
        <w:gridCol w:w="1105"/>
        <w:gridCol w:w="1021"/>
        <w:gridCol w:w="1814"/>
      </w:tblGrid>
      <w:tr w:rsidR="0036596B" w:rsidRPr="000C3043" w:rsidTr="00E632E7">
        <w:tc>
          <w:tcPr>
            <w:tcW w:w="392" w:type="dxa"/>
            <w:vMerge w:val="restart"/>
            <w:shd w:val="clear" w:color="auto" w:fill="auto"/>
            <w:textDirection w:val="btLr"/>
          </w:tcPr>
          <w:p w:rsidR="0036596B" w:rsidRPr="000C3043" w:rsidRDefault="0036596B" w:rsidP="00E632E7">
            <w:pPr>
              <w:spacing w:after="0"/>
              <w:ind w:left="113" w:right="113" w:firstLine="0"/>
              <w:rPr>
                <w:rFonts w:eastAsia="Calibri" w:cs="Arial"/>
                <w:b/>
                <w:color w:val="000000" w:themeColor="text1"/>
                <w:sz w:val="16"/>
                <w:szCs w:val="16"/>
              </w:rPr>
            </w:pPr>
            <w:r w:rsidRPr="000C3043">
              <w:rPr>
                <w:rFonts w:eastAsia="Calibri" w:cs="Arial"/>
                <w:b/>
                <w:color w:val="000000" w:themeColor="text1"/>
                <w:sz w:val="16"/>
                <w:szCs w:val="16"/>
              </w:rPr>
              <w:t xml:space="preserve">INDICADORES DE RESULTADOS </w:t>
            </w:r>
          </w:p>
        </w:tc>
        <w:tc>
          <w:tcPr>
            <w:tcW w:w="1701"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DESCRIPCIÓN</w:t>
            </w:r>
          </w:p>
        </w:tc>
        <w:tc>
          <w:tcPr>
            <w:tcW w:w="1984"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MEDIDA</w:t>
            </w:r>
          </w:p>
        </w:tc>
        <w:tc>
          <w:tcPr>
            <w:tcW w:w="1163"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OBJETIVO</w:t>
            </w:r>
          </w:p>
        </w:tc>
        <w:tc>
          <w:tcPr>
            <w:tcW w:w="1105"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SEGUIMIENTO</w:t>
            </w:r>
          </w:p>
        </w:tc>
        <w:tc>
          <w:tcPr>
            <w:tcW w:w="1021"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REVISIÓN</w:t>
            </w:r>
          </w:p>
        </w:tc>
        <w:tc>
          <w:tcPr>
            <w:tcW w:w="1814" w:type="dxa"/>
            <w:shd w:val="clear" w:color="auto" w:fill="auto"/>
            <w:vAlign w:val="center"/>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OBSERVACIONES</w:t>
            </w: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Encuestas Satisfacción</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7EC1D45E" wp14:editId="6CFD20F1">
                  <wp:extent cx="1089660" cy="50098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192" r="31688"/>
                          <a:stretch/>
                        </pic:blipFill>
                        <pic:spPr bwMode="auto">
                          <a:xfrm>
                            <a:off x="0" y="0"/>
                            <a:ext cx="1125097" cy="517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80%</w:t>
            </w:r>
          </w:p>
        </w:tc>
        <w:tc>
          <w:tcPr>
            <w:tcW w:w="1105"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02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Anual </w:t>
            </w:r>
          </w:p>
        </w:tc>
        <w:tc>
          <w:tcPr>
            <w:tcW w:w="181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Aplicación anual de encuesta de satisfacción a personas usuarias.</w:t>
            </w: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 xml:space="preserve">Satisfacción global de las personas usuarias </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noProof/>
                <w:sz w:val="16"/>
                <w:szCs w:val="16"/>
                <w:lang w:eastAsia="es-ES"/>
              </w:rPr>
              <w:drawing>
                <wp:inline distT="0" distB="0" distL="0" distR="0" wp14:anchorId="45E5C09A" wp14:editId="1A1AA1F3">
                  <wp:extent cx="1168977" cy="4495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207" r="30553"/>
                          <a:stretch/>
                        </pic:blipFill>
                        <pic:spPr bwMode="auto">
                          <a:xfrm>
                            <a:off x="0" y="0"/>
                            <a:ext cx="1205096" cy="4634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Medición</w:t>
            </w:r>
          </w:p>
        </w:tc>
        <w:tc>
          <w:tcPr>
            <w:tcW w:w="1105"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02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81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En la encuesta de satisfacción, respuesta al grado global de satisfacción con el servicio. En escalas 1-10 se considerará a partir de siete. En escalas 1-5 a partir de 3.</w:t>
            </w: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Mejora calidad de vida.</w:t>
            </w:r>
          </w:p>
        </w:tc>
        <w:tc>
          <w:tcPr>
            <w:tcW w:w="198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Incremento en las puntuaciones del cuestionario empleado al efecto.</w:t>
            </w:r>
          </w:p>
        </w:tc>
        <w:tc>
          <w:tcPr>
            <w:tcW w:w="1163"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80%</w:t>
            </w:r>
          </w:p>
        </w:tc>
        <w:tc>
          <w:tcPr>
            <w:tcW w:w="1105"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02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Anual</w:t>
            </w:r>
          </w:p>
        </w:tc>
        <w:tc>
          <w:tcPr>
            <w:tcW w:w="1814" w:type="dxa"/>
            <w:shd w:val="clear" w:color="auto" w:fill="auto"/>
            <w:vAlign w:val="center"/>
          </w:tcPr>
          <w:p w:rsidR="0036596B" w:rsidRPr="00441F60" w:rsidRDefault="0036596B" w:rsidP="00E632E7">
            <w:pPr>
              <w:spacing w:after="0"/>
              <w:ind w:firstLine="0"/>
              <w:jc w:val="left"/>
              <w:rPr>
                <w:rFonts w:ascii="Calibri" w:eastAsia="Calibri" w:hAnsi="Calibri" w:cs="Arial"/>
                <w:sz w:val="16"/>
                <w:szCs w:val="16"/>
              </w:rPr>
            </w:pPr>
            <w:r w:rsidRPr="00441F60">
              <w:rPr>
                <w:rFonts w:ascii="Calibri" w:eastAsia="Calibri" w:hAnsi="Calibri" w:cs="Arial"/>
                <w:sz w:val="16"/>
                <w:szCs w:val="16"/>
              </w:rPr>
              <w:t>Utilización de una escala de calidad de vida, que se facilitará a la persona usuaria y/o a la familia al inicio y al final de la intervención.</w:t>
            </w:r>
          </w:p>
          <w:p w:rsidR="0036596B" w:rsidRPr="00441F60" w:rsidRDefault="0036596B" w:rsidP="00E632E7">
            <w:pPr>
              <w:spacing w:after="0"/>
              <w:ind w:firstLine="0"/>
              <w:jc w:val="left"/>
              <w:rPr>
                <w:rFonts w:ascii="Calibri" w:eastAsia="Calibri" w:hAnsi="Calibri" w:cs="Arial"/>
                <w:sz w:val="16"/>
                <w:szCs w:val="16"/>
              </w:rPr>
            </w:pP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spacing w:after="0"/>
              <w:ind w:firstLine="0"/>
              <w:jc w:val="center"/>
              <w:rPr>
                <w:rFonts w:ascii="Calibri" w:eastAsia="Calibri" w:hAnsi="Calibri" w:cs="Arial"/>
                <w:sz w:val="16"/>
                <w:szCs w:val="16"/>
              </w:rPr>
            </w:pPr>
            <w:r w:rsidRPr="00441F60">
              <w:rPr>
                <w:rFonts w:ascii="Calibri" w:eastAsia="Calibri" w:hAnsi="Calibri" w:cs="Arial"/>
                <w:sz w:val="16"/>
                <w:szCs w:val="16"/>
              </w:rPr>
              <w:t>Inclusión laboral</w:t>
            </w:r>
          </w:p>
        </w:tc>
        <w:tc>
          <w:tcPr>
            <w:tcW w:w="1984" w:type="dxa"/>
            <w:shd w:val="clear" w:color="auto" w:fill="auto"/>
            <w:vAlign w:val="center"/>
          </w:tcPr>
          <w:p w:rsidR="0036596B" w:rsidRPr="00441F60" w:rsidRDefault="0036596B" w:rsidP="00E632E7">
            <w:pPr>
              <w:ind w:hanging="105"/>
              <w:rPr>
                <w:rFonts w:ascii="Calibri" w:eastAsia="Calibri" w:hAnsi="Calibri" w:cs="Arial"/>
                <w:sz w:val="16"/>
                <w:szCs w:val="16"/>
              </w:rPr>
            </w:pPr>
            <w:r>
              <w:rPr>
                <w:rFonts w:ascii="Calibri" w:eastAsia="Calibri" w:hAnsi="Calibri" w:cs="Arial"/>
                <w:noProof/>
                <w:sz w:val="16"/>
                <w:szCs w:val="16"/>
                <w:lang w:eastAsia="es-ES"/>
              </w:rPr>
              <w:drawing>
                <wp:inline distT="0" distB="0" distL="0" distR="0" wp14:anchorId="0AC39E21" wp14:editId="0D9609F8">
                  <wp:extent cx="1243965" cy="6690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9602" cy="677450"/>
                          </a:xfrm>
                          <a:prstGeom prst="rect">
                            <a:avLst/>
                          </a:prstGeom>
                          <a:noFill/>
                        </pic:spPr>
                      </pic:pic>
                    </a:graphicData>
                  </a:graphic>
                </wp:inline>
              </w:drawing>
            </w:r>
          </w:p>
        </w:tc>
        <w:tc>
          <w:tcPr>
            <w:tcW w:w="1163"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Medición</w:t>
            </w:r>
          </w:p>
        </w:tc>
        <w:tc>
          <w:tcPr>
            <w:tcW w:w="1105"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Mensual</w:t>
            </w:r>
          </w:p>
        </w:tc>
        <w:tc>
          <w:tcPr>
            <w:tcW w:w="1021"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 xml:space="preserve">Anual </w:t>
            </w:r>
          </w:p>
        </w:tc>
        <w:tc>
          <w:tcPr>
            <w:tcW w:w="1814"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Incluyendo actividad laboral normalizada y protegida (CO, CEE). Mantenida durante al menos 3 meses ininterrumpidos.</w:t>
            </w:r>
          </w:p>
        </w:tc>
      </w:tr>
      <w:tr w:rsidR="0036596B" w:rsidRPr="000C3043" w:rsidTr="00E632E7">
        <w:trPr>
          <w:trHeight w:val="132"/>
        </w:trPr>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Favorecer la inclusión comunitaria de las personas usuarias en entornos normalizados</w:t>
            </w:r>
          </w:p>
        </w:tc>
        <w:tc>
          <w:tcPr>
            <w:tcW w:w="1984" w:type="dxa"/>
            <w:shd w:val="clear" w:color="auto" w:fill="auto"/>
            <w:vAlign w:val="center"/>
          </w:tcPr>
          <w:p w:rsidR="0036596B" w:rsidRPr="00441F60" w:rsidRDefault="0036596B" w:rsidP="00E632E7">
            <w:pPr>
              <w:ind w:firstLine="36"/>
              <w:rPr>
                <w:rFonts w:ascii="Calibri" w:eastAsia="Calibri" w:hAnsi="Calibri" w:cs="Arial"/>
                <w:sz w:val="16"/>
                <w:szCs w:val="16"/>
              </w:rPr>
            </w:pPr>
            <w:r w:rsidRPr="00CA1208">
              <w:rPr>
                <w:noProof/>
                <w:lang w:eastAsia="es-ES"/>
              </w:rPr>
              <w:drawing>
                <wp:inline distT="0" distB="0" distL="0" distR="0" wp14:anchorId="5009287D" wp14:editId="0A63227F">
                  <wp:extent cx="1188720" cy="69714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5285" r="34653"/>
                          <a:stretch/>
                        </pic:blipFill>
                        <pic:spPr bwMode="auto">
                          <a:xfrm>
                            <a:off x="0" y="0"/>
                            <a:ext cx="1199815" cy="703648"/>
                          </a:xfrm>
                          <a:prstGeom prst="rect">
                            <a:avLst/>
                          </a:prstGeom>
                          <a:noFill/>
                          <a:ln>
                            <a:noFill/>
                          </a:ln>
                          <a:extLst>
                            <a:ext uri="{53640926-AAD7-44D8-BBD7-CCE9431645EC}">
                              <a14:shadowObscured xmlns:a14="http://schemas.microsoft.com/office/drawing/2010/main"/>
                            </a:ext>
                          </a:extLst>
                        </pic:spPr>
                      </pic:pic>
                    </a:graphicData>
                  </a:graphic>
                </wp:inline>
              </w:drawing>
            </w:r>
          </w:p>
          <w:p w:rsidR="0036596B" w:rsidRPr="000C3043" w:rsidRDefault="0036596B" w:rsidP="00E632E7">
            <w:pPr>
              <w:rPr>
                <w:rFonts w:ascii="Calibri" w:eastAsia="Calibri" w:hAnsi="Calibri" w:cs="Arial"/>
                <w:sz w:val="16"/>
                <w:szCs w:val="16"/>
              </w:rPr>
            </w:pPr>
          </w:p>
        </w:tc>
        <w:tc>
          <w:tcPr>
            <w:tcW w:w="1163" w:type="dxa"/>
            <w:shd w:val="clear" w:color="auto" w:fill="auto"/>
            <w:vAlign w:val="center"/>
          </w:tcPr>
          <w:p w:rsidR="0036596B" w:rsidRPr="00441F60" w:rsidRDefault="0036596B" w:rsidP="00E632E7">
            <w:pPr>
              <w:rPr>
                <w:rFonts w:ascii="Calibri" w:eastAsia="Calibri" w:hAnsi="Calibri" w:cs="Arial"/>
                <w:sz w:val="16"/>
                <w:szCs w:val="16"/>
              </w:rPr>
            </w:pPr>
          </w:p>
          <w:p w:rsidR="0036596B" w:rsidRPr="00441F60" w:rsidRDefault="0036596B" w:rsidP="00E632E7">
            <w:pPr>
              <w:ind w:hanging="113"/>
              <w:rPr>
                <w:rFonts w:ascii="Calibri" w:eastAsia="Calibri" w:hAnsi="Calibri" w:cs="Arial"/>
                <w:sz w:val="16"/>
                <w:szCs w:val="16"/>
              </w:rPr>
            </w:pPr>
            <w:r w:rsidRPr="00441F60">
              <w:rPr>
                <w:rFonts w:ascii="Calibri" w:eastAsia="Calibri" w:hAnsi="Calibri" w:cs="Arial"/>
                <w:sz w:val="16"/>
                <w:szCs w:val="16"/>
              </w:rPr>
              <w:t xml:space="preserve"> Medición </w:t>
            </w:r>
          </w:p>
          <w:p w:rsidR="0036596B" w:rsidRPr="00441F60" w:rsidRDefault="0036596B" w:rsidP="00E632E7">
            <w:pPr>
              <w:rPr>
                <w:rFonts w:ascii="Calibri" w:eastAsia="Calibri" w:hAnsi="Calibri" w:cs="Arial"/>
                <w:sz w:val="16"/>
                <w:szCs w:val="16"/>
              </w:rPr>
            </w:pPr>
          </w:p>
        </w:tc>
        <w:tc>
          <w:tcPr>
            <w:tcW w:w="1105"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 xml:space="preserve">Mensual </w:t>
            </w:r>
          </w:p>
        </w:tc>
        <w:tc>
          <w:tcPr>
            <w:tcW w:w="1021"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Anual</w:t>
            </w:r>
          </w:p>
        </w:tc>
        <w:tc>
          <w:tcPr>
            <w:tcW w:w="1814"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Utilización regular de recursos normalizados, que utiliza la población general, requieren inscripción o matrícula y sean utilizados sin profesionales.</w:t>
            </w: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Participación de las personas usuarias</w:t>
            </w:r>
          </w:p>
        </w:tc>
        <w:tc>
          <w:tcPr>
            <w:tcW w:w="1984"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Nº de consejos de participación, asambleas, buzón de sugerencias</w:t>
            </w:r>
          </w:p>
        </w:tc>
        <w:tc>
          <w:tcPr>
            <w:tcW w:w="1163"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Medición</w:t>
            </w:r>
          </w:p>
        </w:tc>
        <w:tc>
          <w:tcPr>
            <w:tcW w:w="1105"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Anual</w:t>
            </w:r>
          </w:p>
        </w:tc>
        <w:tc>
          <w:tcPr>
            <w:tcW w:w="1021"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Anual</w:t>
            </w:r>
          </w:p>
        </w:tc>
        <w:tc>
          <w:tcPr>
            <w:tcW w:w="1814" w:type="dxa"/>
            <w:shd w:val="clear" w:color="auto" w:fill="auto"/>
            <w:vAlign w:val="center"/>
          </w:tcPr>
          <w:p w:rsidR="0036596B" w:rsidRPr="00441F60" w:rsidRDefault="0036596B" w:rsidP="00E632E7">
            <w:pPr>
              <w:ind w:firstLine="0"/>
              <w:rPr>
                <w:rFonts w:ascii="Calibri" w:eastAsia="Calibri" w:hAnsi="Calibri" w:cs="Arial"/>
                <w:sz w:val="16"/>
                <w:szCs w:val="16"/>
              </w:rPr>
            </w:pPr>
            <w:r w:rsidRPr="00441F60">
              <w:rPr>
                <w:rFonts w:ascii="Calibri" w:eastAsia="Calibri" w:hAnsi="Calibri" w:cs="Arial"/>
                <w:sz w:val="16"/>
                <w:szCs w:val="16"/>
              </w:rPr>
              <w:t>Descripción y puesta en marcha de un sistema de participación de las personas usuarias</w:t>
            </w:r>
          </w:p>
        </w:tc>
      </w:tr>
      <w:tr w:rsidR="0036596B" w:rsidRPr="000C3043" w:rsidTr="00E632E7">
        <w:tc>
          <w:tcPr>
            <w:tcW w:w="392" w:type="dxa"/>
            <w:vMerge/>
            <w:shd w:val="clear" w:color="auto" w:fill="auto"/>
            <w:vAlign w:val="center"/>
          </w:tcPr>
          <w:p w:rsidR="0036596B" w:rsidRPr="000C3043" w:rsidRDefault="0036596B" w:rsidP="0036596B">
            <w:pPr>
              <w:numPr>
                <w:ilvl w:val="0"/>
                <w:numId w:val="8"/>
              </w:numPr>
              <w:spacing w:before="0" w:after="0"/>
              <w:contextualSpacing/>
              <w:rPr>
                <w:rFonts w:eastAsia="Calibri" w:cs="Arial"/>
                <w:color w:val="000000" w:themeColor="text1"/>
                <w:sz w:val="16"/>
                <w:szCs w:val="16"/>
              </w:rPr>
            </w:pPr>
          </w:p>
        </w:tc>
        <w:tc>
          <w:tcPr>
            <w:tcW w:w="1701" w:type="dxa"/>
            <w:shd w:val="clear" w:color="auto" w:fill="auto"/>
            <w:vAlign w:val="center"/>
          </w:tcPr>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Quejas y reclamaciones</w:t>
            </w:r>
          </w:p>
        </w:tc>
        <w:tc>
          <w:tcPr>
            <w:tcW w:w="1984" w:type="dxa"/>
            <w:shd w:val="clear" w:color="auto" w:fill="auto"/>
            <w:vAlign w:val="center"/>
          </w:tcPr>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Nº de quejas y reclamaciones.</w:t>
            </w:r>
          </w:p>
        </w:tc>
        <w:tc>
          <w:tcPr>
            <w:tcW w:w="1163" w:type="dxa"/>
            <w:shd w:val="clear" w:color="auto" w:fill="auto"/>
            <w:vAlign w:val="center"/>
          </w:tcPr>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 xml:space="preserve">Queja. </w:t>
            </w:r>
            <w:r w:rsidRPr="001155CE">
              <w:rPr>
                <w:rFonts w:ascii="Calibri" w:eastAsia="Calibri" w:hAnsi="Calibri" w:cs="Arial"/>
                <w:sz w:val="16"/>
                <w:szCs w:val="16"/>
              </w:rPr>
              <w:t>(1)</w:t>
            </w:r>
            <w:r w:rsidRPr="00441F60">
              <w:rPr>
                <w:rFonts w:ascii="Calibri" w:eastAsia="Calibri" w:hAnsi="Calibri" w:cs="Arial"/>
                <w:sz w:val="16"/>
                <w:szCs w:val="16"/>
              </w:rPr>
              <w:t xml:space="preserve"> Dar respuesta al 100%</w:t>
            </w:r>
          </w:p>
          <w:p w:rsidR="0036596B" w:rsidRPr="00441F60" w:rsidRDefault="0036596B" w:rsidP="00E632E7">
            <w:pPr>
              <w:ind w:firstLine="0"/>
              <w:jc w:val="left"/>
              <w:rPr>
                <w:rFonts w:ascii="Calibri" w:eastAsia="Calibri" w:hAnsi="Calibri" w:cs="Arial"/>
                <w:sz w:val="16"/>
                <w:szCs w:val="16"/>
              </w:rPr>
            </w:pPr>
          </w:p>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Reclamaciones: &lt;5% del nº total de personas usuarias atendidas</w:t>
            </w:r>
          </w:p>
        </w:tc>
        <w:tc>
          <w:tcPr>
            <w:tcW w:w="1105" w:type="dxa"/>
            <w:shd w:val="clear" w:color="auto" w:fill="auto"/>
            <w:vAlign w:val="center"/>
          </w:tcPr>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Anual</w:t>
            </w:r>
          </w:p>
        </w:tc>
        <w:tc>
          <w:tcPr>
            <w:tcW w:w="1021" w:type="dxa"/>
            <w:shd w:val="clear" w:color="auto" w:fill="auto"/>
            <w:vAlign w:val="center"/>
          </w:tcPr>
          <w:p w:rsidR="0036596B" w:rsidRPr="00441F60" w:rsidRDefault="0036596B" w:rsidP="00E632E7">
            <w:pPr>
              <w:ind w:firstLine="0"/>
              <w:jc w:val="left"/>
              <w:rPr>
                <w:rFonts w:ascii="Calibri" w:eastAsia="Calibri" w:hAnsi="Calibri" w:cs="Arial"/>
                <w:sz w:val="16"/>
                <w:szCs w:val="16"/>
              </w:rPr>
            </w:pPr>
            <w:r w:rsidRPr="00441F60">
              <w:rPr>
                <w:rFonts w:ascii="Calibri" w:eastAsia="Calibri" w:hAnsi="Calibri" w:cs="Arial"/>
                <w:sz w:val="16"/>
                <w:szCs w:val="16"/>
              </w:rPr>
              <w:t>Anual</w:t>
            </w:r>
          </w:p>
        </w:tc>
        <w:tc>
          <w:tcPr>
            <w:tcW w:w="1814"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Comentario de un usuario por escrito que informa de insatisfacción con el servicio. Cada queja supondrá una evaluación y propuesta  si procede de acción correctora.</w:t>
            </w:r>
          </w:p>
        </w:tc>
      </w:tr>
    </w:tbl>
    <w:p w:rsidR="0036596B" w:rsidRPr="000C3043" w:rsidRDefault="0036596B" w:rsidP="0036596B">
      <w:pPr>
        <w:pStyle w:val="Prrafodelista"/>
        <w:ind w:left="1700" w:firstLine="0"/>
        <w:rPr>
          <w:rFonts w:cs="Arial"/>
          <w:b/>
          <w:lang w:val="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984"/>
        <w:gridCol w:w="1163"/>
        <w:gridCol w:w="1105"/>
        <w:gridCol w:w="993"/>
        <w:gridCol w:w="1842"/>
      </w:tblGrid>
      <w:tr w:rsidR="0036596B" w:rsidRPr="000C3043" w:rsidTr="00E632E7">
        <w:tc>
          <w:tcPr>
            <w:tcW w:w="392" w:type="dxa"/>
            <w:vMerge w:val="restart"/>
            <w:shd w:val="clear" w:color="auto" w:fill="auto"/>
            <w:textDirection w:val="btLr"/>
          </w:tcPr>
          <w:p w:rsidR="0036596B" w:rsidRPr="000C3043" w:rsidRDefault="0036596B" w:rsidP="00E632E7">
            <w:pPr>
              <w:spacing w:after="0"/>
              <w:ind w:left="113" w:right="113" w:firstLine="0"/>
              <w:jc w:val="center"/>
              <w:rPr>
                <w:rFonts w:eastAsia="Calibri" w:cs="Arial"/>
                <w:b/>
                <w:color w:val="000000" w:themeColor="text1"/>
                <w:sz w:val="16"/>
                <w:szCs w:val="16"/>
              </w:rPr>
            </w:pPr>
            <w:r w:rsidRPr="000C3043">
              <w:rPr>
                <w:rFonts w:eastAsia="Calibri" w:cs="Arial"/>
                <w:b/>
                <w:color w:val="000000" w:themeColor="text1"/>
                <w:sz w:val="16"/>
                <w:szCs w:val="16"/>
              </w:rPr>
              <w:t xml:space="preserve">FORMACIÓN Y MEJROA DE LA CALIDAD </w:t>
            </w:r>
          </w:p>
        </w:tc>
        <w:tc>
          <w:tcPr>
            <w:tcW w:w="1701"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DESCRIPCIÓN</w:t>
            </w:r>
          </w:p>
        </w:tc>
        <w:tc>
          <w:tcPr>
            <w:tcW w:w="1984"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MEDIDA</w:t>
            </w:r>
          </w:p>
        </w:tc>
        <w:tc>
          <w:tcPr>
            <w:tcW w:w="1163" w:type="dxa"/>
            <w:shd w:val="clear" w:color="auto" w:fill="auto"/>
          </w:tcPr>
          <w:p w:rsidR="0036596B" w:rsidRPr="00955833" w:rsidRDefault="0036596B" w:rsidP="00E632E7">
            <w:pPr>
              <w:spacing w:after="0"/>
              <w:ind w:firstLine="0"/>
              <w:jc w:val="center"/>
              <w:rPr>
                <w:rFonts w:eastAsia="Calibri" w:cs="Arial"/>
                <w:b/>
                <w:color w:val="000000" w:themeColor="text1"/>
                <w:sz w:val="16"/>
                <w:szCs w:val="16"/>
              </w:rPr>
            </w:pPr>
            <w:r w:rsidRPr="00955833">
              <w:rPr>
                <w:rFonts w:eastAsia="Calibri" w:cs="Arial"/>
                <w:b/>
                <w:color w:val="000000" w:themeColor="text1"/>
                <w:sz w:val="16"/>
                <w:szCs w:val="16"/>
              </w:rPr>
              <w:t>OBJETIVO</w:t>
            </w:r>
          </w:p>
        </w:tc>
        <w:tc>
          <w:tcPr>
            <w:tcW w:w="1105"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SEGUIMIENTO</w:t>
            </w:r>
          </w:p>
        </w:tc>
        <w:tc>
          <w:tcPr>
            <w:tcW w:w="993"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REVISIÓN</w:t>
            </w:r>
          </w:p>
        </w:tc>
        <w:tc>
          <w:tcPr>
            <w:tcW w:w="1842"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OBSERVACIONES</w:t>
            </w:r>
          </w:p>
        </w:tc>
      </w:tr>
      <w:tr w:rsidR="0036596B" w:rsidRPr="000C3043" w:rsidTr="00E632E7">
        <w:tc>
          <w:tcPr>
            <w:tcW w:w="392" w:type="dxa"/>
            <w:vMerge/>
            <w:shd w:val="clear" w:color="auto" w:fill="auto"/>
            <w:vAlign w:val="center"/>
          </w:tcPr>
          <w:p w:rsidR="0036596B" w:rsidRPr="000C3043" w:rsidRDefault="0036596B" w:rsidP="0036596B">
            <w:pPr>
              <w:numPr>
                <w:ilvl w:val="0"/>
                <w:numId w:val="9"/>
              </w:numPr>
              <w:spacing w:before="0" w:after="0"/>
              <w:contextualSpacing/>
              <w:jc w:val="center"/>
              <w:rPr>
                <w:rFonts w:eastAsia="Calibri" w:cs="Arial"/>
                <w:color w:val="000000" w:themeColor="text1"/>
                <w:sz w:val="16"/>
                <w:szCs w:val="16"/>
              </w:rPr>
            </w:pPr>
          </w:p>
        </w:tc>
        <w:tc>
          <w:tcPr>
            <w:tcW w:w="1701"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Formación nuevos trabajadores</w:t>
            </w:r>
          </w:p>
        </w:tc>
        <w:tc>
          <w:tcPr>
            <w:tcW w:w="1984"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noProof/>
                <w:sz w:val="16"/>
                <w:szCs w:val="16"/>
                <w:lang w:eastAsia="es-ES"/>
              </w:rPr>
              <w:drawing>
                <wp:inline distT="0" distB="0" distL="0" distR="0" wp14:anchorId="182F28DF" wp14:editId="643FB878">
                  <wp:extent cx="1210321" cy="5614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4300" r="34081"/>
                          <a:stretch/>
                        </pic:blipFill>
                        <pic:spPr bwMode="auto">
                          <a:xfrm>
                            <a:off x="0" y="0"/>
                            <a:ext cx="1228506" cy="5699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100%</w:t>
            </w:r>
          </w:p>
        </w:tc>
        <w:tc>
          <w:tcPr>
            <w:tcW w:w="1105"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99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1842"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Aportación escrita aportada a los nuevos trabajadores al inicio del trabajo sobre el puesto de trabajo, turnos y tareas específicas.</w:t>
            </w:r>
          </w:p>
        </w:tc>
      </w:tr>
      <w:tr w:rsidR="0036596B" w:rsidRPr="000C3043" w:rsidTr="00E632E7">
        <w:tc>
          <w:tcPr>
            <w:tcW w:w="392" w:type="dxa"/>
            <w:vMerge/>
            <w:shd w:val="clear" w:color="auto" w:fill="auto"/>
            <w:vAlign w:val="center"/>
          </w:tcPr>
          <w:p w:rsidR="0036596B" w:rsidRPr="000C3043" w:rsidRDefault="0036596B" w:rsidP="0036596B">
            <w:pPr>
              <w:numPr>
                <w:ilvl w:val="0"/>
                <w:numId w:val="9"/>
              </w:numPr>
              <w:spacing w:before="0" w:after="0"/>
              <w:contextualSpacing/>
              <w:jc w:val="center"/>
              <w:rPr>
                <w:rFonts w:eastAsia="Calibri" w:cs="Arial"/>
                <w:color w:val="000000" w:themeColor="text1"/>
                <w:sz w:val="16"/>
                <w:szCs w:val="16"/>
              </w:rPr>
            </w:pPr>
          </w:p>
        </w:tc>
        <w:tc>
          <w:tcPr>
            <w:tcW w:w="1701"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p>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Evaluar el grado de satisfacción de los profesionales</w:t>
            </w:r>
          </w:p>
          <w:p w:rsidR="0036596B" w:rsidRPr="001155CE" w:rsidRDefault="0036596B" w:rsidP="00E632E7">
            <w:pPr>
              <w:spacing w:after="0"/>
              <w:ind w:firstLine="0"/>
              <w:jc w:val="left"/>
              <w:rPr>
                <w:rFonts w:ascii="Calibri" w:eastAsia="Calibri" w:hAnsi="Calibri" w:cs="Arial"/>
                <w:sz w:val="16"/>
                <w:szCs w:val="16"/>
              </w:rPr>
            </w:pPr>
          </w:p>
        </w:tc>
        <w:tc>
          <w:tcPr>
            <w:tcW w:w="1984"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noProof/>
                <w:sz w:val="16"/>
                <w:szCs w:val="16"/>
                <w:lang w:eastAsia="es-ES"/>
              </w:rPr>
              <w:drawing>
                <wp:inline distT="0" distB="0" distL="0" distR="0" wp14:anchorId="7B94BC0A" wp14:editId="13FED3C8">
                  <wp:extent cx="1135380" cy="5290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3877" r="34645"/>
                          <a:stretch/>
                        </pic:blipFill>
                        <pic:spPr bwMode="auto">
                          <a:xfrm>
                            <a:off x="0" y="0"/>
                            <a:ext cx="1151809" cy="5367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Medición</w:t>
            </w:r>
          </w:p>
        </w:tc>
        <w:tc>
          <w:tcPr>
            <w:tcW w:w="1105"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 xml:space="preserve">Anual </w:t>
            </w:r>
          </w:p>
        </w:tc>
        <w:tc>
          <w:tcPr>
            <w:tcW w:w="99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1842" w:type="dxa"/>
            <w:shd w:val="clear" w:color="auto" w:fill="auto"/>
            <w:vAlign w:val="center"/>
          </w:tcPr>
          <w:p w:rsidR="0036596B" w:rsidRPr="000C3043" w:rsidRDefault="0036596B" w:rsidP="00E632E7">
            <w:pPr>
              <w:ind w:firstLine="0"/>
              <w:rPr>
                <w:rFonts w:ascii="Calibri" w:eastAsia="Calibri" w:hAnsi="Calibri" w:cs="Arial"/>
                <w:sz w:val="16"/>
                <w:szCs w:val="16"/>
              </w:rPr>
            </w:pPr>
            <w:r w:rsidRPr="000C3043">
              <w:rPr>
                <w:rFonts w:ascii="Calibri" w:eastAsia="Calibri" w:hAnsi="Calibri" w:cs="Arial"/>
                <w:sz w:val="16"/>
                <w:szCs w:val="16"/>
              </w:rPr>
              <w:t>En la encuesta anual de satisfacción, respuesta al grado global de satisfacción. En escalas 1-10 se considerará a partir de siete. En escalas 1-5 a partir de 3</w:t>
            </w:r>
          </w:p>
        </w:tc>
      </w:tr>
      <w:tr w:rsidR="0036596B" w:rsidRPr="000C3043" w:rsidTr="00E632E7">
        <w:tc>
          <w:tcPr>
            <w:tcW w:w="392" w:type="dxa"/>
            <w:vMerge/>
            <w:shd w:val="clear" w:color="auto" w:fill="auto"/>
            <w:vAlign w:val="center"/>
          </w:tcPr>
          <w:p w:rsidR="0036596B" w:rsidRPr="000C3043" w:rsidRDefault="0036596B" w:rsidP="0036596B">
            <w:pPr>
              <w:numPr>
                <w:ilvl w:val="0"/>
                <w:numId w:val="9"/>
              </w:numPr>
              <w:spacing w:before="0" w:after="0"/>
              <w:contextualSpacing/>
              <w:jc w:val="center"/>
              <w:rPr>
                <w:rFonts w:eastAsia="Calibri" w:cs="Arial"/>
                <w:color w:val="000000" w:themeColor="text1"/>
                <w:sz w:val="16"/>
                <w:szCs w:val="16"/>
              </w:rPr>
            </w:pPr>
          </w:p>
        </w:tc>
        <w:tc>
          <w:tcPr>
            <w:tcW w:w="1701"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Necesidades formativas</w:t>
            </w:r>
          </w:p>
        </w:tc>
        <w:tc>
          <w:tcPr>
            <w:tcW w:w="1984"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noProof/>
                <w:sz w:val="16"/>
                <w:szCs w:val="16"/>
                <w:lang w:eastAsia="es-ES"/>
              </w:rPr>
              <w:drawing>
                <wp:inline distT="0" distB="0" distL="0" distR="0" wp14:anchorId="320F54C8" wp14:editId="11344E2E">
                  <wp:extent cx="1158240" cy="57640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2886" r="31971"/>
                          <a:stretch/>
                        </pic:blipFill>
                        <pic:spPr bwMode="auto">
                          <a:xfrm>
                            <a:off x="0" y="0"/>
                            <a:ext cx="1184544" cy="589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80%</w:t>
            </w:r>
          </w:p>
        </w:tc>
        <w:tc>
          <w:tcPr>
            <w:tcW w:w="1105"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99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1842"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Cuestionario dirigido a profesionales del servicio.</w:t>
            </w:r>
          </w:p>
        </w:tc>
      </w:tr>
      <w:tr w:rsidR="0036596B" w:rsidRPr="000C3043" w:rsidTr="00E632E7">
        <w:tc>
          <w:tcPr>
            <w:tcW w:w="392" w:type="dxa"/>
            <w:vMerge/>
            <w:shd w:val="clear" w:color="auto" w:fill="auto"/>
            <w:vAlign w:val="center"/>
          </w:tcPr>
          <w:p w:rsidR="0036596B" w:rsidRPr="000C3043" w:rsidRDefault="0036596B" w:rsidP="0036596B">
            <w:pPr>
              <w:numPr>
                <w:ilvl w:val="0"/>
                <w:numId w:val="9"/>
              </w:numPr>
              <w:spacing w:before="0" w:after="0"/>
              <w:contextualSpacing/>
              <w:jc w:val="center"/>
              <w:rPr>
                <w:rFonts w:eastAsia="Calibri" w:cs="Arial"/>
                <w:color w:val="000000" w:themeColor="text1"/>
                <w:sz w:val="16"/>
                <w:szCs w:val="16"/>
              </w:rPr>
            </w:pPr>
          </w:p>
        </w:tc>
        <w:tc>
          <w:tcPr>
            <w:tcW w:w="1701"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Plan de Formación anual</w:t>
            </w:r>
          </w:p>
        </w:tc>
        <w:tc>
          <w:tcPr>
            <w:tcW w:w="1984" w:type="dxa"/>
            <w:shd w:val="clear" w:color="auto" w:fill="auto"/>
            <w:vAlign w:val="center"/>
          </w:tcPr>
          <w:p w:rsidR="0036596B" w:rsidRPr="001155CE" w:rsidRDefault="0036596B" w:rsidP="00E632E7">
            <w:pPr>
              <w:spacing w:after="0"/>
              <w:ind w:firstLine="0"/>
              <w:jc w:val="center"/>
              <w:rPr>
                <w:rFonts w:ascii="Calibri" w:eastAsia="Calibri" w:hAnsi="Calibri" w:cs="Arial"/>
                <w:sz w:val="16"/>
                <w:szCs w:val="16"/>
              </w:rPr>
            </w:pPr>
            <w:r w:rsidRPr="001155CE">
              <w:rPr>
                <w:rFonts w:ascii="Calibri" w:eastAsia="Calibri" w:hAnsi="Calibri" w:cs="Arial"/>
                <w:noProof/>
                <w:sz w:val="16"/>
                <w:szCs w:val="16"/>
                <w:lang w:eastAsia="es-ES"/>
              </w:rPr>
              <w:drawing>
                <wp:inline distT="0" distB="0" distL="0" distR="0" wp14:anchorId="1EA8062B" wp14:editId="2F014FBA">
                  <wp:extent cx="1501170" cy="8077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5005" r="35636"/>
                          <a:stretch/>
                        </pic:blipFill>
                        <pic:spPr bwMode="auto">
                          <a:xfrm>
                            <a:off x="0" y="0"/>
                            <a:ext cx="1550757" cy="8344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6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Medición</w:t>
            </w:r>
          </w:p>
        </w:tc>
        <w:tc>
          <w:tcPr>
            <w:tcW w:w="1105"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99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Anual</w:t>
            </w:r>
          </w:p>
        </w:tc>
        <w:tc>
          <w:tcPr>
            <w:tcW w:w="1842"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Plan de Formación coherente con las necesidades formativas detectadas en la evaluación realizada al efecto y a  las líneas de mejora establecidas para el servicio.</w:t>
            </w:r>
          </w:p>
        </w:tc>
      </w:tr>
      <w:tr w:rsidR="0036596B" w:rsidRPr="000C3043" w:rsidTr="00E632E7">
        <w:tc>
          <w:tcPr>
            <w:tcW w:w="392" w:type="dxa"/>
            <w:vMerge/>
            <w:shd w:val="clear" w:color="auto" w:fill="auto"/>
            <w:vAlign w:val="center"/>
          </w:tcPr>
          <w:p w:rsidR="0036596B" w:rsidRPr="000C3043" w:rsidRDefault="0036596B" w:rsidP="0036596B">
            <w:pPr>
              <w:numPr>
                <w:ilvl w:val="0"/>
                <w:numId w:val="9"/>
              </w:numPr>
              <w:spacing w:before="0" w:after="0"/>
              <w:contextualSpacing/>
              <w:jc w:val="center"/>
              <w:rPr>
                <w:rFonts w:eastAsia="Calibri" w:cs="Arial"/>
                <w:color w:val="000000" w:themeColor="text1"/>
                <w:sz w:val="16"/>
                <w:szCs w:val="16"/>
              </w:rPr>
            </w:pPr>
          </w:p>
        </w:tc>
        <w:tc>
          <w:tcPr>
            <w:tcW w:w="1701"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p>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Medidas de conciliación de la vida familiar y laboral</w:t>
            </w:r>
          </w:p>
          <w:p w:rsidR="0036596B" w:rsidRPr="001155CE" w:rsidRDefault="0036596B" w:rsidP="00E632E7">
            <w:pPr>
              <w:spacing w:after="0"/>
              <w:ind w:firstLine="0"/>
              <w:jc w:val="left"/>
              <w:rPr>
                <w:rFonts w:ascii="Calibri" w:eastAsia="Calibri" w:hAnsi="Calibri" w:cs="Arial"/>
                <w:sz w:val="16"/>
                <w:szCs w:val="16"/>
              </w:rPr>
            </w:pPr>
          </w:p>
          <w:p w:rsidR="0036596B" w:rsidRPr="001155CE" w:rsidRDefault="0036596B" w:rsidP="00E632E7">
            <w:pPr>
              <w:spacing w:after="0"/>
              <w:ind w:firstLine="0"/>
              <w:jc w:val="left"/>
              <w:rPr>
                <w:rFonts w:ascii="Calibri" w:eastAsia="Calibri" w:hAnsi="Calibri" w:cs="Arial"/>
                <w:sz w:val="16"/>
                <w:szCs w:val="16"/>
              </w:rPr>
            </w:pPr>
          </w:p>
        </w:tc>
        <w:tc>
          <w:tcPr>
            <w:tcW w:w="1984"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Nº de medidas</w:t>
            </w:r>
          </w:p>
        </w:tc>
        <w:tc>
          <w:tcPr>
            <w:tcW w:w="116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 1</w:t>
            </w:r>
          </w:p>
        </w:tc>
        <w:tc>
          <w:tcPr>
            <w:tcW w:w="1105"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 xml:space="preserve">Anual </w:t>
            </w:r>
          </w:p>
        </w:tc>
        <w:tc>
          <w:tcPr>
            <w:tcW w:w="993"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 xml:space="preserve">Anual </w:t>
            </w:r>
          </w:p>
        </w:tc>
        <w:tc>
          <w:tcPr>
            <w:tcW w:w="1842" w:type="dxa"/>
            <w:shd w:val="clear" w:color="auto" w:fill="auto"/>
            <w:vAlign w:val="center"/>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Descripción y puesta en marcha de medidas para mejorar la conciliación de la vida familiar.</w:t>
            </w:r>
          </w:p>
        </w:tc>
      </w:tr>
    </w:tbl>
    <w:p w:rsidR="0036596B" w:rsidRPr="000C3043" w:rsidRDefault="0036596B" w:rsidP="0036596B">
      <w:pPr>
        <w:pStyle w:val="Prrafodelista"/>
        <w:ind w:left="1700" w:firstLine="0"/>
        <w:rPr>
          <w:rFonts w:cs="Arial"/>
          <w:b/>
          <w:lang w:val="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88"/>
        <w:gridCol w:w="2268"/>
        <w:gridCol w:w="850"/>
        <w:gridCol w:w="1276"/>
        <w:gridCol w:w="822"/>
        <w:gridCol w:w="1984"/>
      </w:tblGrid>
      <w:tr w:rsidR="0036596B" w:rsidRPr="000C3043" w:rsidTr="00E632E7">
        <w:tc>
          <w:tcPr>
            <w:tcW w:w="392" w:type="dxa"/>
            <w:vMerge w:val="restart"/>
            <w:shd w:val="clear" w:color="auto" w:fill="auto"/>
            <w:textDirection w:val="btLr"/>
          </w:tcPr>
          <w:p w:rsidR="0036596B" w:rsidRPr="000C3043" w:rsidRDefault="0036596B" w:rsidP="00E632E7">
            <w:pPr>
              <w:spacing w:after="0"/>
              <w:ind w:left="113" w:right="113" w:firstLine="0"/>
              <w:jc w:val="center"/>
              <w:rPr>
                <w:rFonts w:eastAsia="Calibri" w:cs="Arial"/>
                <w:b/>
                <w:color w:val="000000" w:themeColor="text1"/>
                <w:sz w:val="16"/>
                <w:szCs w:val="16"/>
              </w:rPr>
            </w:pPr>
            <w:r w:rsidRPr="000C3043">
              <w:rPr>
                <w:rFonts w:eastAsia="Calibri" w:cs="Arial"/>
                <w:b/>
                <w:color w:val="000000" w:themeColor="text1"/>
                <w:sz w:val="16"/>
                <w:szCs w:val="16"/>
              </w:rPr>
              <w:t>INDICACORES DE CONDICIONES Y EQUIPAMIENTO</w:t>
            </w:r>
          </w:p>
        </w:tc>
        <w:tc>
          <w:tcPr>
            <w:tcW w:w="1588"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DESCRIPCIÓN</w:t>
            </w:r>
          </w:p>
        </w:tc>
        <w:tc>
          <w:tcPr>
            <w:tcW w:w="2268"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MEDIDA</w:t>
            </w:r>
          </w:p>
        </w:tc>
        <w:tc>
          <w:tcPr>
            <w:tcW w:w="850"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OBJETIVO</w:t>
            </w:r>
          </w:p>
        </w:tc>
        <w:tc>
          <w:tcPr>
            <w:tcW w:w="1276"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SEGUIMIENTO</w:t>
            </w:r>
          </w:p>
        </w:tc>
        <w:tc>
          <w:tcPr>
            <w:tcW w:w="822"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REVISIÓN</w:t>
            </w:r>
          </w:p>
        </w:tc>
        <w:tc>
          <w:tcPr>
            <w:tcW w:w="1984" w:type="dxa"/>
            <w:shd w:val="clear" w:color="auto" w:fill="auto"/>
          </w:tcPr>
          <w:p w:rsidR="0036596B" w:rsidRPr="000C3043" w:rsidRDefault="0036596B" w:rsidP="00E632E7">
            <w:pPr>
              <w:spacing w:after="0"/>
              <w:ind w:firstLine="0"/>
              <w:jc w:val="center"/>
              <w:rPr>
                <w:rFonts w:eastAsia="Calibri" w:cs="Arial"/>
                <w:b/>
                <w:color w:val="000000" w:themeColor="text1"/>
                <w:sz w:val="16"/>
                <w:szCs w:val="16"/>
              </w:rPr>
            </w:pPr>
            <w:r w:rsidRPr="000C3043">
              <w:rPr>
                <w:rFonts w:eastAsia="Calibri" w:cs="Arial"/>
                <w:b/>
                <w:color w:val="000000" w:themeColor="text1"/>
                <w:sz w:val="16"/>
                <w:szCs w:val="16"/>
              </w:rPr>
              <w:t>OBSERVACIONES</w:t>
            </w:r>
          </w:p>
        </w:tc>
      </w:tr>
      <w:tr w:rsidR="0036596B" w:rsidRPr="000C3043" w:rsidTr="00E632E7">
        <w:tc>
          <w:tcPr>
            <w:tcW w:w="392" w:type="dxa"/>
            <w:vMerge/>
            <w:shd w:val="clear" w:color="auto" w:fill="auto"/>
          </w:tcPr>
          <w:p w:rsidR="0036596B" w:rsidRPr="000C3043" w:rsidRDefault="0036596B" w:rsidP="0036596B">
            <w:pPr>
              <w:numPr>
                <w:ilvl w:val="0"/>
                <w:numId w:val="10"/>
              </w:numPr>
              <w:spacing w:before="0" w:after="0"/>
              <w:contextualSpacing/>
              <w:jc w:val="left"/>
              <w:rPr>
                <w:rFonts w:eastAsia="Calibri" w:cs="Arial"/>
                <w:color w:val="000000" w:themeColor="text1"/>
                <w:sz w:val="16"/>
                <w:szCs w:val="16"/>
              </w:rPr>
            </w:pPr>
          </w:p>
        </w:tc>
        <w:tc>
          <w:tcPr>
            <w:tcW w:w="1588" w:type="dxa"/>
            <w:shd w:val="clear" w:color="auto" w:fill="auto"/>
          </w:tcPr>
          <w:p w:rsidR="0036596B" w:rsidRPr="001155CE" w:rsidRDefault="0036596B" w:rsidP="00E632E7">
            <w:pPr>
              <w:spacing w:after="0"/>
              <w:ind w:firstLine="0"/>
              <w:contextualSpacing/>
              <w:jc w:val="left"/>
              <w:rPr>
                <w:rFonts w:ascii="Calibri" w:eastAsia="Calibri" w:hAnsi="Calibri" w:cs="Arial"/>
                <w:sz w:val="16"/>
                <w:szCs w:val="16"/>
              </w:rPr>
            </w:pPr>
          </w:p>
          <w:p w:rsidR="0036596B" w:rsidRPr="001155CE" w:rsidRDefault="0036596B" w:rsidP="00E632E7">
            <w:pPr>
              <w:spacing w:after="0"/>
              <w:ind w:firstLine="0"/>
              <w:contextualSpacing/>
              <w:jc w:val="left"/>
              <w:rPr>
                <w:rFonts w:ascii="Calibri" w:eastAsia="Calibri" w:hAnsi="Calibri" w:cs="Arial"/>
                <w:sz w:val="16"/>
                <w:szCs w:val="16"/>
              </w:rPr>
            </w:pPr>
            <w:r w:rsidRPr="001155CE">
              <w:rPr>
                <w:rFonts w:ascii="Calibri" w:eastAsia="Calibri" w:hAnsi="Calibri" w:cs="Arial"/>
                <w:sz w:val="16"/>
                <w:szCs w:val="16"/>
              </w:rPr>
              <w:t>Espacios adecuados a las características del servicio.</w:t>
            </w:r>
          </w:p>
        </w:tc>
        <w:tc>
          <w:tcPr>
            <w:tcW w:w="226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Medidas establecidas en el DF 92/2020 de autorizaciones y sanciones en materia de servicios sociales.</w:t>
            </w:r>
          </w:p>
        </w:tc>
        <w:tc>
          <w:tcPr>
            <w:tcW w:w="850"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w:t>
            </w:r>
          </w:p>
        </w:tc>
        <w:tc>
          <w:tcPr>
            <w:tcW w:w="1276"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100%</w:t>
            </w:r>
          </w:p>
        </w:tc>
        <w:tc>
          <w:tcPr>
            <w:tcW w:w="822"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1984"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r>
      <w:tr w:rsidR="0036596B" w:rsidRPr="000C3043" w:rsidTr="00E632E7">
        <w:tc>
          <w:tcPr>
            <w:tcW w:w="392" w:type="dxa"/>
            <w:vMerge/>
            <w:shd w:val="clear" w:color="auto" w:fill="auto"/>
          </w:tcPr>
          <w:p w:rsidR="0036596B" w:rsidRPr="000C3043" w:rsidRDefault="0036596B" w:rsidP="0036596B">
            <w:pPr>
              <w:numPr>
                <w:ilvl w:val="0"/>
                <w:numId w:val="10"/>
              </w:numPr>
              <w:spacing w:before="0" w:after="0"/>
              <w:contextualSpacing/>
              <w:jc w:val="left"/>
              <w:rPr>
                <w:rFonts w:eastAsia="Calibri" w:cs="Arial"/>
                <w:color w:val="000000" w:themeColor="text1"/>
                <w:sz w:val="16"/>
                <w:szCs w:val="16"/>
              </w:rPr>
            </w:pPr>
          </w:p>
        </w:tc>
        <w:tc>
          <w:tcPr>
            <w:tcW w:w="1588" w:type="dxa"/>
            <w:shd w:val="clear" w:color="auto" w:fill="auto"/>
          </w:tcPr>
          <w:p w:rsidR="0036596B" w:rsidRPr="001155CE" w:rsidRDefault="0036596B" w:rsidP="00E632E7">
            <w:pPr>
              <w:spacing w:after="0"/>
              <w:ind w:firstLine="0"/>
              <w:contextualSpacing/>
              <w:jc w:val="left"/>
              <w:rPr>
                <w:rFonts w:ascii="Calibri" w:eastAsia="Calibri" w:hAnsi="Calibri" w:cs="Arial"/>
                <w:sz w:val="16"/>
                <w:szCs w:val="16"/>
              </w:rPr>
            </w:pPr>
          </w:p>
          <w:p w:rsidR="0036596B" w:rsidRPr="001155CE" w:rsidRDefault="0036596B" w:rsidP="00E632E7">
            <w:pPr>
              <w:spacing w:after="0"/>
              <w:ind w:firstLine="0"/>
              <w:contextualSpacing/>
              <w:jc w:val="left"/>
              <w:rPr>
                <w:rFonts w:ascii="Calibri" w:eastAsia="Calibri" w:hAnsi="Calibri" w:cs="Arial"/>
                <w:sz w:val="16"/>
                <w:szCs w:val="16"/>
              </w:rPr>
            </w:pPr>
            <w:r w:rsidRPr="001155CE">
              <w:rPr>
                <w:rFonts w:ascii="Calibri" w:eastAsia="Calibri" w:hAnsi="Calibri" w:cs="Arial"/>
                <w:sz w:val="16"/>
                <w:szCs w:val="16"/>
              </w:rPr>
              <w:t>Condiciones físicas adecuadas: luz, comodidad, limpieza.</w:t>
            </w:r>
          </w:p>
        </w:tc>
        <w:tc>
          <w:tcPr>
            <w:tcW w:w="2268"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Ítems  del “cuestionario de satisfacción”</w:t>
            </w:r>
          </w:p>
        </w:tc>
        <w:tc>
          <w:tcPr>
            <w:tcW w:w="850"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100%</w:t>
            </w:r>
          </w:p>
        </w:tc>
        <w:tc>
          <w:tcPr>
            <w:tcW w:w="1276"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100%</w:t>
            </w:r>
          </w:p>
        </w:tc>
        <w:tc>
          <w:tcPr>
            <w:tcW w:w="822"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1984"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Datos recogidos en las encuestas de satisfacción realizadas a  personas usuarias y familias.</w:t>
            </w:r>
          </w:p>
        </w:tc>
      </w:tr>
      <w:tr w:rsidR="0036596B" w:rsidRPr="000C3043" w:rsidTr="00E632E7">
        <w:tc>
          <w:tcPr>
            <w:tcW w:w="392" w:type="dxa"/>
            <w:vMerge/>
            <w:shd w:val="clear" w:color="auto" w:fill="auto"/>
          </w:tcPr>
          <w:p w:rsidR="0036596B" w:rsidRPr="000C3043" w:rsidRDefault="0036596B" w:rsidP="0036596B">
            <w:pPr>
              <w:numPr>
                <w:ilvl w:val="0"/>
                <w:numId w:val="10"/>
              </w:numPr>
              <w:spacing w:before="0" w:after="0"/>
              <w:contextualSpacing/>
              <w:jc w:val="left"/>
              <w:rPr>
                <w:rFonts w:eastAsia="Calibri" w:cs="Arial"/>
                <w:color w:val="000000" w:themeColor="text1"/>
                <w:sz w:val="16"/>
                <w:szCs w:val="16"/>
              </w:rPr>
            </w:pPr>
          </w:p>
        </w:tc>
        <w:tc>
          <w:tcPr>
            <w:tcW w:w="1588" w:type="dxa"/>
            <w:shd w:val="clear" w:color="auto" w:fill="auto"/>
          </w:tcPr>
          <w:p w:rsidR="0036596B" w:rsidRPr="001155CE" w:rsidRDefault="0036596B" w:rsidP="00E632E7">
            <w:pPr>
              <w:spacing w:after="0"/>
              <w:ind w:firstLine="0"/>
              <w:contextualSpacing/>
              <w:jc w:val="left"/>
              <w:rPr>
                <w:rFonts w:ascii="Calibri" w:eastAsia="Calibri" w:hAnsi="Calibri" w:cs="Arial"/>
                <w:sz w:val="16"/>
                <w:szCs w:val="16"/>
              </w:rPr>
            </w:pPr>
            <w:r w:rsidRPr="001155CE">
              <w:rPr>
                <w:rFonts w:ascii="Calibri" w:eastAsia="Calibri" w:hAnsi="Calibri" w:cs="Arial"/>
                <w:sz w:val="16"/>
                <w:szCs w:val="16"/>
              </w:rPr>
              <w:t>Tiempo de arreglo de desperfecto interno</w:t>
            </w:r>
          </w:p>
        </w:tc>
        <w:tc>
          <w:tcPr>
            <w:tcW w:w="226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Tiempo entre la comunicación del desperfecto y el arreglo interno.</w:t>
            </w:r>
          </w:p>
        </w:tc>
        <w:tc>
          <w:tcPr>
            <w:tcW w:w="850"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&lt; 15 días</w:t>
            </w:r>
          </w:p>
        </w:tc>
        <w:tc>
          <w:tcPr>
            <w:tcW w:w="1276"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822"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 xml:space="preserve">Anual </w:t>
            </w:r>
          </w:p>
        </w:tc>
        <w:tc>
          <w:tcPr>
            <w:tcW w:w="1984" w:type="dxa"/>
            <w:shd w:val="clear" w:color="auto" w:fill="auto"/>
          </w:tcPr>
          <w:p w:rsidR="0036596B" w:rsidRPr="001155CE" w:rsidRDefault="0036596B" w:rsidP="00E632E7">
            <w:pPr>
              <w:spacing w:after="0"/>
              <w:ind w:firstLine="0"/>
              <w:rPr>
                <w:rFonts w:ascii="Calibri" w:eastAsia="Calibri" w:hAnsi="Calibri" w:cs="Arial"/>
                <w:sz w:val="16"/>
                <w:szCs w:val="16"/>
              </w:rPr>
            </w:pPr>
          </w:p>
        </w:tc>
      </w:tr>
      <w:tr w:rsidR="0036596B" w:rsidRPr="000C3043" w:rsidTr="00E632E7">
        <w:tc>
          <w:tcPr>
            <w:tcW w:w="392" w:type="dxa"/>
            <w:vMerge/>
            <w:shd w:val="clear" w:color="auto" w:fill="auto"/>
          </w:tcPr>
          <w:p w:rsidR="0036596B" w:rsidRPr="000C3043" w:rsidRDefault="0036596B" w:rsidP="0036596B">
            <w:pPr>
              <w:numPr>
                <w:ilvl w:val="0"/>
                <w:numId w:val="10"/>
              </w:numPr>
              <w:spacing w:before="0" w:after="0"/>
              <w:contextualSpacing/>
              <w:jc w:val="left"/>
              <w:rPr>
                <w:rFonts w:eastAsia="Calibri" w:cs="Arial"/>
                <w:color w:val="000000" w:themeColor="text1"/>
                <w:sz w:val="16"/>
                <w:szCs w:val="16"/>
              </w:rPr>
            </w:pPr>
          </w:p>
        </w:tc>
        <w:tc>
          <w:tcPr>
            <w:tcW w:w="158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Materiales terapéuticos, productos de apoyo y equipamiento adecuados al servicio.</w:t>
            </w:r>
          </w:p>
        </w:tc>
        <w:tc>
          <w:tcPr>
            <w:tcW w:w="226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Ítems del  “cuestionario de satisfacción”</w:t>
            </w:r>
          </w:p>
        </w:tc>
        <w:tc>
          <w:tcPr>
            <w:tcW w:w="850"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100%</w:t>
            </w:r>
          </w:p>
        </w:tc>
        <w:tc>
          <w:tcPr>
            <w:tcW w:w="1276"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822"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1984"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Datos recogidos en las encuestas de satisfacción.</w:t>
            </w:r>
          </w:p>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Supervisión anual por parte de la ANADP.</w:t>
            </w:r>
          </w:p>
        </w:tc>
      </w:tr>
      <w:tr w:rsidR="0036596B" w:rsidRPr="000C3043" w:rsidTr="00E632E7">
        <w:tc>
          <w:tcPr>
            <w:tcW w:w="392" w:type="dxa"/>
            <w:vMerge/>
            <w:shd w:val="clear" w:color="auto" w:fill="auto"/>
          </w:tcPr>
          <w:p w:rsidR="0036596B" w:rsidRPr="000C3043" w:rsidRDefault="0036596B" w:rsidP="0036596B">
            <w:pPr>
              <w:numPr>
                <w:ilvl w:val="0"/>
                <w:numId w:val="10"/>
              </w:numPr>
              <w:spacing w:before="0" w:after="0"/>
              <w:contextualSpacing/>
              <w:jc w:val="left"/>
              <w:rPr>
                <w:rFonts w:eastAsia="Calibri" w:cs="Arial"/>
                <w:color w:val="000000" w:themeColor="text1"/>
                <w:sz w:val="16"/>
                <w:szCs w:val="16"/>
              </w:rPr>
            </w:pPr>
          </w:p>
        </w:tc>
        <w:tc>
          <w:tcPr>
            <w:tcW w:w="158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Plan de prevención de Riesgos laborables</w:t>
            </w:r>
          </w:p>
        </w:tc>
        <w:tc>
          <w:tcPr>
            <w:tcW w:w="2268" w:type="dxa"/>
            <w:shd w:val="clear" w:color="auto" w:fill="auto"/>
          </w:tcPr>
          <w:p w:rsidR="0036596B" w:rsidRPr="001155CE" w:rsidRDefault="0036596B" w:rsidP="00E632E7">
            <w:pPr>
              <w:spacing w:after="0"/>
              <w:ind w:firstLine="0"/>
              <w:jc w:val="left"/>
              <w:rPr>
                <w:rFonts w:ascii="Calibri" w:eastAsia="Calibri" w:hAnsi="Calibri" w:cs="Arial"/>
                <w:sz w:val="16"/>
                <w:szCs w:val="16"/>
              </w:rPr>
            </w:pPr>
            <w:r w:rsidRPr="001155CE">
              <w:rPr>
                <w:rFonts w:ascii="Calibri" w:eastAsia="Calibri" w:hAnsi="Calibri" w:cs="Arial"/>
                <w:sz w:val="16"/>
                <w:szCs w:val="16"/>
              </w:rPr>
              <w:t>Plan conocido por todos los profesionales.</w:t>
            </w:r>
          </w:p>
        </w:tc>
        <w:tc>
          <w:tcPr>
            <w:tcW w:w="850"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1</w:t>
            </w:r>
          </w:p>
        </w:tc>
        <w:tc>
          <w:tcPr>
            <w:tcW w:w="1276"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822"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c>
          <w:tcPr>
            <w:tcW w:w="1984" w:type="dxa"/>
            <w:shd w:val="clear" w:color="auto" w:fill="auto"/>
          </w:tcPr>
          <w:p w:rsidR="0036596B" w:rsidRPr="001155CE" w:rsidRDefault="0036596B" w:rsidP="00E632E7">
            <w:pPr>
              <w:spacing w:after="0"/>
              <w:ind w:firstLine="0"/>
              <w:rPr>
                <w:rFonts w:ascii="Calibri" w:eastAsia="Calibri" w:hAnsi="Calibri" w:cs="Arial"/>
                <w:sz w:val="16"/>
                <w:szCs w:val="16"/>
              </w:rPr>
            </w:pPr>
            <w:r w:rsidRPr="001155CE">
              <w:rPr>
                <w:rFonts w:ascii="Calibri" w:eastAsia="Calibri" w:hAnsi="Calibri" w:cs="Arial"/>
                <w:sz w:val="16"/>
                <w:szCs w:val="16"/>
              </w:rPr>
              <w:t>Anual</w:t>
            </w:r>
          </w:p>
        </w:tc>
      </w:tr>
    </w:tbl>
    <w:p w:rsidR="0036596B" w:rsidRPr="000C3043" w:rsidRDefault="0036596B" w:rsidP="0036596B">
      <w:pPr>
        <w:pStyle w:val="Prrafodelista"/>
        <w:ind w:left="1700" w:firstLine="0"/>
        <w:rPr>
          <w:rFonts w:cs="Arial"/>
          <w:b/>
          <w:lang w:val="es-ES"/>
        </w:rPr>
      </w:pPr>
    </w:p>
    <w:p w:rsidR="0036596B" w:rsidRPr="000C3043" w:rsidRDefault="0036596B" w:rsidP="0036596B">
      <w:pPr>
        <w:spacing w:after="0"/>
        <w:rPr>
          <w:rFonts w:cs="Arial"/>
        </w:rPr>
      </w:pPr>
      <w:r w:rsidRPr="000C3043">
        <w:rPr>
          <w:rFonts w:cs="Arial"/>
          <w:color w:val="000000" w:themeColor="text1"/>
        </w:rPr>
        <w:t xml:space="preserve">El logro de los objetivos para cada indicador se evaluará transcurrido un año del inicio de la ejecución del concierto. </w:t>
      </w:r>
      <w:r w:rsidRPr="000C3043">
        <w:rPr>
          <w:rFonts w:cs="Arial"/>
        </w:rPr>
        <w:t>El logro de cada objetivo referente a procesos, formación y mejora de la calidad y condiciones y equipamiento tendrá valor de un punto; el logro de cada objetivo de resultados tendrá valor tres puntos.  La puntuación máxima, por tanto, es de 45 puntos. Se requerirá 35 puntos para considerar superada la evaluación.</w:t>
      </w:r>
    </w:p>
    <w:p w:rsidR="0036596B" w:rsidRPr="0088125E" w:rsidRDefault="0036596B" w:rsidP="0036596B">
      <w:pPr>
        <w:spacing w:after="0"/>
        <w:rPr>
          <w:rFonts w:cs="Arial"/>
          <w:color w:val="000000" w:themeColor="text1"/>
        </w:rPr>
      </w:pPr>
      <w:r w:rsidRPr="000C3043">
        <w:rPr>
          <w:rFonts w:cs="Arial"/>
          <w:color w:val="000000" w:themeColor="text1"/>
        </w:rPr>
        <w:t>Los indicadores de condiciones y equipamiento serán objeto de evaluación anual a través de una memoria técnica donde se registrarán los indicadores y protocolos por parte de la Agencia Navarra para la Autonomía y el desarrollo de las personas, tras lo cual se tomarán las medidas oportunas.</w:t>
      </w:r>
    </w:p>
    <w:p w:rsidR="00EE0304" w:rsidRPr="0036596B" w:rsidRDefault="00EE0304"/>
    <w:sectPr w:rsidR="00EE0304" w:rsidRPr="003659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9E7"/>
    <w:multiLevelType w:val="hybridMultilevel"/>
    <w:tmpl w:val="32AC45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E0E2FC5"/>
    <w:multiLevelType w:val="hybridMultilevel"/>
    <w:tmpl w:val="86329A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30BB3595"/>
    <w:multiLevelType w:val="hybridMultilevel"/>
    <w:tmpl w:val="A8429E1C"/>
    <w:lvl w:ilvl="0" w:tplc="0C0A0015">
      <w:start w:val="1"/>
      <w:numFmt w:val="upp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475247DC"/>
    <w:multiLevelType w:val="hybridMultilevel"/>
    <w:tmpl w:val="EBDC19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7A17282"/>
    <w:multiLevelType w:val="hybridMultilevel"/>
    <w:tmpl w:val="EBDC19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CC8384A"/>
    <w:multiLevelType w:val="multilevel"/>
    <w:tmpl w:val="F62EC8EA"/>
    <w:lvl w:ilvl="0">
      <w:start w:val="1"/>
      <w:numFmt w:val="upperRoman"/>
      <w:pStyle w:val="Ttulo1"/>
      <w:suff w:val="space"/>
      <w:lvlText w:val="CAPÍTULO %1"/>
      <w:lvlJc w:val="left"/>
      <w:rPr>
        <w:rFonts w:cs="Times New Roman" w:hint="default"/>
        <w:u w:val="single"/>
      </w:rPr>
    </w:lvl>
    <w:lvl w:ilvl="1">
      <w:start w:val="1"/>
      <w:numFmt w:val="upperRoman"/>
      <w:lvlRestart w:val="0"/>
      <w:pStyle w:val="Ttulo2"/>
      <w:suff w:val="space"/>
      <w:lvlText w:val="Anexo %2"/>
      <w:lvlJc w:val="left"/>
      <w:rPr>
        <w:rFonts w:cs="Times New Roman" w:hint="default"/>
      </w:rPr>
    </w:lvl>
    <w:lvl w:ilvl="2">
      <w:start w:val="1"/>
      <w:numFmt w:val="decimal"/>
      <w:lvlRestart w:val="0"/>
      <w:pStyle w:val="Ttulo3"/>
      <w:suff w:val="space"/>
      <w:lvlText w:val="%3."/>
      <w:lvlJc w:val="left"/>
      <w:pPr>
        <w:ind w:left="357" w:hanging="357"/>
      </w:pPr>
      <w:rPr>
        <w:rFonts w:cs="Times New Roman" w:hint="default"/>
      </w:rPr>
    </w:lvl>
    <w:lvl w:ilvl="3">
      <w:start w:val="1"/>
      <w:numFmt w:val="decimal"/>
      <w:pStyle w:val="Ttulo4"/>
      <w:lvlText w:val="%3.%4."/>
      <w:lvlJc w:val="left"/>
      <w:pPr>
        <w:tabs>
          <w:tab w:val="num" w:pos="2705"/>
        </w:tabs>
        <w:ind w:left="2705" w:hanging="43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7BF4B8E"/>
    <w:multiLevelType w:val="hybridMultilevel"/>
    <w:tmpl w:val="0114DA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AA16DDF"/>
    <w:multiLevelType w:val="multilevel"/>
    <w:tmpl w:val="53B0E0F2"/>
    <w:lvl w:ilvl="0">
      <w:start w:val="1"/>
      <w:numFmt w:val="lowerLetter"/>
      <w:lvlText w:val="%1)"/>
      <w:lvlJc w:val="left"/>
      <w:pPr>
        <w:tabs>
          <w:tab w:val="num" w:pos="1700"/>
        </w:tabs>
        <w:ind w:left="1700" w:hanging="425"/>
      </w:pPr>
      <w:rPr>
        <w:rFonts w:hint="default"/>
        <w:b/>
        <w:i w:val="0"/>
      </w:rPr>
    </w:lvl>
    <w:lvl w:ilvl="1">
      <w:start w:val="1"/>
      <w:numFmt w:val="decimal"/>
      <w:lvlText w:val="%1.%2.)"/>
      <w:lvlJc w:val="left"/>
      <w:pPr>
        <w:tabs>
          <w:tab w:val="num" w:pos="1989"/>
        </w:tabs>
        <w:ind w:left="2155" w:hanging="567"/>
      </w:pPr>
      <w:rPr>
        <w:rFonts w:hint="default"/>
        <w:b w:val="0"/>
        <w:i w:val="0"/>
        <w:sz w:val="24"/>
      </w:rPr>
    </w:lvl>
    <w:lvl w:ilvl="2">
      <w:start w:val="1"/>
      <w:numFmt w:val="decimal"/>
      <w:lvlText w:val="%1.1.%3.)"/>
      <w:lvlJc w:val="left"/>
      <w:pPr>
        <w:tabs>
          <w:tab w:val="num" w:pos="3075"/>
        </w:tabs>
        <w:ind w:left="2499" w:hanging="504"/>
      </w:pPr>
      <w:rPr>
        <w:rFonts w:hint="default"/>
      </w:rPr>
    </w:lvl>
    <w:lvl w:ilvl="3">
      <w:start w:val="1"/>
      <w:numFmt w:val="decimal"/>
      <w:lvlText w:val="%1.%2.%3.%4."/>
      <w:lvlJc w:val="left"/>
      <w:pPr>
        <w:tabs>
          <w:tab w:val="num" w:pos="3795"/>
        </w:tabs>
        <w:ind w:left="3003" w:hanging="648"/>
      </w:pPr>
      <w:rPr>
        <w:rFonts w:hint="default"/>
      </w:rPr>
    </w:lvl>
    <w:lvl w:ilvl="4">
      <w:start w:val="1"/>
      <w:numFmt w:val="decimal"/>
      <w:lvlText w:val="%1.%2.%3.%4.%5."/>
      <w:lvlJc w:val="left"/>
      <w:pPr>
        <w:tabs>
          <w:tab w:val="num" w:pos="4515"/>
        </w:tabs>
        <w:ind w:left="3507" w:hanging="792"/>
      </w:pPr>
      <w:rPr>
        <w:rFonts w:hint="default"/>
      </w:rPr>
    </w:lvl>
    <w:lvl w:ilvl="5">
      <w:start w:val="1"/>
      <w:numFmt w:val="decimal"/>
      <w:lvlText w:val="%1.%2.%3.%4.%5.%6."/>
      <w:lvlJc w:val="left"/>
      <w:pPr>
        <w:tabs>
          <w:tab w:val="num" w:pos="5235"/>
        </w:tabs>
        <w:ind w:left="4011" w:hanging="936"/>
      </w:pPr>
      <w:rPr>
        <w:rFonts w:hint="default"/>
      </w:rPr>
    </w:lvl>
    <w:lvl w:ilvl="6">
      <w:start w:val="1"/>
      <w:numFmt w:val="decimal"/>
      <w:lvlText w:val="%1.%2.%3.%4.%5.%6.%7."/>
      <w:lvlJc w:val="left"/>
      <w:pPr>
        <w:tabs>
          <w:tab w:val="num" w:pos="5955"/>
        </w:tabs>
        <w:ind w:left="4515" w:hanging="1080"/>
      </w:pPr>
      <w:rPr>
        <w:rFonts w:hint="default"/>
      </w:rPr>
    </w:lvl>
    <w:lvl w:ilvl="7">
      <w:start w:val="1"/>
      <w:numFmt w:val="decimal"/>
      <w:lvlText w:val="%1.%2.%3.%4.%5.%6.%7.%8."/>
      <w:lvlJc w:val="left"/>
      <w:pPr>
        <w:tabs>
          <w:tab w:val="num" w:pos="6675"/>
        </w:tabs>
        <w:ind w:left="5019" w:hanging="1224"/>
      </w:pPr>
      <w:rPr>
        <w:rFonts w:hint="default"/>
      </w:rPr>
    </w:lvl>
    <w:lvl w:ilvl="8">
      <w:start w:val="1"/>
      <w:numFmt w:val="decimal"/>
      <w:lvlText w:val="%1.%2.%3.%4.%5.%6.%7.%8.%9."/>
      <w:lvlJc w:val="left"/>
      <w:pPr>
        <w:tabs>
          <w:tab w:val="num" w:pos="7395"/>
        </w:tabs>
        <w:ind w:left="5595" w:hanging="1440"/>
      </w:pPr>
      <w:rPr>
        <w:rFonts w:hint="default"/>
      </w:rPr>
    </w:lvl>
  </w:abstractNum>
  <w:abstractNum w:abstractNumId="8" w15:restartNumberingAfterBreak="0">
    <w:nsid w:val="74D436C0"/>
    <w:multiLevelType w:val="hybridMultilevel"/>
    <w:tmpl w:val="2C6C9C7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8"/>
  </w:num>
  <w:num w:numId="6">
    <w:abstractNumId w:val="7"/>
  </w:num>
  <w:num w:numId="7">
    <w:abstractNumId w:val="0"/>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67"/>
    <w:rsid w:val="00273203"/>
    <w:rsid w:val="0036596B"/>
    <w:rsid w:val="00BD3267"/>
    <w:rsid w:val="00EE03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9994"/>
  <w15:chartTrackingRefBased/>
  <w15:docId w15:val="{5277B460-CBF4-4793-AE3B-6445C4BA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6B"/>
    <w:pPr>
      <w:spacing w:before="120" w:after="120" w:line="240" w:lineRule="auto"/>
      <w:ind w:firstLine="709"/>
      <w:jc w:val="both"/>
    </w:pPr>
    <w:rPr>
      <w:rFonts w:ascii="Arial" w:eastAsia="Times New Roman" w:hAnsi="Arial" w:cs="Times New Roman"/>
      <w:sz w:val="24"/>
      <w:szCs w:val="24"/>
    </w:rPr>
  </w:style>
  <w:style w:type="paragraph" w:styleId="Ttulo1">
    <w:name w:val="heading 1"/>
    <w:basedOn w:val="Normal"/>
    <w:next w:val="Normal"/>
    <w:link w:val="Ttulo1Car"/>
    <w:uiPriority w:val="99"/>
    <w:qFormat/>
    <w:rsid w:val="0036596B"/>
    <w:pPr>
      <w:keepNext/>
      <w:pageBreakBefore/>
      <w:numPr>
        <w:numId w:val="1"/>
      </w:numPr>
      <w:overflowPunct w:val="0"/>
      <w:autoSpaceDE w:val="0"/>
      <w:autoSpaceDN w:val="0"/>
      <w:adjustRightInd w:val="0"/>
      <w:jc w:val="center"/>
      <w:textAlignment w:val="baseline"/>
      <w:outlineLvl w:val="0"/>
    </w:pPr>
    <w:rPr>
      <w:rFonts w:ascii="Arial (W1)" w:hAnsi="Arial (W1)" w:cs="Arial"/>
      <w:b/>
      <w:bCs/>
      <w:kern w:val="32"/>
      <w:szCs w:val="32"/>
      <w:lang w:val="es-ES_tradnl"/>
    </w:rPr>
  </w:style>
  <w:style w:type="paragraph" w:styleId="Ttulo2">
    <w:name w:val="heading 2"/>
    <w:basedOn w:val="Normal"/>
    <w:next w:val="Normal"/>
    <w:link w:val="Ttulo2Car"/>
    <w:uiPriority w:val="99"/>
    <w:qFormat/>
    <w:rsid w:val="0036596B"/>
    <w:pPr>
      <w:keepNext/>
      <w:pageBreakBefore/>
      <w:numPr>
        <w:ilvl w:val="1"/>
        <w:numId w:val="1"/>
      </w:numPr>
      <w:overflowPunct w:val="0"/>
      <w:autoSpaceDE w:val="0"/>
      <w:autoSpaceDN w:val="0"/>
      <w:adjustRightInd w:val="0"/>
      <w:jc w:val="center"/>
      <w:textAlignment w:val="baseline"/>
      <w:outlineLvl w:val="1"/>
    </w:pPr>
    <w:rPr>
      <w:rFonts w:ascii="Arial (W1)" w:hAnsi="Arial (W1)" w:cs="Arial"/>
      <w:b/>
      <w:bCs/>
      <w:iCs/>
      <w:caps/>
      <w:szCs w:val="28"/>
      <w:lang w:val="es-ES_tradnl"/>
    </w:rPr>
  </w:style>
  <w:style w:type="paragraph" w:styleId="Ttulo3">
    <w:name w:val="heading 3"/>
    <w:basedOn w:val="Normal"/>
    <w:next w:val="Normal"/>
    <w:link w:val="Ttulo3Car"/>
    <w:uiPriority w:val="99"/>
    <w:qFormat/>
    <w:rsid w:val="0036596B"/>
    <w:pPr>
      <w:keepNext/>
      <w:numPr>
        <w:ilvl w:val="2"/>
        <w:numId w:val="1"/>
      </w:numPr>
      <w:overflowPunct w:val="0"/>
      <w:autoSpaceDE w:val="0"/>
      <w:autoSpaceDN w:val="0"/>
      <w:adjustRightInd w:val="0"/>
      <w:contextualSpacing/>
      <w:textAlignment w:val="baseline"/>
      <w:outlineLvl w:val="2"/>
    </w:pPr>
    <w:rPr>
      <w:rFonts w:ascii="Arial (W1)" w:hAnsi="Arial (W1)" w:cs="Arial"/>
      <w:b/>
      <w:bCs/>
      <w:caps/>
      <w:szCs w:val="26"/>
      <w:lang w:val="es-ES_tradnl"/>
    </w:rPr>
  </w:style>
  <w:style w:type="paragraph" w:styleId="Ttulo4">
    <w:name w:val="heading 4"/>
    <w:basedOn w:val="Normal"/>
    <w:next w:val="Normal"/>
    <w:link w:val="Ttulo4Car"/>
    <w:uiPriority w:val="99"/>
    <w:qFormat/>
    <w:rsid w:val="0036596B"/>
    <w:pPr>
      <w:keepNext/>
      <w:numPr>
        <w:ilvl w:val="3"/>
        <w:numId w:val="1"/>
      </w:numPr>
      <w:overflowPunct w:val="0"/>
      <w:autoSpaceDE w:val="0"/>
      <w:autoSpaceDN w:val="0"/>
      <w:adjustRightInd w:val="0"/>
      <w:spacing w:before="240" w:after="60"/>
      <w:textAlignment w:val="baseline"/>
      <w:outlineLvl w:val="3"/>
    </w:pPr>
    <w:rPr>
      <w:b/>
      <w:bCs/>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6596B"/>
    <w:rPr>
      <w:rFonts w:ascii="Arial (W1)" w:eastAsia="Times New Roman" w:hAnsi="Arial (W1)" w:cs="Arial"/>
      <w:b/>
      <w:bCs/>
      <w:kern w:val="32"/>
      <w:sz w:val="24"/>
      <w:szCs w:val="32"/>
      <w:lang w:val="es-ES_tradnl"/>
    </w:rPr>
  </w:style>
  <w:style w:type="character" w:customStyle="1" w:styleId="Ttulo2Car">
    <w:name w:val="Título 2 Car"/>
    <w:basedOn w:val="Fuentedeprrafopredeter"/>
    <w:link w:val="Ttulo2"/>
    <w:uiPriority w:val="99"/>
    <w:rsid w:val="0036596B"/>
    <w:rPr>
      <w:rFonts w:ascii="Arial (W1)" w:eastAsia="Times New Roman" w:hAnsi="Arial (W1)" w:cs="Arial"/>
      <w:b/>
      <w:bCs/>
      <w:iCs/>
      <w:caps/>
      <w:sz w:val="24"/>
      <w:szCs w:val="28"/>
      <w:lang w:val="es-ES_tradnl"/>
    </w:rPr>
  </w:style>
  <w:style w:type="character" w:customStyle="1" w:styleId="Ttulo3Car">
    <w:name w:val="Título 3 Car"/>
    <w:basedOn w:val="Fuentedeprrafopredeter"/>
    <w:link w:val="Ttulo3"/>
    <w:uiPriority w:val="99"/>
    <w:rsid w:val="0036596B"/>
    <w:rPr>
      <w:rFonts w:ascii="Arial (W1)" w:eastAsia="Times New Roman" w:hAnsi="Arial (W1)" w:cs="Arial"/>
      <w:b/>
      <w:bCs/>
      <w:caps/>
      <w:sz w:val="24"/>
      <w:szCs w:val="26"/>
      <w:lang w:val="es-ES_tradnl"/>
    </w:rPr>
  </w:style>
  <w:style w:type="character" w:customStyle="1" w:styleId="Ttulo4Car">
    <w:name w:val="Título 4 Car"/>
    <w:basedOn w:val="Fuentedeprrafopredeter"/>
    <w:link w:val="Ttulo4"/>
    <w:uiPriority w:val="99"/>
    <w:rsid w:val="0036596B"/>
    <w:rPr>
      <w:rFonts w:ascii="Arial" w:eastAsia="Times New Roman" w:hAnsi="Arial" w:cs="Times New Roman"/>
      <w:b/>
      <w:bCs/>
      <w:sz w:val="24"/>
      <w:szCs w:val="28"/>
      <w:lang w:val="es-ES_tradnl"/>
    </w:rPr>
  </w:style>
  <w:style w:type="paragraph" w:styleId="Prrafodelista">
    <w:name w:val="List Paragraph"/>
    <w:basedOn w:val="Normal"/>
    <w:uiPriority w:val="34"/>
    <w:qFormat/>
    <w:rsid w:val="0036596B"/>
    <w:pPr>
      <w:overflowPunct w:val="0"/>
      <w:autoSpaceDE w:val="0"/>
      <w:autoSpaceDN w:val="0"/>
      <w:adjustRightInd w:val="0"/>
      <w:spacing w:after="240"/>
      <w:ind w:left="708"/>
      <w:textAlignment w:val="baseline"/>
    </w:pPr>
    <w:rPr>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12522</Characters>
  <Application>Microsoft Office Word</Application>
  <DocSecurity>0</DocSecurity>
  <Lines>104</Lines>
  <Paragraphs>29</Paragraphs>
  <ScaleCrop>false</ScaleCrop>
  <Company>Gobierno de Navarra</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X072828</dc:creator>
  <cp:keywords/>
  <dc:description/>
  <cp:lastModifiedBy>X072828</cp:lastModifiedBy>
  <cp:revision>3</cp:revision>
  <dcterms:created xsi:type="dcterms:W3CDTF">2021-06-30T06:01:00Z</dcterms:created>
  <dcterms:modified xsi:type="dcterms:W3CDTF">2021-06-30T06:04:00Z</dcterms:modified>
</cp:coreProperties>
</file>